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Architectural Specification</w:t>
      </w:r>
    </w:p>
    <w:p>
      <w:r>
        <w:t xml:space="preserve">Version 2.3  |  1 October 2026</w:t>
      </w:r>
    </w:p>
    <w:p>
      <w:r>
        <w:t>Audience: Engineers and technical reviewers</w:t>
      </w:r>
    </w:p>
    <w:p>
      <w:r>
        <w:t>Connecto uses a React browser client, an ASP.NET Core API, SQL Server persistence, and Cognito identity. This specification describes the current component boundaries and request flows, then identifies the decisions needed to complete and operate the POC.</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Pr>
          <w:p>
            <w:r>
              <w:t>2.1</w:t>
            </w:r>
          </w:p>
        </w:tc>
        <w:tc>
          <w:tcPr>
            <w:tcW w:type="dxa" w:w="4392"/>
          </w:tcPr>
          <w:p>
            <w:r>
              <w:t>1 Oct 2026</w:t>
            </w:r>
          </w:p>
        </w:tc>
        <w:tc>
          <w:tcPr>
            <w:tcW w:type="dxa" w:w="3557"/>
          </w:tcPr>
          <w:p>
            <w:r>
              <w:t>DCR-2026-10-01-009: unavailable parsing, optional AI startup and aligned local Cognito password/refresh flows; AWS and staging gates remain open. Human approval: Approve DCR-009, Plan and implement the POC MVP, chat 01a0f557-a3ee-7572-b6f9-323988c97319, turn 01a0f5ac-2514-7051-a1b7-47e967ab8992. Implementation source turn 01a0f5a0-4d6b-7453-ad35-5e4be8132072.</w:t>
            </w:r>
          </w:p>
        </w:tc>
      </w:tr>
      <w:tr>
        <w:tc>
          <w:tcPr>
            <w:tcW w:type="dxa" w:w="1800"/>
          </w:tcPr>
          <w:p>
            <w:r>
              <w:t>2.2</w:t>
            </w:r>
          </w:p>
        </w:tc>
        <w:tc>
          <w:tcPr>
            <w:tcW w:type="dxa" w:w="4392"/>
          </w:tcPr>
          <w:p>
            <w:r>
              <w:t>1 October 2026</w:t>
            </w:r>
          </w:p>
        </w:tc>
        <w:tc>
          <w:tcPr>
            <w:tcW w:type="dxa" w:w="3557"/>
          </w:tcPr>
          <w:p>
            <w:r>
              <w:t>DCR-2026-10-01-010: Frontend composition, feature public interfaces and injected dependencies; session and backend authority unchanged.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Pr>
          <w:p>
            <w:r>
              <w:t xml:space="preserve">2.3</w:t>
            </w:r>
          </w:p>
        </w:tc>
        <w:tc>
          <w:tcPr>
            <w:tcW w:type="dxa" w:w="4392"/>
          </w:tcPr>
          <w:p>
            <w:r>
              <w:t xml:space="preserve">1 October 2026</w:t>
            </w:r>
          </w:p>
        </w:tc>
        <w:tc>
          <w:tcPr>
            <w:tcW w:type="dxa" w:w="3557"/>
          </w:tcPr>
          <w:p>
            <w: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System boundaries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Component</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Browser application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Vite screens; authenticated server profile/activity reads; Cognito account flow; session-only private state and tokens; isolated demo preview.</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and Application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HTTP contracts, JWT validation and ownership policies; listing creation, matching calculators, and AI parsing.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and Infrastructure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Entities and request models; EF Core SQL Server access, migrations, seed data, and database configuration.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AWS platform</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Cognito identity; ECR images; ECS tasks; RDS SQL Server; ALB ingress; IAM, Secrets Manager, and CloudWatch.</w:t>
            </w:r>
          </w:p>
        </w:tc>
      </w:tr>
    </w:tbl>
    <w:p>
      <w:pPr>
        <w:spacing w:after="40"/>
      </w:pPr>
    </w:p>
    <w:p>
      <w:r>
        <w:t>Connecto.Database is a separate migration executable. Terraform manages the migration task and several supporting resources; the API service and task family are existing AWS resources referenced by the deployment workflow. A full Terraform-owned API service is not present in this baseline.</w:t>
      </w:r>
    </w:p>
    <w:p>
      <w:pPr>
        <w:pStyle w:val="Heading1"/>
      </w:pPr>
      <w:r>
        <w:t>Frontend application composition</w:t>
      </w:r>
    </w:p>
    <w:p>
      <w:pPr/>
      <w:r>
        <w:t>The frontend separates application composition in src/app, feature-owned UI and hooks in src/features, reusable presentation and pure utilities in src/shared, and HTTP/Cognito/session infrastructure in src/services. Each feature exposes an index.js public interface. Shared code has no application, feature or infrastructure dependencies; services do not depend on UI; features consume other features through public interfaces and receive infrastructure operations through injected clients or callbacks. AppShell handles layout and feedback, AppRouter selects screens with explicit props, and the application coordinator handles session lifecycle and cross-feature workflows. Discovery owns its filters/match loading, and activity pagination and member mapping are independent functions. These dependency boundaries support maintainability and incremental growth; they are not backend authorisation or proof of production capacity.</w:t>
      </w:r>
    </w:p>
    <w:p>
      <w:r>
        <w:br w:type="page"/>
      </w:r>
    </w:p>
    <w:p>
      <w:pPr>
        <w:pStyle w:val="Heading1"/>
      </w:pPr>
      <w:r>
        <w:t>Request flows and data model</w:t>
      </w:r>
    </w:p>
    <w:p>
      <w:pPr>
        <w:pStyle w:val="Heading1"/>
      </w:pPr>
      <w:r>
        <w:t>Identity and authorised posting</w:t>
      </w:r>
    </w:p>
    <w:p>
      <w:r>
        <w:t>1. The browser sends registration, confirmation, and login requests directly to Cognito. Access and refresh tokens stay in memory. Reloading requires a new login.</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2. The browser calls the API with a Bearer access token. Validation checks signature, issuer, expiry, access token type, app client ID, and a nonempty subject. Controllers require authentication; /health is public.</w:t>
      </w:r>
    </w:p>
    <w:p>
      <w:r>
        <w:t>3. CurrentUser maps the Cognito subject to an internal GUID User. A filtered unique AuthSubjectId index prevents duplicate identity mappings. Legacy profiles keep null subjects and are not automatically linked by email.</w:t>
      </w:r>
    </w:p>
    <w:p>
      <w:r>
        <w:t>4. Listing services assign the internal user as owner and persist a Need or Offering. Match endpoints load the resource and enforce the Owner policy before returning results.</w:t>
      </w:r>
    </w:p>
    <w:p>
      <w:pPr>
        <w:pStyle w:val="Heading1"/>
      </w:pPr>
      <w:r>
        <w:t>Matching and parsing</w:t>
      </w:r>
    </w:p>
    <w:p>
      <w:r>
        <w:t>For a need, MatchService reads active offerings, invokes seven calculators, sorts the summed score descending, and returns at most ten results. Reasons are added by calculators that report a match. The frontend demo engine has separate scoring rules; its scores are not interchangeable with backend results.</w:t>
      </w:r>
    </w:p>
    <w:p>
      <w:r>
        <w:t>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Related-wording matching and configurable scoring remain unmet requirements.</w:t>
      </w:r>
    </w:p>
    <w:p>
      <w:pPr>
        <w:pStyle w:val="Heading1"/>
      </w:pPr>
      <w:r>
        <w:t>Persistent relationships</w:t>
      </w:r>
    </w:p>
    <w:p>
      <w:r>
        <w:t>User owns Needs and Offerings. NeedSkill and OfferingSkill link listings to Skill. Match is a domain entity, but the current need match route computes ranked results on demand; its existence does not establish a persisted match workflow. ConnectoDbContext and its model snapshot define the database schema.</w:t>
      </w:r>
    </w:p>
    <w:p>
      <w:r>
        <w:br w:type="page"/>
      </w:r>
    </w:p>
    <w:p>
      <w:pPr>
        <w:pStyle w:val="Heading1"/>
      </w:pPr>
      <w:r>
        <w:t>Deployment design and architecture decisions</w:t>
      </w:r>
    </w:p>
    <w:p>
      <w:pPr>
        <w:pStyle w:val="Heading1"/>
      </w:pPr>
      <w:r>
        <w:t>Build and release sequence</w:t>
      </w:r>
    </w:p>
    <w:p>
      <w:r>
        <w:t>Build an image containing the API and migration runner; publish it to ECR. Register a migration task revision with that exact image, run it in database-accessible subnets, wait for completion, and inspect its exit code. Only after success does the workflow deploy the API task and wait for service stability. Manual migration skipping requires deliberate use of the workflow option.</w:t>
      </w:r>
    </w:p>
    <w:p>
      <w:r>
        <w:t>Database credentials are injected from username and password keys in the RDS-managed secret. API and migration runner use the same SqlConnectionStringBuilder helper. Deployed Database settings override the local connection string, with encryption enabled and certificate trust bypass disabled.</w:t>
      </w:r>
    </w:p>
    <w:p>
      <w:pPr>
        <w:pStyle w:val="Heading1"/>
      </w:pPr>
      <w:r>
        <w:t>Decisions and constraints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Decision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Rationale and consequence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identity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The local Terraform public app client now permits password and refresh authentication used by the frontend, retaining SRP compatibility and generate_secret=false. This configuration change is locally contract-tested but has not been applied to AWS. Real Cognito registration, confirmation, login and refresh plus public/downstream TLS remain environment acceptance gates. The broader service/workload identity target is unchanged.</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SQL Server and EF Core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Retain the existing relational schema and migration history. Test concurrency and decimal behaviour on SQL Server rather than relying only on InMemory tests.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Separate migration task</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Stop a failed migration from releasing an incompatible API. Prefer additive schema changes and separate privileged migration credentials from runtime credentials.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Hybrid infrastructure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existing Terraform state and external ECS resources before changing ownership. Do not recreate resources from an empty state.</w:t>
            </w:r>
          </w:p>
        </w:tc>
      </w:tr>
    </w:tbl>
    <w:p>
      <w:pPr>
        <w:spacing w:after="40"/>
      </w:pPr>
    </w:p>
    <w:p>
      <w:pPr>
        <w:pStyle w:val="Heading1"/>
      </w:pPr>
      <w:r>
        <w:t>Operational gaps and source map</w:t>
      </w:r>
    </w:p>
    <w:p>
      <w:r>
        <w:t>Validate private subnet egress or service endpoints, task IAM, ALB configuration, SQL certificate trust, and secret rotation in the target environment. /health is a web-server check, not database readiness. Backups, observability objectives, rate limits, CORS or same-origin hosting, and disaster recovery need explicit release decisions.</w:t>
      </w:r>
    </w:p>
    <w:p>
      <w:r>
        <w:t>Source map: connecto-app/src/app, features, shared and services; connecto-api/Connecto.Api/Authentication and Controllers; Connecto.Application/Internal; Connecto.Infrastructure/Services/Data; terraform; .github/workflows; docs/continuation.md.</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Local regression tests passed, while browser, SQL Server and AWS staging acceptance remain outstanding.</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Trust and Safety capabilities distinguish urgent safety incidents from commercial disputes and reviews. Cases support confidential intake, controlled evidence access, audited staff decisions, proportionate interim restrictions and appeals. Location disclosure is limited to the necessary stage of an engagement. Reports do not depend on bilateral completion. Blocking and restrictions reduce future interaction but cannot retract information already disclosed or guarantee physical safety.</w:t>
      </w:r>
    </w:p>
    <w:p>
      <w:pPr>
        <w:pStyle w:val="Heading1"/>
      </w:pPr>
      <w:r>
        <w:t>Future architecture and service security</w:t>
      </w:r>
    </w:p>
    <w:p>
      <w:r>
        <w:t>App traffic terminates at a stable App API/BFF over HTTPS. Extracted-service commands require scoped workload identity and, for immediate member actions, independently validated user authority. Cognito client-credentials machine clients and resource scopes are the proposed workload mechanism; they are distinct from member token validation and require provisioning. IAM task roles authorise AWS resources, not arbitrary internal HTTP commands. Service Connect TLS protects configured agent paths and does not replace domain action authorisation. Acceptance activation remains unusable until finalisation is durably acknowledged; operation provenance and recovery preserve the agreement through partial failure. Repository names are recommendations created at extraction gates, not existing deployments.</w:t>
      </w:r>
    </w:p>
    <w:p>
      <w:pPr>
        <w:pStyle w:val="Heading1"/>
      </w:pPr>
      <w:r>
        <w:t>POC and MVP delivery baseline</w:t>
      </w:r>
    </w:p>
    <w:p>
      <w:r>
        <w:t>Deliver the POC and initial domain MVP inside the existing React application, ASP.NET Core host and SQL Server with explicit domain ownership and application contracts. Retain Connections and Engagements in one deployment while acceptance, capacity and immutable agreement creation can use one database transaction with enforced constraints. Derived notifications, measurement and jobs use a transactional outbox and consumer deduplication. Keep one writer per aggregate. Repository or service extraction follows independently approved operational and recovery gates; the staged microservices design is the future target; the initial MVP delivery grouping remains the current host. Preserve verified member authority through module calls. Before network extraction, prove scoped workload authority, downstream transport protection, isolated credentials and distributed acceptance recovery.</w:t>
      </w:r>
    </w:p>
    <w:p>
      <w:pPr>
        <w:pStyle w:val="Heading1"/>
      </w:pPr>
      <w:r>
        <w:t>Foundation implementation status</w:t>
      </w:r>
    </w:p>
    <w:p>
      <w:r>
        <w:t>The current API adds PATCH /api/users/me and GET /api/users/me/activity using the existing database schema. Activity queries derive member identity from authentication and return bounded pages of only that member's records. Frontend private collections now use session memory rather than shared browser storage; login rehydrates profile/activity from server reads. Session generations prevent previous-account responses and delayed Cognito login/refresh operations from restoring obsolete state. These controls have local regression coverage, with live transport and database behaviour still unverified.</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matching and parsing</w:t>
      </w:r>
    </w:p>
    <w:p>
      <w:r>
        <w:t>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Related-wording matching and configurable scoring remain unmet requirements.</w:t>
      </w:r>
    </w:p>
    <w:p>
      <w:pPr>
        <w:pStyle w:val="Heading1"/>
      </w:pPr>
      <w:r>
        <w:t>Service boundaries</w:t>
      </w:r>
    </w:p>
    <w:p>
      <w:r>
        <w:t>Each row is a target service with its own API, application/domain rules, persistence adapter, migration ownership and release pipeline. A service can contain several aggregates; an aggregate does not require a deployment.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Service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Owned data and commands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Integration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MemberProfile, private preferences, Cognito-subject mapping; provision member, update own profile, safe public profile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supplies authentication; publish MemberProfileChanged and lifecycle events; consume restrictions for display without becoming permission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Needs, Offerings, taxonomy, price basis/currency, publication revisions, Need capacity reservations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Publish listing changes; expose authoritative validation and reserve/commit/release capacity commands; consume identity references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Search projections, candidate eligibility, ranking configuration/version, explanations, suitability actions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Listings, published Reputation and permitted Safety projections; fetch authoritative checks for sensitive actions; never write Listings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Requests, proposed terms and versions, recipient decisions, acceptance workflow state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Coordinate Listings/Safety/Engagements; publish ConnectionRequested and ConnectionAccepted only after defined milestones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Engagements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Immutable accepted-term snapshots, roles, work progress, cancellation, independent completion reports and history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Idempotent creation by ConnectionRequestId; publish completion events; apply audited case resolutions through its own commands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Participants, messages, client retry keys and receipts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 conversation idempotently on acceptance; enforce current participant/restriction checks; polling first, live transport later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Feedback and Reputation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Reviews, role-specific dimensions, hidden/public states, attachment references, derived role summaries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completion eligibility, Media readiness and Safety exclusions; publish ReviewPublished/ReputationUpdated; retain these together initially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Asset metadata, upload grants, quarantine/processing states, variants and deletion jobs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S3 plus processor; parent-resource authority grants access; no public URLs for hidden reviews/private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Trust and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Blocks, restrictions, reports, cases, evidence permissions, moderation/dispute decisions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interaction permission checks; publish restriction revisions/decisions; domain owners apply changes to their own records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Business Measurement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Deduplicated journey events, metric definitions, cohorts and reporting projections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Consume operational events; staff reporting endpoint; never change outcomes or reputation</w:t>
            </w:r>
          </w:p>
        </w:tc>
      </w:tr>
    </w:tbl>
    <w:p/>
    <w:p>
      <w:r>
        <w:t>Supporting services: Notifications owns in-app notifications and delivery attempts, consuming recorded events; optional AI Parsing returns listing proposals for Listings to validate after member confirmation. Parsing may remain an isolated adapter/worker until independent scaling or deployment is useful. Cognito remains managed identity, not a custom password service. The App API/BFF is an edge composition service, not another business domain.</w:t>
      </w:r>
    </w:p>
    <w:p>
      <w:r>
        <w:t>Keep Needs and Offerings together for taxonomy and capacity rules. Keep Feedback and Reputation together for review eligibility/publication and deterministic recomputation. Keep Connections and Engagements as distinct modules within the same deployment until acceptance recovery is proven. All ten domain boundaries apply even while deployments are grouped.</w:t>
      </w:r>
    </w:p>
    <w:p>
      <w:pPr>
        <w:pStyle w:val="Heading1"/>
      </w:pPr>
      <w:r>
        <w:t>Topology and deployment stages</w:t>
      </w:r>
    </w:p>
    <w:p>
      <w:r>
        <w:t>Current: React app to existing API to shared SQL Server context; browser identity goes directly to Cognito. Initial MVP: domain modules inside the API. Future target: React app to HTTPS App API BFF to private domain services, each with owned persistence. Media uses private object storage; events use durable producer outboxes and consumer receipts.</w:t>
      </w:r>
    </w:p>
    <w:p>
      <w:pPr>
        <w:pStyle w:val="Heading1"/>
      </w:pPr>
      <w:r>
        <w:t>Acceptance across independent services</w:t>
      </w:r>
    </w:p>
    <w:p>
      <w:r>
        <w:t>The monolith's shared acceptance transaction cannot be carried into database-per-service deployment. Connections owns a persisted acceptance coordinator (saga), not the BFF. Proposed workflow:</w:t>
      </w:r>
    </w:p>
    <w:p>
      <w:r>
        <w:t>1. Authenticate the recipient, validate requested terms revision and store an idempotent AcceptancePending operation.</w:t>
      </w:r>
    </w:p>
    <w:p>
      <w:r>
        <w:t>2. Obtain a current Safety permission decision/revision and ask Listings to reserve the Need capacity and validate the exact Need/Offering revisions. Listings atomically enforces the proposed capacity rule and returns a reservation token, expiry and fencing generation.</w:t>
      </w:r>
    </w:p>
    <w:p>
      <w:r>
        <w:t>3. Engagements creates an inert Prepared engagement uniquely keyed by ConnectionRequestId and operation ID, from the accepted snapshot. Prepared records cannot receive messages, completion reports or reviews.</w:t>
      </w:r>
    </w:p>
    <w:p>
      <w:r>
        <w:t>4. Commit Listings' reservation using the token/generation and recheck publication and relevant restriction permission. A failed/expired commit aborts the prepared engagement and releases any live reservation. A committed reservation does not expire automatically.</w:t>
      </w:r>
    </w:p>
    <w:p>
      <w:r>
        <w:t>5. Activate the prepared engagement idempotently after confirmed reservation commitment. Persist the accepted connection and its outbox event once activation is confirmed. Return the stable connection/engagement IDs. Earlier responses are 202 with an operation URL; the app polls until success/failure.</w:t>
      </w:r>
    </w:p>
    <w:p>
      <w:r>
        <w:t>6. After commitment, prefer retry/reconciliation to releasing capacity when activation or response delivery fails. Never release committed capacity merely because an HTTP response timed out. A recovery worker queries authoritative operation states and retries missing steps. Unrecoverable inconsistencies become a visible operational case, with explicit compensation commands that preserve history.</w:t>
      </w:r>
    </w:p>
    <w:p>
      <w:r>
        <w:t>An activated engagement can exist before Connections durably records final acceptance. Keep participant mutations gated on a separate AcceptanceFinalised acknowledgement delivered from Connections' committed outbox. Activation records completion of the coordinator step but does not by itself open completion, feedback or messaging. Engagements consumes that acknowledgement idempotently and marks the agreement usable. Connections can report accepted with setup pending until acknowledgement is applied. Recovery retries finalisation; it never constructs a second agreement. This makes the intermediate state explicit without claiming cross-database atomicity.</w:t>
      </w:r>
    </w:p>
    <w:p>
      <w:r>
        <w:t>Record each step and response durably. Distinguish reservation expiry before commitment from failures after commitment. Two concurrent accepts cannot reserve the same Need; every prepared/activated engagement is unique by request. Retries reuse the same operation. Conversation creation and notifications consume final acceptance asynchronously and expose pending availability when delayed.</w:t>
      </w:r>
    </w:p>
    <w:p>
      <w:r>
        <w:t>Distributed services cannot promise a global serialisable transaction against simultaneous restriction changes. Define the permission decision's validity and linearisation policy before extraction. Proposed policy: new restrictions invalidate uncommitted operations; restrictions discovered after commitment pause prohibited subsequent actions and route the engagement for Safety handling, preserving the agreement. If strict simultaneous acceptance/block atomicity is required, retain those authorities in a common transaction until that requirement is resolved. This is a migration gate, not a solved global-lock claim.</w:t>
      </w:r>
    </w:p>
    <w:p>
      <w:r>
        <w:t>Invalidation is an intended business policy, not an instantaneous distributed guarantee: decision revision/expiry, authoritative recheck at commit, and reconciliation bound the race but cannot eliminate it. Define what happens when a restriction changes between check and commit. A committed listing reservation must retain operation, agreement and accepted-listing revisions so recovery can verify provenance. Changes to a reserved Offering must invalidate or conflict with commitment under an explicit Listings policy; locking only Need capacity is insufficient.</w:t>
      </w:r>
    </w:p>
    <w:p>
      <w:pPr>
        <w:pStyle w:val="Heading1"/>
      </w:pPr>
      <w:r>
        <w:t>Services to services identity and authorisation</w:t>
      </w:r>
    </w:p>
    <w:p>
      <w:r>
        <w:t>Recommended first extracted-service implementation: encrypted private transport plus per-caller OAuth machine credentials using Cognito client-credentials resource scopes. Use a distinct confidential app client per workload and environment, with secrets in Secrets Manager and rotation. This requires provisioning resource servers/app clients and validating support/cost; it is not present in current Terraform. AWS task-role IAM authorises AWS API calls, not arbitrary ASP.NET HTTP endpoints. Avoid a shared API key or one global machine client.</w:t>
      </w:r>
    </w:p>
    <w:p>
      <w:r>
        <w:t>Define an internal authentication scheme separate from the current human-access-token scheme. Validate machine-token signature/issuer/expiry, token_use, permitted client_id-to-workload mapping, exact required target scope and configured audience where present. A machine-token subject is not a member; never send it through CurrentUser auto-provisioning. Example scopes are connecto-listings/reserve-capacity and connecto-engagements/prepare; allocate only necessary target/action scopes to each caller.</w:t>
      </w:r>
    </w:p>
    <w:p>
      <w:r>
        <w:t>For an immediate command on behalf of a member, require both caller-service identity and a separately validated human access token. Proposed wire contract: Authorization holds the machine token; a designated internal user-token header carries the original Cognito user token. Edge routes strip all client-supplied internal identity headers and construct the internal request themselves. Services use separate validation handlers, never log either credential, derive the member through Members, and independently check resource access. This is token forwarding, not an OAuth token-exchange claim; forwarded human tokens remain replayable until expiry. Minimise recipients and lifetime. An audience-bound delegation/token-exchange system is a later alternative requiring explicit implementation.</w:t>
      </w:r>
    </w:p>
    <w:p>
      <w:r>
        <w:t>Durable workers do not store or replay expired human tokens. An authorised domain command stores initiator, operation ID, exact authorised intent and resource/terms revisions. Subsequent saga steps use scoped workload authority plus authoritative operation/reservation provenance and renewed Safety checks. A forged MemberId in a job/event is insufficient authority. Internal commands bind operation, initiator, participants, terms hash/revisions and fencing generation; Engagements verifies Listings' committed reservation before enabling the operation, and Connections verifies acknowledgements before final acceptance.</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Caller → receiver</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Permitted 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boundary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 Members/Listings/Discovery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Self profile, public views, listing commands and 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workload scope plus human token for protected member operations; public-view route still uses safe DTO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BFF → Connections/Engagements/Conversations/Feedback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 commands and reads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Human participant checks plus specific edge scope; no internal prepare/activate/case-resolution routes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Reserve, commit, query/release capacity for its recorded acceptance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Acceptance operation provenance and fence; caller-specific scope; no general listing edit privileges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 → Engagements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Prepare/activate/query/finalise its recorded agreement</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Unique request/operation and verified reservation; no scope to submit a member completion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Operational services →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Permission decision for specified actors/action/resource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Narrow check scope; decision revision/time; no broad private case/evidence access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 Engagements/Feedback/Media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Audited resolution or exclusion via target-owned command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Case decision ID and version, staff action audit; no direct database writes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 Feedback/Safety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Validate parent and access decision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Purpose-specific permission response; avoid arbitrary payload fetch and circular synchronous calls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Worker → domain internals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Only its designated recovery/publication/processing commands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Workload scope and persisted operation/job provenance; no impersonation or unrestricted admin role</w:t>
            </w:r>
          </w:p>
        </w:tc>
      </w:tr>
    </w:tbl>
    <w:p/>
    <w:p>
      <w:r>
        <w:t>For Media/Feedback calls, choose a one-way authorisation contract: parent validates and issues a bounded attachment intent, Media records/processes it, and parent links only matching ready assets. Do not have synchronous Media→Feedback→Media validation loops. Private download revalidates parent permission without requiring the parent to download asset bytes.</w:t>
      </w:r>
    </w:p>
    <w:p>
      <w:r>
        <w:t>Service Connect TLS is proposed transport encryption, not the API action authorisation layer. AWS documents that only traffic passing through its agents is encrypted. Protect ALB→BFF and any bypass paths separately; do not call this automatic end-to-end encryption or assume mutual client authentication solves permissions. Restrict security-group ingress to expected callers/ports; scope egress and prevent direct browser access to internal commands. Scope access to Service Connect certificate secrets; do not give all task roles access to those keys.</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 xml:space="preserve">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Architectural Specification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