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 xml:space="preserve">Version 2.4  |  3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Pr>
          <w:p>
            <w:r>
              <w:t xml:space="preserve">2.4</w:t>
            </w:r>
          </w:p>
        </w:tc>
        <w:tc>
          <w:tcPr>
            <w:tcW w:type="dxa" w:w="4392"/>
          </w:tcPr>
          <w:p>
            <w:r>
              <w:t xml:space="preserve">3 October 2026</w:t>
            </w:r>
          </w:p>
        </w:tc>
        <w:tc>
          <w:tcPr>
            <w:tcW w:type="dxa" w:w="3557"/>
          </w:tcPr>
          <w:p>
            <w: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For a need, MatchService reads active offerings, invokes seven calculators, sorts the summed score descending, and returns at most ten results. Reasons are added by calculators that report a match. The frontend demo engine has separate scoring rules; its scores are not interchangeable with backend results.</w:t>
      </w:r>
    </w:p>
    <w:p>
      <w:r>
        <w:t>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Related-wording matching and configurable scoring remain unmet requirements.</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Related-wording matching and configurable scoring remain unmet requirements.</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