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Connecto Technology Implementation</w:t>
      </w:r>
    </w:p>
    <w:p>
      <w:r>
        <w:t>Version 2.7  |  5 October 2026</w:t>
      </w:r>
    </w:p>
    <w:p>
      <w:r>
        <w:t>Audience: Engineers maintaining and deploying Connecto</w:t>
      </w:r>
    </w:p>
    <w:p>
      <w:r>
        <w:t>This document explains the repository implementation, local setup, API contracts, configuration, and release procedure. It distinguishes implemented routes from placeholders so developers can integrate against the actual code. Package versions below describe declared repository dependencies.</w:t>
      </w:r>
    </w:p>
    <w:p>
      <w:pPr>
        <w:pStyle w:val="Heading1"/>
      </w:pPr>
      <w:r>
        <w:t>Version history</w:t>
      </w:r>
    </w:p>
    <w:tbl>
      <w:tblPr>
        <w:tblW w:type="auto" w:w="0"/>
        <w:jc w:val="center"/>
        <w:tblLayout w:type="fixed"/>
        <w:tblLook w:firstColumn="1" w:firstRow="1" w:lastColumn="0" w:lastRow="0" w:noHBand="0" w:noVBand="1" w:val="04A0"/>
      </w:tblPr>
      <w:tblGrid>
        <w:gridCol w:w="1800"/>
        <w:gridCol w:w="4392"/>
        <w:gridCol w:w="3557"/>
      </w:tblGrid>
      <w:tr>
        <w:trPr>
          <w:tblHeader/>
        </w:trPr>
        <w:tc>
          <w:tcPr>
            <w:tcW w:type="dxa" w:w="1800"/>
            <w:vAlign w:val="center"/>
            <w:tcBorders>
              <w:top w:val="single" w:sz="4" w:color="D9D9D9"/>
              <w:left w:val="single" w:sz="4" w:color="D9D9D9"/>
              <w:bottom w:val="single" w:sz="4" w:color="D9D9D9"/>
              <w:right w:val="single" w:sz="4" w:color="D9D9D9"/>
            </w:tcBorders>
            <w:shd w:fill="DCE6EF"/>
            <w:tcMar>
              <w:top w:w="95" w:type="dxa"/>
              <w:left w:w="95" w:type="dxa"/>
              <w:bottom w:w="95" w:type="dxa"/>
              <w:right w:w="95" w:type="dxa"/>
            </w:tcMar>
          </w:tcPr>
          <w:p>
            <w:pPr>
              <w:spacing w:after="60" w:before="60"/>
            </w:pPr>
            <w:r>
              <w:rPr>
                <w:b/>
                <w:sz w:val="20"/>
              </w:rPr>
              <w:t>Version</w:t>
            </w:r>
          </w:p>
        </w:tc>
        <w:tc>
          <w:tcPr>
            <w:tcW w:type="dxa" w:w="4392"/>
            <w:vAlign w:val="center"/>
            <w:tcBorders>
              <w:top w:val="single" w:sz="4" w:color="D9D9D9"/>
              <w:left w:val="single" w:sz="4" w:color="D9D9D9"/>
              <w:bottom w:val="single" w:sz="4" w:color="D9D9D9"/>
              <w:right w:val="single" w:sz="4" w:color="D9D9D9"/>
            </w:tcBorders>
            <w:shd w:fill="DCE6EF"/>
            <w:tcMar>
              <w:top w:w="95" w:type="dxa"/>
              <w:left w:w="95" w:type="dxa"/>
              <w:bottom w:w="95" w:type="dxa"/>
              <w:right w:w="95" w:type="dxa"/>
            </w:tcMar>
          </w:tcPr>
          <w:p>
            <w:pPr>
              <w:spacing w:after="60" w:before="60"/>
            </w:pPr>
            <w:r>
              <w:rPr>
                <w:b/>
                <w:sz w:val="20"/>
              </w:rPr>
              <w:t>Date</w:t>
            </w:r>
          </w:p>
        </w:tc>
        <w:tc>
          <w:tcPr>
            <w:tcW w:type="dxa" w:w="3557"/>
            <w:vAlign w:val="center"/>
            <w:tcBorders>
              <w:top w:val="single" w:sz="4" w:color="D9D9D9"/>
              <w:left w:val="single" w:sz="4" w:color="D9D9D9"/>
              <w:bottom w:val="single" w:sz="4" w:color="D9D9D9"/>
              <w:right w:val="single" w:sz="4" w:color="D9D9D9"/>
            </w:tcBorders>
            <w:shd w:fill="DCE6EF"/>
            <w:tcMar>
              <w:top w:w="95" w:type="dxa"/>
              <w:left w:w="95" w:type="dxa"/>
              <w:bottom w:w="95" w:type="dxa"/>
              <w:right w:w="95" w:type="dxa"/>
            </w:tcMar>
          </w:tcPr>
          <w:p>
            <w:pPr>
              <w:spacing w:after="60" w:before="60"/>
            </w:pPr>
            <w:r>
              <w:rPr>
                <w:b/>
                <w:sz w:val="20"/>
              </w:rPr>
              <w:t>Change</w:t>
            </w:r>
          </w:p>
        </w:tc>
      </w:tr>
      <w:tr>
        <w:tc>
          <w:tcPr>
            <w:tcW w:type="dxa" w:w="1800"/>
            <w:vAlign w:val="center"/>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1.0</w:t>
            </w:r>
          </w:p>
        </w:tc>
        <w:tc>
          <w:tcPr>
            <w:tcW w:type="dxa" w:w="4392"/>
            <w:vAlign w:val="center"/>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1 Oct 2026</w:t>
            </w:r>
          </w:p>
        </w:tc>
        <w:tc>
          <w:tcPr>
            <w:tcW w:type="dxa" w:w="3557"/>
            <w:vAlign w:val="center"/>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Initial documentation baseline covering the current POC and proposed completion work.</w:t>
            </w:r>
          </w:p>
        </w:tc>
      </w:tr>
      <w:tr>
        <w:tc>
          <w:tcPr>
            <w:tcW w:type="dxa" w:w="1800"/>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2.0</w:t>
            </w:r>
          </w:p>
        </w:tc>
        <w:tc>
          <w:tcPr>
            <w:tcW w:type="dxa" w:w="4392"/>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1 Oct 2026</w:t>
            </w:r>
          </w:p>
        </w:tc>
        <w:tc>
          <w:tcPr>
            <w:tcW w:type="dxa" w:w="3557"/>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DCR-008 consolidated DCRs 002 to 007; safety, future architecture, security, delivery gates, source traceability, local repository inventory and latest foundation status. User authorised consolidation with latest-version conflict resolution in Add project documents to docs.</w:t>
            </w:r>
          </w:p>
        </w:tc>
      </w:tr>
      <w:tr>
        <w:tc>
          <w:tcPr>
            <w:tcW w:type="dxa" w:w="1800"/>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2.1</w:t>
            </w:r>
          </w:p>
        </w:tc>
        <w:tc>
          <w:tcPr>
            <w:tcW w:type="dxa" w:w="4392"/>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1 October 2026</w:t>
            </w:r>
          </w:p>
        </w:tc>
        <w:tc>
          <w:tcPr>
            <w:tcW w:type="dxa" w:w="3557"/>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DCR-2026-10-01-009: local Cognito password/refresh alignment; unavailable parsing and no startup AI-key dependency; local verification with staging gates open. Human approval in Plan and implement the POC MVP, chat 01a0f557-a3ee-7572-b6f9-323988c97319: Approve DCR-009. Source implementation turn: begin implementation based on implementation plan; exact turn IDs unavailable.</w:t>
            </w:r>
          </w:p>
        </w:tc>
      </w:tr>
      <w:tr>
        <w:tc>
          <w:tcPr>
            <w:tcW w:type="dxa" w:w="1800"/>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2.2</w:t>
            </w:r>
          </w:p>
        </w:tc>
        <w:tc>
          <w:tcPr>
            <w:tcW w:type="dxa" w:w="4392"/>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1 October 2026</w:t>
            </w:r>
          </w:p>
        </w:tc>
        <w:tc>
          <w:tcPr>
            <w:tcW w:type="dxa" w:w="3557"/>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DCR-2026-10-01-010: Feature/shared/service layout, ESLint boundary checks, automatic JSX runtime and injected operations; unused browser-persistence hook removed. Human approval: Approve DCR-010, Plan and implement the POC MVP, chat 01a0f557-a3ee-7572-b6f9-323988c97319. Source: enforce the frontend implementation are componentized which is isolated, scalable and maintainable. Exact turn identifiers unavailable.</w:t>
            </w:r>
          </w:p>
        </w:tc>
      </w:tr>
      <w:tr>
        <w:tc>
          <w:tcPr>
            <w:tcW w:type="dxa" w:w="1800"/>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 xml:space="preserve">2.3</w:t>
            </w:r>
          </w:p>
        </w:tc>
        <w:tc>
          <w:tcPr>
            <w:tcW w:type="dxa" w:w="4392"/>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 xml:space="preserve">1 October 2026</w:t>
            </w:r>
          </w:p>
        </w:tc>
        <w:tc>
          <w:tcPr>
            <w:tcW w:type="dxa" w:w="3557"/>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 xml:space="preserve">DCR-2026-10-01-011: Cognito refresh resilience, account/session isolation, sign-in cancellation, truthful profile setup and persistent profile editing; local verification with real environment gates open. Human approval: approve DCR-011, Set up Cognito with Terraform, chat 01a0f6a3-c6e4-7f72-8f6a-8a17ccaea900, turn 01a0f6ec-02de-7c21-b48f-efef6e2661bf. Source: S0 implementation and S0–S1 continuation, including turn 01a0f6e1-d6c9-71e0-b100-14713b05955d; original Implement Cognito login and refresh chat 01a0f699-8496-76e1-8c6f-8a18e8431310, turn 01a0f69b-8b8c-7763-978b-5016e5b0d7d2. Full evidence and source references are in docs/document-change-register.md.</w:t>
            </w:r>
          </w:p>
        </w:tc>
      </w:tr>
      <w:tr>
        <w:tc>
          <w:tcPr>
            <w:tcW w:type="dxa" w:w="1800"/>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 xml:space="preserve">2.4</w:t>
            </w:r>
          </w:p>
        </w:tc>
        <w:tc>
          <w:tcPr>
            <w:tcW w:type="dxa" w:w="4392"/>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 xml:space="preserve">3 October 2026</w:t>
            </w:r>
          </w:p>
        </w:tc>
        <w:tc>
          <w:tcPr>
            <w:tcW w:type="dxa" w:w="3557"/>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 xml:space="preserve">DCR-2026-10-03-012: recorded F3 local SQL Server acceptance for S1 profile/activity. Standing implementation-document editing approval from the human in Add project documents to docs, 1 October 2026. Source: current Connecto chat, human requests 'yes, sound good, let's start' and 'continue'; evidence: docs/test-evidence/2026-10-03/f3-local-sql-acceptance.md. Real Cognito, browser and staging gates remain open.</w:t>
            </w:r>
          </w:p>
        </w:tc>
      </w:tr>
      <w:tr>
        <w:tc>
          <w:tcPr>
            <w:tcW w:type="dxa" w:w="1800"/>
          </w:tcPr>
          <w:p>
            <w:r>
              <w:t>2.5</w:t>
            </w:r>
          </w:p>
        </w:tc>
        <w:tc>
          <w:tcPr>
            <w:tcW w:type="dxa" w:w="4392"/>
          </w:tcPr>
          <w:p>
            <w:r>
              <w:t>4 Oct 2026</w:t>
            </w:r>
          </w:p>
        </w:tc>
        <w:tc>
          <w:tcPr>
            <w:tcW w:type="dxa" w:w="3557"/>
          </w:tcPr>
          <w:p>
            <w:r>
              <w:t>DCR-2026-10-03-013 approved NZD, pricing, taxonomy, legacy migration and lifecycle contract; implementation remains planned. Suggest implementation next step, chat 01a10129-b110-7792-8a7d-a86eb94c0cad; proposal turn 01a10151-ca33-75e3-88ca-394c0f0bd3c4; human approval turn 01a10153-c8c8-7502-bc16-f14816018ea1, message 01a10153-cdab-7360-91a4-d862abb4beb9: approve.</w:t>
            </w:r>
          </w:p>
        </w:tc>
      </w:tr>
      <w:tr>
        <w:tc>
          <w:tcPr>
            <w:tcW w:type="dxa" w:w="1800"/>
          </w:tcPr>
          <w:p>
            <w:r>
              <w:t xml:space="preserve">2.6</w:t>
            </w:r>
          </w:p>
        </w:tc>
        <w:tc>
          <w:tcPr>
            <w:tcW w:type="dxa" w:w="4392"/>
          </w:tcPr>
          <w:p>
            <w:r>
              <w:t xml:space="preserve">5 October 2026</w:t>
            </w:r>
          </w:p>
        </w:tc>
        <w:tc>
          <w:tcPr>
            <w:tcW w:type="dxa" w:w="3557"/>
          </w:tcPr>
          <w:p>
            <w:r>
              <w:t xml:space="preserve">DCR-2026-10-05-014: local S3 search, detail, eligibility, configured scoring and React integration; release gates remain open. Standing implementation-document approval from Add project documents to docs, 1 October 2026; source: Complete S3 backend and frontend implementation, 5 October 2026.</w:t>
            </w:r>
          </w:p>
        </w:tc>
      </w:tr>
      <w:tr>
        <w:tc>
          <w:tcPr>
            <w:tcW w:type="dxa" w:w="1800"/>
          </w:tcPr>
          <w:p>
            <w:r>
              <w:t>2.7</w:t>
            </w:r>
          </w:p>
        </w:tc>
        <w:tc>
          <w:tcPr>
            <w:tcW w:type="dxa" w:w="4392"/>
          </w:tcPr>
          <w:p>
            <w:r>
              <w:t>5 Oct 2026</w:t>
            </w:r>
          </w:p>
        </w:tc>
        <w:tc>
          <w:tcPr>
            <w:tcW w:type="dxa" w:w="3557"/>
          </w:tcPr>
          <w:p>
            <w:r>
              <w:t>DCR-015 local S4 safety and outbox implementation status; release and policy gates remain open. Standing implementation-document editing approval, Add project documents to docs, 1 October 2026. Human request in this chat, 5 October 2026: complete s4 frontend and backend implementation.</w:t>
            </w:r>
          </w:p>
        </w:tc>
      </w:tr>
    </w:tbl>
    <w:p>
      <w:pPr>
        <w:spacing w:after="40"/>
      </w:pPr>
    </w:p>
    <w:p>
      <w:r>
        <w:t>Revision authorised in Add project documents to docs on 1 October 2026 under DCR-2026-10-01-008. Earlier version-history entries are retained. GitHub publication requires separate approval.</w:t>
      </w:r>
    </w:p>
    <w:p>
      <w:pPr>
        <w:pStyle w:val="Heading1"/>
      </w:pPr>
      <w:r>
        <w:t>Technology inventory</w:t>
      </w:r>
    </w:p>
    <w:tbl>
      <w:tblPr>
        <w:tblW w:type="auto" w:w="0"/>
        <w:jc w:val="center"/>
        <w:tblLayout w:type="fixed"/>
        <w:tblLook w:firstColumn="1" w:firstRow="1" w:lastColumn="0" w:lastRow="0" w:noHBand="0" w:noVBand="1" w:val="04A0"/>
      </w:tblPr>
      <w:tblGrid>
        <w:gridCol w:w="1944"/>
        <w:gridCol w:w="7805"/>
      </w:tblGrid>
      <w:tr>
        <w:trPr>
          <w:tblHeader/>
        </w:trPr>
        <w:tc>
          <w:tcPr>
            <w:tcW w:type="dxa" w:w="1944"/>
            <w:vAlign w:val="center"/>
            <w:tcBorders>
              <w:top w:val="single" w:sz="4" w:color="D9D9D9"/>
              <w:left w:val="single" w:sz="4" w:color="D9D9D9"/>
              <w:bottom w:val="single" w:sz="4" w:color="D9D9D9"/>
              <w:right w:val="single" w:sz="4" w:color="D9D9D9"/>
            </w:tcBorders>
            <w:shd w:fill="DCE6EF"/>
            <w:tcMar>
              <w:top w:w="95" w:type="dxa"/>
              <w:left w:w="95" w:type="dxa"/>
              <w:bottom w:w="95" w:type="dxa"/>
              <w:right w:w="95" w:type="dxa"/>
            </w:tcMar>
          </w:tcPr>
          <w:p>
            <w:pPr>
              <w:spacing w:after="60" w:before="60"/>
            </w:pPr>
            <w:r>
              <w:rPr>
                <w:b/>
                <w:sz w:val="20"/>
              </w:rPr>
              <w:t>Area</w:t>
            </w:r>
          </w:p>
        </w:tc>
        <w:tc>
          <w:tcPr>
            <w:tcW w:type="dxa" w:w="7805"/>
            <w:vAlign w:val="center"/>
            <w:tcBorders>
              <w:top w:val="single" w:sz="4" w:color="D9D9D9"/>
              <w:left w:val="single" w:sz="4" w:color="D9D9D9"/>
              <w:bottom w:val="single" w:sz="4" w:color="D9D9D9"/>
              <w:right w:val="single" w:sz="4" w:color="D9D9D9"/>
            </w:tcBorders>
            <w:shd w:fill="DCE6EF"/>
            <w:tcMar>
              <w:top w:w="95" w:type="dxa"/>
              <w:left w:w="95" w:type="dxa"/>
              <w:bottom w:w="95" w:type="dxa"/>
              <w:right w:w="95" w:type="dxa"/>
            </w:tcMar>
          </w:tcPr>
          <w:p>
            <w:pPr>
              <w:spacing w:after="60" w:before="60"/>
            </w:pPr>
            <w:r>
              <w:rPr>
                <w:b/>
                <w:sz w:val="20"/>
              </w:rPr>
              <w:t>Declared technology</w:t>
            </w:r>
          </w:p>
        </w:tc>
      </w:tr>
      <w:tr>
        <w:tc>
          <w:tcPr>
            <w:tcW w:type="dxa" w:w="1944"/>
            <w:vAlign w:val="center"/>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Frontend</w:t>
            </w:r>
          </w:p>
        </w:tc>
        <w:tc>
          <w:tcPr>
            <w:tcW w:type="dxa" w:w="7805"/>
            <w:vAlign w:val="center"/>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React and React DOM ^19.1.1; Vite ^7.1.7; lucide-react ^0.468.0; JavaScript modules.</w:t>
            </w:r>
          </w:p>
        </w:tc>
      </w:tr>
      <w:tr>
        <w:tc>
          <w:tcPr>
            <w:tcW w:type="dxa" w:w="1944"/>
            <w:vAlign w:val="center"/>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Frontend checks</w:t>
            </w:r>
          </w:p>
        </w:tc>
        <w:tc>
          <w:tcPr>
            <w:tcW w:type="dxa" w:w="7805"/>
            <w:vAlign w:val="center"/>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Node test runner; ESLint ^9.36.0; Prettier ^3.9.9. README specifies Node 20.19+ or 22.12+.</w:t>
            </w:r>
          </w:p>
        </w:tc>
      </w:tr>
      <w:tr>
        <w:tc>
          <w:tcPr>
            <w:tcW w:type="dxa" w:w="1944"/>
            <w:vAlign w:val="center"/>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Backend</w:t>
            </w:r>
          </w:p>
        </w:tc>
        <w:tc>
          <w:tcPr>
            <w:tcW w:type="dxa" w:w="7805"/>
            <w:vAlign w:val="center"/>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ASP.NET Core targeting net10.0; EF Core and SQL Server provider 10.0.12.</w:t>
            </w:r>
          </w:p>
        </w:tc>
      </w:tr>
      <w:tr>
        <w:tc>
          <w:tcPr>
            <w:tcW w:type="dxa" w:w="1944"/>
            <w:vAlign w:val="center"/>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Infrastructure</w:t>
            </w:r>
          </w:p>
        </w:tc>
        <w:tc>
          <w:tcPr>
            <w:tcW w:type="dxa" w:w="7805"/>
            <w:vAlign w:val="center"/>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Terraform &gt;=1.9.0; AWS provider ~&gt;6.0; Cognito, ECS, ECR, RDS, ALB, Secrets Manager, CloudWatch.</w:t>
            </w:r>
          </w:p>
        </w:tc>
      </w:tr>
    </w:tbl>
    <w:p>
      <w:pPr>
        <w:spacing w:after="40"/>
      </w:pPr>
    </w:p>
    <w:p>
      <w:pPr>
        <w:pStyle w:val="Heading1"/>
      </w:pPr>
      <w:r>
        <w:t>Repository layout</w:t>
      </w:r>
    </w:p>
    <w:p>
      <w:r>
        <w:t>The frontend uses src/app, src/features/{auth,members,listings,discovery,activity,conversations}, src/shared/{ui,lib} and src/services. Feature index.js files define public interfaces. A local ESLint rule rejects forbidden relative dependency directions, cross-feature private imports, re-exports and literal dynamic imports. UI lint rules reject direct fetch/localStorage/sessionStorage access; new aliases or loaders must extend the resolver and negative tests before adoption. React hook lint rules remain enabled. Vite uses the automatic React JSX runtime. Tokens/private collections remain in session memory, authentication operations are injected into UI, and the unused browser-persistence hook is removed. These checks do not replace server resource authorisation, browser security review or real user journeys.</w:t>
      </w:r>
    </w:p>
    <w:p>
      <w:pPr/>
      <w:r>
        <w:t>Backend projects separate Api, Application, Domain, Infrastructure, Database, and Tests.Unit responsibilities.</w:t>
      </w:r>
    </w:p>
    <w:p>
      <w:r>
        <w:br w:type="page"/>
      </w:r>
    </w:p>
    <w:p>
      <w:pPr>
        <w:pStyle w:val="Heading1"/>
      </w:pPr>
      <w:r>
        <w:t>Local configuration and HTTP contracts</w:t>
      </w:r>
    </w:p>
    <w:p>
      <w:pPr>
        <w:pStyle w:val="Heading1"/>
      </w:pPr>
      <w:r>
        <w:t>Run locally</w:t>
      </w:r>
    </w:p>
    <w:p>
      <w:r>
        <w:t>Backend: configure a development SQL Server connection, Cognito:Issuer, Cognito:Audience. OpenAI key/model settings are optional and do not enable the unavailable parser. Restore and build the backend. Apply reviewed EF migrations, then run dotnet run --project Connecto.Api/Connecto.Api.csproj --launch-profile http from connecto-api. The local HTTP launch profile uses port 5247.</w:t>
      </w:r>
    </w:p>
    <w:p>
      <w:r>
        <w:t>Frontend: preserve existing .env.local values; configure CONNECTO_API_TARGET=http://localhost:5247, VITE_COGNITO_REGION, and VITE_COGNITO_CLIENT_ID. VITE_CONNECTO_API_BASE_URL can remain empty for the Vite development proxy. Run npm install and npm run dev from connecto-app; restart after configuration changes. Production builds need an explicit same-origin routing or API-origin strategy.</w:t>
      </w:r>
    </w:p>
    <w:tbl>
      <w:tblPr>
        <w:tblW w:type="auto" w:w="0"/>
        <w:jc w:val="center"/>
        <w:tblLayout w:type="fixed"/>
        <w:tblLook w:firstColumn="1" w:firstRow="1" w:lastColumn="0" w:lastRow="0" w:noHBand="0" w:noVBand="1" w:val="04A0"/>
      </w:tblPr>
      <w:tblGrid>
        <w:gridCol w:w="1944"/>
        <w:gridCol w:w="7805"/>
      </w:tblGrid>
      <w:tr>
        <w:trPr>
          <w:tblHeader/>
        </w:trPr>
        <w:tc>
          <w:tcPr>
            <w:tcW w:type="dxa" w:w="1944"/>
            <w:vAlign w:val="center"/>
            <w:tcBorders>
              <w:top w:val="single" w:sz="4" w:color="D9D9D9"/>
              <w:left w:val="single" w:sz="4" w:color="D9D9D9"/>
              <w:bottom w:val="single" w:sz="4" w:color="D9D9D9"/>
              <w:right w:val="single" w:sz="4" w:color="D9D9D9"/>
            </w:tcBorders>
            <w:shd w:fill="DCE6EF"/>
            <w:tcMar>
              <w:top w:w="95" w:type="dxa"/>
              <w:left w:w="95" w:type="dxa"/>
              <w:bottom w:w="95" w:type="dxa"/>
              <w:right w:w="95" w:type="dxa"/>
            </w:tcMar>
          </w:tcPr>
          <w:p>
            <w:pPr>
              <w:spacing w:after="60" w:before="60"/>
            </w:pPr>
            <w:r>
              <w:rPr>
                <w:b/>
                <w:sz w:val="20"/>
              </w:rPr>
              <w:t>Method and route</w:t>
            </w:r>
          </w:p>
        </w:tc>
        <w:tc>
          <w:tcPr>
            <w:tcW w:type="dxa" w:w="7805"/>
            <w:vAlign w:val="center"/>
            <w:tcBorders>
              <w:top w:val="single" w:sz="4" w:color="D9D9D9"/>
              <w:left w:val="single" w:sz="4" w:color="D9D9D9"/>
              <w:bottom w:val="single" w:sz="4" w:color="D9D9D9"/>
              <w:right w:val="single" w:sz="4" w:color="D9D9D9"/>
            </w:tcBorders>
            <w:shd w:fill="DCE6EF"/>
            <w:tcMar>
              <w:top w:w="95" w:type="dxa"/>
              <w:left w:w="95" w:type="dxa"/>
              <w:bottom w:w="95" w:type="dxa"/>
              <w:right w:w="95" w:type="dxa"/>
            </w:tcMar>
          </w:tcPr>
          <w:p>
            <w:pPr>
              <w:spacing w:after="60" w:before="60"/>
            </w:pPr>
            <w:r>
              <w:rPr>
                <w:b/>
                <w:sz w:val="20"/>
              </w:rPr>
              <w:t>Behaviour</w:t>
            </w:r>
          </w:p>
        </w:tc>
      </w:tr>
      <w:tr>
        <w:tc>
          <w:tcPr>
            <w:tcW w:type="dxa" w:w="1944"/>
            <w:vAlign w:val="center"/>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GET /health</w:t>
            </w:r>
          </w:p>
        </w:tc>
        <w:tc>
          <w:tcPr>
            <w:tcW w:type="dxa" w:w="7805"/>
            <w:vAlign w:val="center"/>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Public server health response; does not test the database.</w:t>
            </w:r>
          </w:p>
        </w:tc>
      </w:tr>
      <w:tr>
        <w:tc>
          <w:tcPr>
            <w:tcW w:type="dxa" w:w="1944"/>
            <w:vAlign w:val="center"/>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GET /api/users/me</w:t>
            </w:r>
          </w:p>
        </w:tc>
        <w:tc>
          <w:tcPr>
            <w:tcW w:type="dxa" w:w="7805"/>
            <w:vAlign w:val="center"/>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Authenticated internal profile projection and lazy provisioning.</w:t>
            </w:r>
          </w:p>
        </w:tc>
      </w:tr>
      <w:tr>
        <w:tc>
          <w:tcPr>
            <w:tcW w:type="dxa" w:w="1944"/>
            <w:vAlign w:val="center"/>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POST /api/needs</w:t>
            </w:r>
          </w:p>
        </w:tc>
        <w:tc>
          <w:tcPr>
            <w:tcW w:type="dxa" w:w="7805"/>
            <w:vAlign w:val="center"/>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Creates an owned need; returns ID, title, category, status.</w:t>
            </w:r>
          </w:p>
        </w:tc>
      </w:tr>
      <w:tr>
        <w:tc>
          <w:tcPr>
            <w:tcW w:type="dxa" w:w="1944"/>
            <w:vAlign w:val="center"/>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POST /api/offerings</w:t>
            </w:r>
          </w:p>
        </w:tc>
        <w:tc>
          <w:tcPr>
            <w:tcW w:type="dxa" w:w="7805"/>
            <w:vAlign w:val="center"/>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Creates an owned offering; returns ID, title, category, status.</w:t>
            </w:r>
          </w:p>
        </w:tc>
      </w:tr>
      <w:tr>
        <w:tc>
          <w:tcPr>
            <w:tcW w:type="dxa" w:w="1944"/>
            <w:vAlign w:val="center"/>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GET /api/needs/{needId}/matches</w:t>
            </w:r>
          </w:p>
        </w:tc>
        <w:tc>
          <w:tcPr>
            <w:tcW w:type="dxa" w:w="7805"/>
            <w:vAlign w:val="center"/>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Owner-only ranking with nested score, total, and reasons.</w:t>
            </w:r>
          </w:p>
        </w:tc>
      </w:tr>
      <w:tr>
        <w:tc>
          <w:tcPr>
            <w:tcW w:type="dxa" w:w="1944"/>
            <w:vAlign w:val="center"/>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GET /api/offerings/{id}/matches</w:t>
            </w:r>
          </w:p>
        </w:tc>
        <w:tc>
          <w:tcPr>
            <w:tcW w:type="dxa" w:w="7805"/>
            <w:vAlign w:val="center"/>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Owner policy is implemented; response remains a placeholder.</w:t>
            </w:r>
          </w:p>
        </w:tc>
      </w:tr>
      <w:tr>
        <w:tc>
          <w:tcPr>
            <w:tcW w:type="dxa" w:w="1944"/>
            <w:vAlign w:val="center"/>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POST /api/ai/parse/need or /offering</w:t>
            </w:r>
          </w:p>
        </w:tc>
        <w:tc>
          <w:tcPr>
            <w:tcW w:type="dxa" w:w="7805"/>
            <w:vAlign w:val="center"/>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Authenticated 503 application/problem+json with manual-entry guidance; parsing is unavailable and structured posting requires no AI key.</w:t>
            </w:r>
          </w:p>
        </w:tc>
      </w:tr>
      <w:tr>
        <w:tc>
          <w:tcPr>
            <w:tcW w:type="dxa" w:w="1944"/>
            <w:vAlign w:val="center"/>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GET /api/discover/offerings and GET /api/discover/offerings/{id}</w:t>
            </w:r>
          </w:p>
        </w:tc>
        <w:tc>
          <w:tcPr>
            <w:tcW w:type="dxa" w:w="7805"/>
            <w:vAlign w:val="center"/>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Authenticated persisted search with category, availability, related-wording query and pagination; public Offering details exclude private account fields. Self, unpublished and legacy-unknown listings are hidden. GET /api/matches/preview remains a placeholder.</w:t>
            </w:r>
          </w:p>
        </w:tc>
      </w:tr>
    </w:tbl>
    <w:p>
      <w:pPr>
        <w:spacing w:after="40"/>
      </w:pPr>
    </w:p>
    <w:p>
      <w:r>
        <w:t>Use Cognito access tokens in Authorization: Bearer. Older README routes such as /api/user/create and /api/listing-parse are not the current controller contracts. The offering creation Location header does not establish a working GET offering detail endpoint.</w:t>
      </w:r>
    </w:p>
    <w:p>
      <w:r>
        <w:br w:type="page"/>
      </w:r>
    </w:p>
    <w:p>
      <w:pPr>
        <w:pStyle w:val="Heading1"/>
      </w:pPr>
      <w:r>
        <w:t>Data mapping and implementation constraints</w:t>
      </w:r>
    </w:p>
    <w:p>
      <w:pPr>
        <w:pStyle w:val="Heading1"/>
      </w:pPr>
      <w:r>
        <w:t>Listing payloads</w:t>
      </w:r>
    </w:p>
    <w:p>
      <w:r>
        <w:t>Need fields: title, description, category, skills, budgetMin, budgetMax, location, deadline. Offering fields: title, description, category, skills, priceMin, priceMax, location, remoteAvailable, availableFrom, availableUntil, experienceYears. Nullable monetary values, dates, and location are represented by nullable request types; inspect service validation before extending field rules.</w:t>
      </w:r>
    </w:p>
    <w:p>
      <w:r>
        <w:t>Supported API skills documented in the app are Programming, Design, Marketing, Sales, React, Typescript, and Building. Garden helpers and other mock neighbours are illustrative browser data. UI hours, distance, and tool preferences do not establish matching backend fields; agree mappings before expanding the contract.</w:t>
      </w:r>
    </w:p>
    <w:p>
      <w:pPr>
        <w:pStyle w:val="Heading1"/>
      </w:pPr>
      <w:r>
        <w:t>Identity integration issue</w:t>
      </w:r>
    </w:p>
    <w:p>
      <w:r>
        <w:t>Terraform explicit_auth_flows contains ALLOW_USER_PASSWORD_AUTH, ALLOW_USER_SRP_AUTH and ALLOW_REFRESH_TOKEN_AUTH for the existing public client with no client secret. The workspace command node --test docs/domain-design/identity-contract.test.mjs, run from the Connecto root, compares real frontend login/refresh requests with the sibling API declaration. It is intentionally separate from app-only tests. Terraform formatting/validation and local API regression checks pass; a fresh plan against existing state and real Cognito/SQL/browser/deployment verification are required before release. Do not reuse historical Terraform change counts or infer that local configuration was applied.</w:t>
      </w:r>
    </w:p>
    <w:p>
      <w:r>
        <w:t xml:space="preserve">Refresh-token rotation must be disabled for REFRESH_TOKEN_AUTH. MFA, temporary-password challenges, device remembering and recovery UI remain unfinished.</w:t>
      </w:r>
    </w:p>
    <w:p>
      <w:pPr>
        <w:pStyle w:val="Heading1"/>
      </w:pPr>
      <w:r>
        <w:t>Matching implementation</w:t>
      </w:r>
    </w:p>
    <w:p>
      <w:r>
        <w:t xml:space="preserve">MatchScore.Total sums skills, requirements, availability, budget, location, experience and reputation. MatchingEngine scales these calculator results using validated Matching:Weights configuration with a policy version. MatchService first excludes self, unpublished, legacy-unknown, wrong-category, pricing-incompatible and other hard-incompatible Offerings, then returns the highest ten. Missing factors do not receive invented positive scores.</w:t>
      </w:r>
    </w:p>
    <w:p>
      <w:pPr>
        <w:pStyle w:val="Heading1"/>
      </w:pPr>
      <w:r>
        <w:t>Database implementation</w:t>
      </w:r>
    </w:p>
    <w:p>
      <w:r>
        <w:t>Both hosts call DatabaseConfiguration.GetConnectionString. A local DefaultConnection is used only when Database:Server is absent. Otherwise Server, Name, Username, and Password are required and passed through SqlConnectionStringBuilder. This preserves password delimiters and requires encrypted connections with trusted certificates. AddAuthSubjectId is additive and introduces the filtered identity index.</w:t>
      </w:r>
    </w:p>
    <w:p>
      <w:r>
        <w:br w:type="page"/>
      </w:r>
    </w:p>
    <w:p>
      <w:pPr>
        <w:pStyle w:val="Heading1"/>
      </w:pPr>
      <w:r>
        <w:t>Deployment configuration and maintenance</w:t>
      </w:r>
    </w:p>
    <w:p>
      <w:pPr>
        <w:pStyle w:val="Heading1"/>
      </w:pPr>
      <w:r>
        <w:t>Required environment values</w:t>
      </w:r>
    </w:p>
    <w:tbl>
      <w:tblPr>
        <w:tblW w:type="auto" w:w="0"/>
        <w:jc w:val="center"/>
        <w:tblLayout w:type="fixed"/>
        <w:tblLook w:firstColumn="1" w:firstRow="1" w:lastColumn="0" w:lastRow="0" w:noHBand="0" w:noVBand="1" w:val="04A0"/>
      </w:tblPr>
      <w:tblGrid>
        <w:gridCol w:w="1944"/>
        <w:gridCol w:w="7805"/>
      </w:tblGrid>
      <w:tr>
        <w:trPr>
          <w:tblHeader/>
        </w:trPr>
        <w:tc>
          <w:tcPr>
            <w:tcW w:type="dxa" w:w="1944"/>
            <w:vAlign w:val="center"/>
            <w:tcBorders>
              <w:top w:val="single" w:sz="4" w:color="D9D9D9"/>
              <w:left w:val="single" w:sz="4" w:color="D9D9D9"/>
              <w:bottom w:val="single" w:sz="4" w:color="D9D9D9"/>
              <w:right w:val="single" w:sz="4" w:color="D9D9D9"/>
            </w:tcBorders>
            <w:shd w:fill="DCE6EF"/>
            <w:tcMar>
              <w:top w:w="95" w:type="dxa"/>
              <w:left w:w="95" w:type="dxa"/>
              <w:bottom w:w="95" w:type="dxa"/>
              <w:right w:w="95" w:type="dxa"/>
            </w:tcMar>
          </w:tcPr>
          <w:p>
            <w:pPr>
              <w:spacing w:after="60" w:before="60"/>
            </w:pPr>
            <w:r>
              <w:rPr>
                <w:b/>
                <w:sz w:val="20"/>
              </w:rPr>
              <w:t>Configuration</w:t>
            </w:r>
          </w:p>
        </w:tc>
        <w:tc>
          <w:tcPr>
            <w:tcW w:type="dxa" w:w="7805"/>
            <w:vAlign w:val="center"/>
            <w:tcBorders>
              <w:top w:val="single" w:sz="4" w:color="D9D9D9"/>
              <w:left w:val="single" w:sz="4" w:color="D9D9D9"/>
              <w:bottom w:val="single" w:sz="4" w:color="D9D9D9"/>
              <w:right w:val="single" w:sz="4" w:color="D9D9D9"/>
            </w:tcBorders>
            <w:shd w:fill="DCE6EF"/>
            <w:tcMar>
              <w:top w:w="95" w:type="dxa"/>
              <w:left w:w="95" w:type="dxa"/>
              <w:bottom w:w="95" w:type="dxa"/>
              <w:right w:w="95" w:type="dxa"/>
            </w:tcMar>
          </w:tcPr>
          <w:p>
            <w:pPr>
              <w:spacing w:after="60" w:before="60"/>
            </w:pPr>
            <w:r>
              <w:rPr>
                <w:b/>
                <w:sz w:val="20"/>
              </w:rPr>
              <w:t>Purpose</w:t>
            </w:r>
          </w:p>
        </w:tc>
      </w:tr>
      <w:tr>
        <w:tc>
          <w:tcPr>
            <w:tcW w:type="dxa" w:w="1944"/>
            <w:vAlign w:val="center"/>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COGNITO_ISSUER and COGNITO_APP_CLIENT_ID</w:t>
            </w:r>
          </w:p>
        </w:tc>
        <w:tc>
          <w:tcPr>
            <w:tcW w:type="dxa" w:w="7805"/>
            <w:vAlign w:val="center"/>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GitHub production variables injected as Cognito__Issuer and Cognito__Audience.</w:t>
            </w:r>
          </w:p>
        </w:tc>
      </w:tr>
      <w:tr>
        <w:tc>
          <w:tcPr>
            <w:tcW w:type="dxa" w:w="1944"/>
            <w:vAlign w:val="center"/>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DATABASE_SERVER and DATABASE_NAME</w:t>
            </w:r>
          </w:p>
        </w:tc>
        <w:tc>
          <w:tcPr>
            <w:tcW w:type="dxa" w:w="7805"/>
            <w:vAlign w:val="center"/>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Host and port, and intended database name; injected into API and migration tasks.</w:t>
            </w:r>
          </w:p>
        </w:tc>
      </w:tr>
      <w:tr>
        <w:tc>
          <w:tcPr>
            <w:tcW w:type="dxa" w:w="1944"/>
            <w:vAlign w:val="center"/>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DATABASE_CREDENTIALS_SECRET_ARN</w:t>
            </w:r>
          </w:p>
        </w:tc>
        <w:tc>
          <w:tcPr>
            <w:tcW w:type="dxa" w:w="7805"/>
            <w:vAlign w:val="center"/>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RDS secret; inject username and password JSON keys separately.</w:t>
            </w:r>
          </w:p>
        </w:tc>
      </w:tr>
      <w:tr>
        <w:tc>
          <w:tcPr>
            <w:tcW w:type="dxa" w:w="1944"/>
            <w:vAlign w:val="center"/>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MIGRATION_SUBNET_IDS and MIGRATION_SECURITY_GROUP</w:t>
            </w:r>
          </w:p>
        </w:tc>
        <w:tc>
          <w:tcPr>
            <w:tcW w:type="dxa" w:w="7805"/>
            <w:vAlign w:val="center"/>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Private task networking with database reachability and required AWS service egress.</w:t>
            </w:r>
          </w:p>
        </w:tc>
      </w:tr>
      <w:tr>
        <w:tc>
          <w:tcPr>
            <w:tcW w:type="dxa" w:w="1944"/>
            <w:vAlign w:val="center"/>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AWS_DEPLOY_ROLE_ARN</w:t>
            </w:r>
          </w:p>
        </w:tc>
        <w:tc>
          <w:tcPr>
            <w:tcW w:type="dxa" w:w="7805"/>
            <w:vAlign w:val="center"/>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Deployment role; confirm ECS actions and PassRole permissions.</w:t>
            </w:r>
          </w:p>
        </w:tc>
      </w:tr>
      <w:tr>
        <w:tc>
          <w:tcPr>
            <w:tcW w:type="dxa" w:w="1944"/>
            <w:vAlign w:val="center"/>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ECS_CLUSTER and MIGRATION_TASK_DEFINITION</w:t>
            </w:r>
          </w:p>
        </w:tc>
        <w:tc>
          <w:tcPr>
            <w:tcW w:type="dxa" w:w="7805"/>
            <w:vAlign w:val="center"/>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Optional migration workflow overrides; verify actual API resource names in deployment.yml.</w:t>
            </w:r>
          </w:p>
        </w:tc>
      </w:tr>
    </w:tbl>
    <w:p>
      <w:pPr>
        <w:spacing w:after="40"/>
      </w:pPr>
    </w:p>
    <w:p>
      <w:r>
        <w:t>Review Terraform against the original state before applying. Apply migration task and IAM prerequisites; confirm database naming. Build and publish the image; run the migration revision using that image; require successful container exit before deploying the API. Preserve existing OpenAI secret configuration. The API execution role needs access to the RDS secret and applicable KMS permissions.</w:t>
      </w:r>
    </w:p>
    <w:p>
      <w:pPr>
        <w:pStyle w:val="Heading1"/>
      </w:pPr>
      <w:r>
        <w:t>Maintenance and verification</w:t>
      </w:r>
    </w:p>
    <w:p>
      <w:r>
        <w:t>Run dotnet build and dotnet test, and frontend npm test, npm run build, and npm run lint. Review Terraform formatting and validation and workflow YAML. The continuation record notes an npm launcher issue in this workspace; use the configured Node executable and package entrypoints if that issue persists.</w:t>
      </w:r>
    </w:p>
    <w:p>
      <w:r>
        <w:t>Redeploy tasks after injected secret rotation. Separate runtime and migration database permissions in future work. Verify SQL certificate trust, Docker execution, live ECS stability, and RDS migrations in staging; these are not established by local tests. Keep secrets out of documentation, source control, screenshots, and logs.</w:t>
      </w:r>
    </w:p>
    <w:p>
      <w:pPr>
        <w:pStyle w:val="Heading1"/>
      </w:pPr>
      <w:r>
        <w:t>Reference files</w:t>
      </w:r>
    </w:p>
    <w:p>
      <w:r>
        <w:t>Implementation authority: API controllers, Program.cs, Authentication, DatabaseConfiguration.cs, Database/Program.cs, Dockerfile, terraform/cognito.tf and ecs.tf, deployment workflows, frontend services/api.js and cognito.js. docs/continuation.md records recent migration fixes and local verification; AUTHENTICATION.md describes the earlier authentication change and contains a superseded migration limitation.</w:t>
      </w:r>
    </w:p>
    <w:p>
      <w:r>
        <w:br w:type="page"/>
      </w:r>
    </w:p>
    <w:p>
      <w:pPr>
        <w:pStyle w:val="Heading1"/>
      </w:pPr>
      <w:r>
        <w:t>Consolidated scope and latest implementation</w:t>
      </w:r>
    </w:p>
    <w:p>
      <w:r>
        <w:t>The foundation POC covers secure identity, persistent profiles and listings, validated listing terms, real discovery and explainable matching. The expanded domain MVP adds connection requests, explicit accepted terms, persistent coordination, independent completion reports, reciprocal feedback, optional outcome photos, safety operations and business measurement. All advertised workflows use server-owned state. Payments, escrow, logistics, subscriptions, complex bidding, professional certification and a composite trust score remain excluded. Detailed capacity, cancellation, review windows, retention, eligible categories and ages, image visibility, and staffing policies still require decisions before dependent release.</w:t>
      </w:r>
    </w:p>
    <w:p>
      <w:r>
        <w:t xml:space="preserve">The initial foundation slice implements authenticated profile editing and member-scoped, paginated activity retrieval. Login loads persisted profile and activity; logout and account changes clear private session state. Session generations reject delayed API and Cognito responses from obsolete accounts. Tokens and private collections remain in memory; legacy shared private storage keys are removed. On 3 October 2026, a dedicated local SQL Server database passed one opt-in F3 API acceptance test covering profile persistence, ownership and activity paging across fresh API hosts. That test used signed local JWTs and an in-process API host. Real Cognito, interactive browser and AWS staging acceptance remain outstanding.</w:t>
      </w:r>
    </w:p>
    <w:p>
      <w:r>
        <w:t xml:space="preserve">F3 local SQL acceptance passed on 3 October 2026 against a dedicated migrated LocalDB database: one test passed without skips, and cleanup left no test-prefix users. The test covers S1 profile and activity persistence and ownership, not SQL concurrency, real Cognito, browser interaction, staging HTTPS or migration recovery. S0 and S1 release acceptance remain open. Evidence: docs/test-evidence/2026-10-03/f3-local-sql-acceptance.md.</w:t>
      </w:r>
    </w:p>
    <w:p>
      <w:r>
        <w:t>The current application remains React and JavaScript with one ASP.NET Core host and SQL Server. The initial MVP uses domain modules in that host. A stable App API and staged microservices remain the longer-term architectural target, with extraction gated on contracts, permissions and recovery evidence. Local repository scaffolds do not establish deployed services.</w:t>
      </w:r>
    </w:p>
    <w:p>
      <w:pPr>
        <w:pStyle w:val="Heading1"/>
      </w:pPr>
      <w:r>
        <w:t>Safety and ethical release requirements</w:t>
      </w:r>
    </w:p>
    <w:p>
      <w:r>
        <w:t>Proposed safety implementation permits reports independently of completion or review eligibility, limits precise location and private evidence access, and audits moderator access and restriction decisions. Emergency guidance directs users to local emergency services and describes actual Connecto support coverage. No payment protection, identity verification, qualification verification or emergency response capability is represented as delivered without implementation and operational verification.</w:t>
      </w:r>
    </w:p>
    <w:p>
      <w:pPr>
        <w:pStyle w:val="Heading1"/>
      </w:pPr>
      <w:r>
        <w:t>Future architecture and service security</w:t>
      </w:r>
    </w:p>
    <w:p>
      <w:r>
        <w:t>Current Cognito access-token checks validate signature, issuer, expiry, token_use, client_id and subject; browser tokens are currently in memory. Preserve these controls and explicitly separate human and machine authentication handlers. Proposed internal requests carry scoped machine authority and separately validated user authority when acting immediately for a member; edge routes strip untrusted internal headers. Workers use persisted authorised intent, operation provenance and fresh restriction checks rather than storing user tokens. Configure runtime/migration database and AWS permissions per service; bound events, uploads, retries and paid parsing; redact credentials/private content; protect deployment identities per repository/environment. These are target controls, not implemented features. Suggested repository names and service ownership are listed in the referenced catalogue.</w:t>
      </w:r>
    </w:p>
    <w:p>
      <w:pPr>
        <w:pStyle w:val="Heading1"/>
      </w:pPr>
      <w:r>
        <w:t>POC and MVP delivery baseline</w:t>
      </w:r>
    </w:p>
    <w:p>
      <w:r>
        <w:t>Owner profile PATCH and paginated own activity reads with allowlisted DTOs are now implemented locally. The client uses server reads and session-only private caches. Logout and account changes clear private state and prevent stale responses from repopulating it; retain tokens in memory. Extend listings with explicit currency/pricing basis and revisions while preserving legacy unknowns. Separate eligibility from ranking, validate configurable weights and include policy versions and real offering details in responses. Treat AI extraction as untrusted, confirmed suggestions; structured posting remains usable with parsing disabled. Connections and engagements require participant policies, immutable accepted terms, idempotency keys, version checks and database-enforced capacity constraints. Keep completion reports independent and hidden feedback absent from unauthorised DTOs and caches.</w:t>
      </w:r>
    </w:p>
    <w:p>
      <w:r>
        <w:t>Verify token signature, issuer, lifetime, token purpose, app client and subject with negative-token tests. Check object, property and staff permissions on every applicable operation. Enforce actual HTTPS paths, restricted origins, bounded input/pagination, per-actor quotas and parsing budgets. Separate runtime SQL privileges from migration privileges and scope AWS task credentials. Use private quarantined media, real-format validation, metadata removal, parent-resource permissions and withdrawal-aware delivery. Redact secrets and private content from logs/events. Release evidence includes multi-account/cross-device journeys, SQL concurrency, worker crash/replay, hidden-review/media access, actual staging transport, migration failure, restore and rotation tests; historical test counts do not demonstrate current release readiness.</w:t>
      </w:r>
    </w:p>
    <w:p>
      <w:pPr>
        <w:pStyle w:val="Heading1"/>
      </w:pPr>
      <w:r>
        <w:t>Foundation implementation status</w:t>
      </w:r>
    </w:p>
    <w:p>
      <w:r>
        <w:t>PATCH /api/users/me permits firstName and lastName up to two hundred characters, city up to two hundred and bio up to two thousand. Null/omitted fields preserve stored values; supplied empty strings clear them. Identity, email, verification and reputation are excluded from editable fields. GET /api/users/me/activity uses page &gt;= 1 and pageSize 1–100, returning needs, offerings, independent totals and deterministic ID ordering for the authenticated member only. Login loads activity pages, profile editing uses PATCH and activity supports refresh. Legacy shared private storage keys are removed; private collections and tokens remain in session memory and obsolete asynchronous results are rejected after account changes. No schema migration was introduced. Local tests pass; browser, SQL Server and AWS release checks remain outstanding.</w:t>
      </w:r>
    </w:p>
    <w:p>
      <w:r>
        <w:t xml:space="preserve">The frontend uses Cognito password and refresh flows with a public app client and memory-only tokens. Concurrent reads share one refresh. Transient refresh failures block the pending API request and allow retry; NotAuthorizedException/UserNotFoundException clears the session and requires login. Authentication results require an access token and positive finite expiry. Login/logout generations reject stale results. REFRESH_TOKEN_AUTH requires app-client refresh rotation disabled. Additional challenges and device remembering remain unsupported.</w:t>
      </w:r>
    </w:p>
    <w:p>
      <w:r>
        <w:t xml:space="preserve">Permanent refresh rejection, missing refresh token or a 401 for the current access token invalidates the local session, notifies application composition, clears private UI state and returns to login. A 403 preserves the session. API calls capture authentication generation before token acquisition, block dispatch after account changes and discard obsolete results after response-body reads. An old account's response or an older access token's 401 cannot erase a newer session: both token and generation must still match. Transient refresh failures permit retry; writes are never automatically replayed. Logout clears local state and does not establish immediate server-side JWT revocation.</w:t>
      </w:r>
    </w:p>
    <w:p>
      <w:r>
        <w:t xml:space="preserve">Entering welcome, login or registration invalidates the current local identity and pending authentication results. New accounts with a missing first name or neighborhood receive a dismissible profile setup prompt. Signed-in editing uses separate first/last names, preserves multiword values, matches API field lengths and sends only allowlisted firstName/lastName/city/bio. Validation rejects whitespace-only required form values. Profile-save failures retain inputs and display errors inside the dialog; save loading is independent of activity loading. Empty real profiles display neutral prompts rather than invented identity/location values. Existing middle names remain unchanged.</w:t>
      </w:r>
    </w:p>
    <w:p>
      <w:r>
        <w:t xml:space="preserve">Configure the frontend Cognito region and public client independently from the Connecto API base URL. The API base URL must address the Connecto API or its local proxy, not Cognito; configure API issuer and audience separately. A public pool discovery response and a rejected diagnostic password request are limited connectivity/flow evidence, not successful member login or refresh. Actual app-client administrative inspection was unavailable without AWS credentials. No Terraform apply or AWS resource change was performed by the reviewed setup turns.</w:t>
      </w:r>
    </w:p>
    <w:p>
      <w:r>
        <w:t xml:space="preserve">The S0–S1 continuation passed 44 frontend tests, 28 backend tests, lint, production build and one identity-flow contract check on 1 October 2026. New checks cover profile retrieval through a fresh HTTP client, per-member edit isolation, unchanged persisted values after rejected length validation, allowlisted form payloads and empty-profile/error presentation. Transport tests are mocked. EF InMemory, signed test JWTs and server-rendered components do not establish real Cognito, SQL Server or browser acceptance. Those gates and staging HTTPS/migration recovery remain outstanding. S0 and S1 staging acceptance are not closed.</w:t>
      </w:r>
    </w:p>
    <w:p>
      <w:pPr>
        <w:pStyle w:val="Heading1"/>
      </w:pPr>
      <w:r>
        <w:t>Current parsing and scoring constraints</w:t>
      </w:r>
    </w:p>
    <w:p>
      <w:r>
        <w:t>Configure Cognito issuer and app client for API startup. OpenAI defaults are empty and no unconditional key validation runs; no real parser is enabled by supplying credentials. POST /api/ai/parse/need and /offering still require authentication and return HTTP 503 application/problem+json with title Listing parsing unavailable and manual-entry guidance when the adapter is unavailable. Structured listing POSTs and own profile/activity continue independently. The specific unavailable condition is translated at the API boundary; cancellation and unrelated failures are not treated as successful extraction.</w:t>
      </w:r>
    </w:p>
    <w:p>
      <w:r>
        <w:t xml:space="preserve">Real extraction remains unavailable. A small related-wording vocabulary and configured scoring are locally implemented; owner-reviewed semantic acceptance remains outstanding.</w:t>
      </w:r>
    </w:p>
    <w:p>
      <w:r>
        <w:t xml:space="preserve">Matching:Weights is validated at startup and wired into MatchingEngine with policy version s3-v1. Session isolation replaces the historical shared-private-cache problem; verify account switching and stale responses against real browser acceptance before release.</w:t>
      </w:r>
    </w:p>
    <w:p>
      <w:pPr>
        <w:pStyle w:val="Heading1"/>
      </w:pPr>
      <w:r>
        <w:t>Local repository inventory</w:t>
      </w:r>
    </w:p>
    <w:p>
      <w:r>
        <w:t>The project folder contains sixteen independently initialised local Git repositories with README guides: connecto-app, connecto-api, connecto-app-api, connecto-members-service, connecto-listings-service, connecto-discovery-service, connecto-connections-service, connecto-engagements-service, connecto-conversations-service, connecto-feedback-service, connecto-media-service, connecto-trust-safety-service, connecto-measurement-service, connecto-notifications-service, connecto-listing-parser-service and connecto-platform. The app and API contain existing implementations; the other repositories are documentation scaffolds and do not establish deployed services. Their guides describe domain ownership, exclusions, contracts, security, verification and migration gates. Existing Terraform remains in connecto-api; canonical documentation remains under docs. Local repository creation did not create remote repositories or move infrastructure state.</w:t>
      </w:r>
    </w:p>
    <w:p>
      <w:pPr>
        <w:pStyle w:val="Heading1"/>
      </w:pPr>
      <w:r>
        <w:t>Repository names and ownership</w:t>
      </w:r>
    </w:p>
    <w:p>
      <w:r>
        <w:t>Use lowercase connecto- prefixes; preserve existing connecto-app and connecto-api names. A repository can initially contain several domain modules. The table is a recommended destination catalogue; none are created remotely by this request.</w:t>
      </w:r>
    </w:p>
    <w:tbl>
      <w:tblPr>
        <w:tblW w:type="auto" w:w="0"/>
        <w:tblLayout w:type="fixed"/>
        <w:tblLook w:firstColumn="1" w:firstRow="1" w:lastColumn="0" w:lastRow="0" w:noHBand="0" w:noVBand="1" w:val="04A0"/>
      </w:tblPr>
      <w:tblGrid>
        <w:gridCol w:w="1800"/>
        <w:gridCol w:w="4392"/>
        <w:gridCol w:w="3557"/>
      </w:tblGrid>
      <w:tr>
        <w:trPr>
          <w:tblHeader/>
        </w:trPr>
        <w:tc>
          <w:tcPr>
            <w:tcW w:type="dxa" w:w="1800"/>
            <w:tcBorders>
              <w:top w:val="single" w:sz="4" w:color="D9D9D9"/>
              <w:left w:val="single" w:sz="4" w:color="D9D9D9"/>
              <w:bottom w:val="single" w:sz="4" w:color="D9D9D9"/>
              <w:right w:val="single" w:sz="4" w:color="D9D9D9"/>
            </w:tcBorders>
            <w:shd w:fill="DCE6EF"/>
            <w:tcMar>
              <w:top w:w="95" w:type="dxa"/>
              <w:left w:w="95" w:type="dxa"/>
              <w:bottom w:w="95" w:type="dxa"/>
              <w:right w:w="95" w:type="dxa"/>
            </w:tcMar>
          </w:tcPr>
          <w:p>
            <w:pPr>
              <w:spacing w:after="60" w:before="60"/>
            </w:pPr>
            <w:r>
              <w:rPr>
                <w:b/>
                <w:sz w:val="20"/>
              </w:rPr>
              <w:t>Repository</w:t>
            </w:r>
          </w:p>
        </w:tc>
        <w:tc>
          <w:tcPr>
            <w:tcW w:type="dxa" w:w="4392"/>
            <w:tcBorders>
              <w:top w:val="single" w:sz="4" w:color="D9D9D9"/>
              <w:left w:val="single" w:sz="4" w:color="D9D9D9"/>
              <w:bottom w:val="single" w:sz="4" w:color="D9D9D9"/>
              <w:right w:val="single" w:sz="4" w:color="D9D9D9"/>
            </w:tcBorders>
            <w:shd w:fill="DCE6EF"/>
            <w:tcMar>
              <w:top w:w="95" w:type="dxa"/>
              <w:left w:w="95" w:type="dxa"/>
              <w:bottom w:w="95" w:type="dxa"/>
              <w:right w:w="95" w:type="dxa"/>
            </w:tcMar>
          </w:tcPr>
          <w:p>
            <w:pPr>
              <w:spacing w:after="60" w:before="60"/>
            </w:pPr>
            <w:r>
              <w:rPr>
                <w:b/>
                <w:sz w:val="20"/>
              </w:rPr>
              <w:t>Purpose</w:t>
            </w:r>
          </w:p>
        </w:tc>
        <w:tc>
          <w:tcPr>
            <w:tcW w:type="dxa" w:w="3557"/>
            <w:tcBorders>
              <w:top w:val="single" w:sz="4" w:color="D9D9D9"/>
              <w:left w:val="single" w:sz="4" w:color="D9D9D9"/>
              <w:bottom w:val="single" w:sz="4" w:color="D9D9D9"/>
              <w:right w:val="single" w:sz="4" w:color="D9D9D9"/>
            </w:tcBorders>
            <w:shd w:fill="DCE6EF"/>
            <w:tcMar>
              <w:top w:w="95" w:type="dxa"/>
              <w:left w:w="95" w:type="dxa"/>
              <w:bottom w:w="95" w:type="dxa"/>
              <w:right w:w="95" w:type="dxa"/>
            </w:tcMar>
          </w:tcPr>
          <w:p>
            <w:pPr>
              <w:spacing w:after="60" w:before="60"/>
            </w:pPr>
            <w:r>
              <w:rPr>
                <w:b/>
                <w:sz w:val="20"/>
              </w:rPr>
              <w:t>Creation recommendation</w:t>
            </w:r>
          </w:p>
        </w:tc>
      </w:tr>
      <w:tr>
        <w:tc>
          <w:tcPr>
            <w:tcW w:type="dxa" w:w="1800"/>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connecto-app</w:t>
            </w:r>
          </w:p>
        </w:tc>
        <w:tc>
          <w:tcPr>
            <w:tcW w:type="dxa" w:w="4392"/>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Existing React web app, feature clients, UI journeys and app tests</w:t>
            </w:r>
          </w:p>
        </w:tc>
        <w:tc>
          <w:tcPr>
            <w:tcW w:type="dxa" w:w="3557"/>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Keep existing; one app spans all member roles/domains</w:t>
            </w:r>
          </w:p>
        </w:tc>
      </w:tr>
      <w:tr>
        <w:tc>
          <w:tcPr>
            <w:tcW w:type="dxa" w:w="1800"/>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connecto-api</w:t>
            </w:r>
          </w:p>
        </w:tc>
        <w:tc>
          <w:tcPr>
            <w:tcW w:type="dxa" w:w="4392"/>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Existing API; temporary modular core and legacy compatibility during migration</w:t>
            </w:r>
          </w:p>
        </w:tc>
        <w:tc>
          <w:tcPr>
            <w:tcW w:type="dxa" w:w="3557"/>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Keep existing; retire only after verified cutovers; no mass rename</w:t>
            </w:r>
          </w:p>
        </w:tc>
      </w:tr>
      <w:tr>
        <w:tc>
          <w:tcPr>
            <w:tcW w:type="dxa" w:w="1800"/>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connecto-app-api</w:t>
            </w:r>
          </w:p>
        </w:tc>
        <w:tc>
          <w:tcPr>
            <w:tcW w:type="dxa" w:w="4392"/>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App API/BFF, explicit public DTO composition and compatibility routing</w:t>
            </w:r>
          </w:p>
        </w:tc>
        <w:tc>
          <w:tcPr>
            <w:tcW w:type="dxa" w:w="3557"/>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Create when edge extraction is justified; initial edge routes may live in connecto-api</w:t>
            </w:r>
          </w:p>
        </w:tc>
      </w:tr>
      <w:tr>
        <w:tc>
          <w:tcPr>
            <w:tcW w:type="dxa" w:w="1800"/>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connecto-members-service</w:t>
            </w:r>
          </w:p>
        </w:tc>
        <w:tc>
          <w:tcPr>
            <w:tcW w:type="dxa" w:w="4392"/>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Member profile and subject mapping</w:t>
            </w:r>
          </w:p>
        </w:tc>
        <w:tc>
          <w:tcPr>
            <w:tcW w:type="dxa" w:w="3557"/>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Extract from core when ownership/auth migration is ready</w:t>
            </w:r>
          </w:p>
        </w:tc>
      </w:tr>
      <w:tr>
        <w:tc>
          <w:tcPr>
            <w:tcW w:type="dxa" w:w="1800"/>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connecto-listings-service</w:t>
            </w:r>
          </w:p>
        </w:tc>
        <w:tc>
          <w:tcPr>
            <w:tcW w:type="dxa" w:w="4392"/>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Needs, Offerings, taxonomy, revisions and capacity</w:t>
            </w:r>
          </w:p>
        </w:tc>
        <w:tc>
          <w:tcPr>
            <w:tcW w:type="dxa" w:w="3557"/>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Extract after reservation/provenance rules and single-writer cutover are verified</w:t>
            </w:r>
          </w:p>
        </w:tc>
      </w:tr>
      <w:tr>
        <w:tc>
          <w:tcPr>
            <w:tcW w:type="dxa" w:w="1800"/>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connecto-discovery-service</w:t>
            </w:r>
          </w:p>
        </w:tc>
        <w:tc>
          <w:tcPr>
            <w:tcW w:type="dxa" w:w="4392"/>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Search/recommendation projections and scoring</w:t>
            </w:r>
          </w:p>
        </w:tc>
        <w:tc>
          <w:tcPr>
            <w:tcW w:type="dxa" w:w="3557"/>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Early domain extraction candidate after complete listing events exist</w:t>
            </w:r>
          </w:p>
        </w:tc>
      </w:tr>
      <w:tr>
        <w:tc>
          <w:tcPr>
            <w:tcW w:type="dxa" w:w="1800"/>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connecto-connections-service</w:t>
            </w:r>
          </w:p>
        </w:tc>
        <w:tc>
          <w:tcPr>
            <w:tcW w:type="dxa" w:w="4392"/>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Requests, decisions and durable acceptance coordinator</w:t>
            </w:r>
          </w:p>
        </w:tc>
        <w:tc>
          <w:tcPr>
            <w:tcW w:type="dxa" w:w="3557"/>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Later extraction; initially module in connecto-api</w:t>
            </w:r>
          </w:p>
        </w:tc>
      </w:tr>
      <w:tr>
        <w:tc>
          <w:tcPr>
            <w:tcW w:type="dxa" w:w="1800"/>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connecto-engagements-service</w:t>
            </w:r>
          </w:p>
        </w:tc>
        <w:tc>
          <w:tcPr>
            <w:tcW w:type="dxa" w:w="4392"/>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Agreement snapshots, progress, completion and history</w:t>
            </w:r>
          </w:p>
        </w:tc>
        <w:tc>
          <w:tcPr>
            <w:tcW w:type="dxa" w:w="3557"/>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Later extraction alongside validated acceptance recovery</w:t>
            </w:r>
          </w:p>
        </w:tc>
      </w:tr>
      <w:tr>
        <w:tc>
          <w:tcPr>
            <w:tcW w:type="dxa" w:w="1800"/>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connecto-conversations-service</w:t>
            </w:r>
          </w:p>
        </w:tc>
        <w:tc>
          <w:tcPr>
            <w:tcW w:type="dxa" w:w="4392"/>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Participant chat, history and receipts</w:t>
            </w:r>
          </w:p>
        </w:tc>
        <w:tc>
          <w:tcPr>
            <w:tcW w:type="dxa" w:w="3557"/>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Create when persistent chat ships and operational ownership warrants it</w:t>
            </w:r>
          </w:p>
        </w:tc>
      </w:tr>
      <w:tr>
        <w:tc>
          <w:tcPr>
            <w:tcW w:type="dxa" w:w="1800"/>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connecto-feedback-service</w:t>
            </w:r>
          </w:p>
        </w:tc>
        <w:tc>
          <w:tcPr>
            <w:tcW w:type="dxa" w:w="4392"/>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Reciprocal feedback plus role-based reputation</w:t>
            </w:r>
          </w:p>
        </w:tc>
        <w:tc>
          <w:tcPr>
            <w:tcW w:type="dxa" w:w="3557"/>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Keep reputation within this repository/service</w:t>
            </w:r>
          </w:p>
        </w:tc>
      </w:tr>
      <w:tr>
        <w:tc>
          <w:tcPr>
            <w:tcW w:type="dxa" w:w="1800"/>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connecto-media-service</w:t>
            </w:r>
          </w:p>
        </w:tc>
        <w:tc>
          <w:tcPr>
            <w:tcW w:type="dxa" w:w="4392"/>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Media API, metadata, upload grants and processor worker</w:t>
            </w:r>
          </w:p>
        </w:tc>
        <w:tc>
          <w:tcPr>
            <w:tcW w:type="dxa" w:w="3557"/>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First supporting extraction candidate when uploads ship; API/worker may be separate images in one repo</w:t>
            </w:r>
          </w:p>
        </w:tc>
      </w:tr>
      <w:tr>
        <w:tc>
          <w:tcPr>
            <w:tcW w:type="dxa" w:w="1800"/>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connecto-trust-safety-service</w:t>
            </w:r>
          </w:p>
        </w:tc>
        <w:tc>
          <w:tcPr>
            <w:tcW w:type="dxa" w:w="4392"/>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Blocks, restrictions, cases, staff authorisation and decisions</w:t>
            </w:r>
          </w:p>
        </w:tc>
        <w:tc>
          <w:tcPr>
            <w:tcW w:type="dxa" w:w="3557"/>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Start as module; extract only with live policy/operations ownership</w:t>
            </w:r>
          </w:p>
        </w:tc>
      </w:tr>
      <w:tr>
        <w:tc>
          <w:tcPr>
            <w:tcW w:type="dxa" w:w="1800"/>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connecto-measurement-service</w:t>
            </w:r>
          </w:p>
        </w:tc>
        <w:tc>
          <w:tcPr>
            <w:tcW w:type="dxa" w:w="4392"/>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Journey measurement and internal cohort reporting</w:t>
            </w:r>
          </w:p>
        </w:tc>
        <w:tc>
          <w:tcPr>
            <w:tcW w:type="dxa" w:w="3557"/>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Extract as read-oriented consumer when event evidence exists</w:t>
            </w:r>
          </w:p>
        </w:tc>
      </w:tr>
      <w:tr>
        <w:tc>
          <w:tcPr>
            <w:tcW w:type="dxa" w:w="1800"/>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connecto-notifications-service</w:t>
            </w:r>
          </w:p>
        </w:tc>
        <w:tc>
          <w:tcPr>
            <w:tcW w:type="dxa" w:w="4392"/>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In-app notifications, preferences/delivery attempts</w:t>
            </w:r>
          </w:p>
        </w:tc>
        <w:tc>
          <w:tcPr>
            <w:tcW w:type="dxa" w:w="3557"/>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Supporting extraction candidate; no business-state decisions</w:t>
            </w:r>
          </w:p>
        </w:tc>
      </w:tr>
      <w:tr>
        <w:tc>
          <w:tcPr>
            <w:tcW w:type="dxa" w:w="1800"/>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connecto-listing-parser-service</w:t>
            </w:r>
          </w:p>
        </w:tc>
        <w:tc>
          <w:tcPr>
            <w:tcW w:type="dxa" w:w="4392"/>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Optional vendor parsing adapter/API or worker</w:t>
            </w:r>
          </w:p>
        </w:tc>
        <w:tc>
          <w:tcPr>
            <w:tcW w:type="dxa" w:w="3557"/>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Optional; keep adapter in core until isolation adds value; no approval/publishing authority</w:t>
            </w:r>
          </w:p>
        </w:tc>
      </w:tr>
      <w:tr>
        <w:tc>
          <w:tcPr>
            <w:tcW w:type="dxa" w:w="1800"/>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connecto-platform</w:t>
            </w:r>
          </w:p>
        </w:tc>
        <w:tc>
          <w:tcPr>
            <w:tcW w:type="dxa" w:w="4392"/>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Shared AWS/IaC, environment wiring, OIDC trust and narrowly scoped deployment templates</w:t>
            </w:r>
          </w:p>
        </w:tc>
        <w:tc>
          <w:tcPr>
            <w:tcW w:type="dxa" w:w="3557"/>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Move existing Terraform by reviewed state-preserving migration; service-specific config follows documented ownership</w:t>
            </w:r>
          </w:p>
        </w:tc>
      </w:tr>
      <w:tr>
        <w:tc>
          <w:tcPr>
            <w:tcW w:type="dxa" w:w="1800"/>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connecto-docs</w:t>
            </w:r>
          </w:p>
        </w:tc>
        <w:tc>
          <w:tcPr>
            <w:tcW w:type="dxa" w:w="4392"/>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Domain design, canonical Word documents, history and change register</w:t>
            </w:r>
          </w:p>
        </w:tc>
        <w:tc>
          <w:tcPr>
            <w:tcW w:type="dxa" w:w="3557"/>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Optional later move; keep current docs paths until explicit document-location/process approval</w:t>
            </w:r>
          </w:p>
        </w:tc>
      </w:tr>
    </w:tbl>
    <w:p/>
    <w:p>
      <w:r>
        <w:t>Recommended near-term set: retain connecto-app and connecto-api; introduce connecto-platform when infrastructure ownership is established; add connecto-app-api, connecto-media-service and connecto-notifications-service at their extraction gates. Do not create empty service repositories. The complete target has ten domain repositories, two supporting repositories if Parsing is extracted, one BFF and one app: fourteen application repositories after connecto-api is retired, plus platform and optional docs. Before retirement, the legacy repository increases the total by one.</w:t>
      </w:r>
    </w:p>
    <w:p>
      <w:r>
        <w:t>Do not create separate Needs, Offerings, Rating, Completion, Authentication, Payments or message-transport repositories in this scope. No separate admin app is required yet; staff routes/components may live in connecto-app with server-enforced permissions and suitable authentication. A future staff console can be connecto-admin-app if operator workflows require independent delivery.</w:t>
      </w:r>
    </w:p>
    <w:p>
      <w:r>
        <w:t>Each .NET service repo should contain src/&lt;Service&gt;.Api, .Application, .Domain, .Infrastructure, a service-owned migration runner and optional worker, tests, OpenAPI/events, Dockerfiles and release workflow. HTTP DTOs/events are contracts, not shared EF entities. Producer repos own and version their schemas; consumers use pinned generated clients and compatibility tests. Avoid a shared connecto-domain library. Create a contracts/platform library only for demonstrated stable cross-cutting needs, without shared business writes or lockstep releases.</w:t>
      </w:r>
    </w:p>
    <w:p>
      <w:pPr>
        <w:pStyle w:val="Heading1"/>
      </w:pPr>
      <w:r>
        <w:t>Proposed app contracts and screen ownership</w:t>
      </w:r>
    </w:p>
    <w:p>
      <w:r>
        <w:t>These are new contracts, not claims that routes already exist. Preserve existing /api/users/me, listing POST routes and /api/needs/{id}/matches through edge compatibility adapters during migration. Version new contracts under /api/v1; remove compatibility only after client migration.</w:t>
      </w:r>
    </w:p>
    <w:tbl>
      <w:tblPr>
        <w:tblW w:type="auto" w:w="0"/>
        <w:tblLayout w:type="fixed"/>
        <w:tblLook w:firstColumn="1" w:firstRow="1" w:lastColumn="0" w:lastRow="0" w:noHBand="0" w:noVBand="1" w:val="04A0"/>
      </w:tblPr>
      <w:tblGrid>
        <w:gridCol w:w="1800"/>
        <w:gridCol w:w="4392"/>
        <w:gridCol w:w="3557"/>
      </w:tblGrid>
      <w:tr>
        <w:trPr>
          <w:tblHeader/>
        </w:trPr>
        <w:tc>
          <w:tcPr>
            <w:tcW w:type="dxa" w:w="1800"/>
            <w:tcBorders>
              <w:top w:val="single" w:sz="4" w:color="D9D9D9"/>
              <w:left w:val="single" w:sz="4" w:color="D9D9D9"/>
              <w:bottom w:val="single" w:sz="4" w:color="D9D9D9"/>
              <w:right w:val="single" w:sz="4" w:color="D9D9D9"/>
            </w:tcBorders>
            <w:shd w:fill="DCE6EF"/>
            <w:tcMar>
              <w:top w:w="95" w:type="dxa"/>
              <w:left w:w="95" w:type="dxa"/>
              <w:bottom w:w="95" w:type="dxa"/>
              <w:right w:w="95" w:type="dxa"/>
            </w:tcMar>
          </w:tcPr>
          <w:p>
            <w:pPr>
              <w:spacing w:after="60" w:before="60"/>
            </w:pPr>
            <w:r>
              <w:rPr>
                <w:b/>
                <w:sz w:val="20"/>
              </w:rPr>
              <w:t>App feature</w:t>
            </w:r>
          </w:p>
        </w:tc>
        <w:tc>
          <w:tcPr>
            <w:tcW w:type="dxa" w:w="4392"/>
            <w:tcBorders>
              <w:top w:val="single" w:sz="4" w:color="D9D9D9"/>
              <w:left w:val="single" w:sz="4" w:color="D9D9D9"/>
              <w:bottom w:val="single" w:sz="4" w:color="D9D9D9"/>
              <w:right w:val="single" w:sz="4" w:color="D9D9D9"/>
            </w:tcBorders>
            <w:shd w:fill="DCE6EF"/>
            <w:tcMar>
              <w:top w:w="95" w:type="dxa"/>
              <w:left w:w="95" w:type="dxa"/>
              <w:bottom w:w="95" w:type="dxa"/>
              <w:right w:w="95" w:type="dxa"/>
            </w:tcMar>
          </w:tcPr>
          <w:p>
            <w:pPr>
              <w:spacing w:after="60" w:before="60"/>
            </w:pPr>
            <w:r>
              <w:rPr>
                <w:b/>
                <w:sz w:val="20"/>
              </w:rPr>
              <w:t>Public contract examples</w:t>
            </w:r>
          </w:p>
        </w:tc>
        <w:tc>
          <w:tcPr>
            <w:tcW w:type="dxa" w:w="3557"/>
            <w:tcBorders>
              <w:top w:val="single" w:sz="4" w:color="D9D9D9"/>
              <w:left w:val="single" w:sz="4" w:color="D9D9D9"/>
              <w:bottom w:val="single" w:sz="4" w:color="D9D9D9"/>
              <w:right w:val="single" w:sz="4" w:color="D9D9D9"/>
            </w:tcBorders>
            <w:shd w:fill="DCE6EF"/>
            <w:tcMar>
              <w:top w:w="95" w:type="dxa"/>
              <w:left w:w="95" w:type="dxa"/>
              <w:bottom w:w="95" w:type="dxa"/>
              <w:right w:w="95" w:type="dxa"/>
            </w:tcMar>
          </w:tcPr>
          <w:p>
            <w:pPr>
              <w:spacing w:after="60" w:before="60"/>
            </w:pPr>
            <w:r>
              <w:rPr>
                <w:b/>
                <w:sz w:val="20"/>
              </w:rPr>
              <w:t>Authority and behaviour</w:t>
            </w:r>
          </w:p>
        </w:tc>
      </w:tr>
      <w:tr>
        <w:tc>
          <w:tcPr>
            <w:tcW w:type="dxa" w:w="1800"/>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Profile</w:t>
            </w:r>
          </w:p>
        </w:tc>
        <w:tc>
          <w:tcPr>
            <w:tcW w:type="dxa" w:w="4392"/>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GET/PATCH /api/v1/me; GET /api/v1/members/{id}</w:t>
            </w:r>
          </w:p>
        </w:tc>
        <w:tc>
          <w:tcPr>
            <w:tcW w:type="dxa" w:w="3557"/>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Members; Reputation summary can be composed separately; real edits survive devices</w:t>
            </w:r>
          </w:p>
        </w:tc>
      </w:tr>
      <w:tr>
        <w:tc>
          <w:tcPr>
            <w:tcW w:type="dxa" w:w="1800"/>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Listing forms and management</w:t>
            </w:r>
          </w:p>
        </w:tc>
        <w:tc>
          <w:tcPr>
            <w:tcW w:type="dxa" w:w="4392"/>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POST /needs, /offerings; GET/PATCH /needs/{id}; POST /needs/{id}/publish; equivalent offering routes under /api/v1</w:t>
            </w:r>
          </w:p>
        </w:tc>
        <w:tc>
          <w:tcPr>
            <w:tcW w:type="dxa" w:w="3557"/>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Listings; explicit currency/basis, taxonomy and revision; parsing returns editable proposal</w:t>
            </w:r>
          </w:p>
        </w:tc>
      </w:tr>
      <w:tr>
        <w:tc>
          <w:tcPr>
            <w:tcW w:type="dxa" w:w="1800"/>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Discover and matches</w:t>
            </w:r>
          </w:p>
        </w:tc>
        <w:tc>
          <w:tcPr>
            <w:tcW w:type="dxa" w:w="4392"/>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GET /api/v1/discovery/offerings; GET /api/v1/needs/{id}/recommendations</w:t>
            </w:r>
          </w:p>
        </w:tc>
        <w:tc>
          <w:tcPr>
            <w:tcW w:type="dxa" w:w="3557"/>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Discovery plus safe listing/member/reputation projections; cursor pagination, scoring version, reasons, projection timestamp</w:t>
            </w:r>
          </w:p>
        </w:tc>
      </w:tr>
      <w:tr>
        <w:tc>
          <w:tcPr>
            <w:tcW w:type="dxa" w:w="1800"/>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Offering detail</w:t>
            </w:r>
          </w:p>
        </w:tc>
        <w:tc>
          <w:tcPr>
            <w:tcW w:type="dxa" w:w="4392"/>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GET /api/v1/offerings/{id}</w:t>
            </w:r>
          </w:p>
        </w:tc>
        <w:tc>
          <w:tcPr>
            <w:tcW w:type="dxa" w:w="3557"/>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Listings, composed with public profile/reputation; authoritative availability before connection</w:t>
            </w:r>
          </w:p>
        </w:tc>
      </w:tr>
      <w:tr>
        <w:tc>
          <w:tcPr>
            <w:tcW w:type="dxa" w:w="1800"/>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Connection request</w:t>
            </w:r>
          </w:p>
        </w:tc>
        <w:tc>
          <w:tcPr>
            <w:tcW w:type="dxa" w:w="4392"/>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POST /api/v1/connections; POST /connections/{id}/accept, /decline, /withdraw</w:t>
            </w:r>
          </w:p>
        </w:tc>
        <w:tc>
          <w:tcPr>
            <w:tcW w:type="dxa" w:w="3557"/>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Connections; idempotency key and expected terms version; body identifies listing pair, server derives roles</w:t>
            </w:r>
          </w:p>
        </w:tc>
      </w:tr>
      <w:tr>
        <w:tc>
          <w:tcPr>
            <w:tcW w:type="dxa" w:w="1800"/>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Activity and agreement</w:t>
            </w:r>
          </w:p>
        </w:tc>
        <w:tc>
          <w:tcPr>
            <w:tcW w:type="dxa" w:w="4392"/>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GET /api/v1/me/activity; GET /engagements/{id}; POST /engagements/{id}/completion-reports</w:t>
            </w:r>
          </w:p>
        </w:tc>
        <w:tc>
          <w:tcPr>
            <w:tcW w:type="dxa" w:w="3557"/>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Activity read model plus Engagements; show accepted terms and each confirmation distinctly</w:t>
            </w:r>
          </w:p>
        </w:tc>
      </w:tr>
      <w:tr>
        <w:tc>
          <w:tcPr>
            <w:tcW w:type="dxa" w:w="1800"/>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Inbox and chat</w:t>
            </w:r>
          </w:p>
        </w:tc>
        <w:tc>
          <w:tcPr>
            <w:tcW w:type="dxa" w:w="4392"/>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GET /api/v1/conversations; GET/POST /conversations/{id}/messages</w:t>
            </w:r>
          </w:p>
        </w:tc>
        <w:tc>
          <w:tcPr>
            <w:tcW w:type="dxa" w:w="3557"/>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Conversations; cursor history, stable client message key, explicit read/delivery semantics</w:t>
            </w:r>
          </w:p>
        </w:tc>
      </w:tr>
      <w:tr>
        <w:tc>
          <w:tcPr>
            <w:tcW w:type="dxa" w:w="1800"/>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Reviews</w:t>
            </w:r>
          </w:p>
        </w:tc>
        <w:tc>
          <w:tcPr>
            <w:tcW w:type="dxa" w:w="4392"/>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GET /api/v1/engagements/{id}/review-eligibility; POST /engagements/{id}/reviews; GET /members/{id}/reputation</w:t>
            </w:r>
          </w:p>
        </w:tc>
        <w:tc>
          <w:tcPr>
            <w:tcW w:type="dxa" w:w="3557"/>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Engagements and Feedback via BFF; hidden submitted state, publication state, role counts, insufficient-history state</w:t>
            </w:r>
          </w:p>
        </w:tc>
      </w:tr>
      <w:tr>
        <w:tc>
          <w:tcPr>
            <w:tcW w:type="dxa" w:w="1800"/>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Photos</w:t>
            </w:r>
          </w:p>
        </w:tc>
        <w:tc>
          <w:tcPr>
            <w:tcW w:type="dxa" w:w="4392"/>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POST /api/v1/media/upload-grants; POST /media/{id}/finalise; GET /media/{id}/access</w:t>
            </w:r>
          </w:p>
        </w:tc>
        <w:tc>
          <w:tcPr>
            <w:tcW w:type="dxa" w:w="3557"/>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Media with parent authority; processing state; attachment visibility chosen explicitly</w:t>
            </w:r>
          </w:p>
        </w:tc>
      </w:tr>
      <w:tr>
        <w:tc>
          <w:tcPr>
            <w:tcW w:type="dxa" w:w="1800"/>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Reporting/blocking</w:t>
            </w:r>
          </w:p>
        </w:tc>
        <w:tc>
          <w:tcPr>
            <w:tcW w:type="dxa" w:w="4392"/>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POST /api/v1/reports; POST/DELETE /blocks/{memberId}</w:t>
            </w:r>
          </w:p>
        </w:tc>
        <w:tc>
          <w:tcPr>
            <w:tcW w:type="dxa" w:w="3557"/>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Safety; cases visible only under case permissions</w:t>
            </w:r>
          </w:p>
        </w:tc>
      </w:tr>
      <w:tr>
        <w:tc>
          <w:tcPr>
            <w:tcW w:type="dxa" w:w="1800"/>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Notifications</w:t>
            </w:r>
          </w:p>
        </w:tc>
        <w:tc>
          <w:tcPr>
            <w:tcW w:type="dxa" w:w="4392"/>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GET /api/v1/me/notifications; POST /notifications/{id}/read</w:t>
            </w:r>
          </w:p>
        </w:tc>
        <w:tc>
          <w:tcPr>
            <w:tcW w:type="dxa" w:w="3557"/>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Notifications; durable server-backed delivery state</w:t>
            </w:r>
          </w:p>
        </w:tc>
      </w:tr>
    </w:tbl>
    <w:p/>
    <w:p>
      <w:r>
        <w:t>Paths abbreviated in rows inherit /api/v1. Separate staff case and measurement routes require staff scopes. Command errors use safe structured ProblemDetails, a correlation ID and distinguish 401/403/404, validation failures, 409 concurrency conflicts, 202 pending workflows and 503 dependencies. Do not return stack traces. Use expected aggregate revisions and scoped idempotency keys with payload hashes; a reused key with different content conflicts. Do not blindly retry non-idempotent POSTs after timeout.</w:t>
      </w:r>
    </w:p>
    <w:p>
      <w:r>
        <w:t>Refactor src/services/api.js into an HTTP transport supporting explicit methods, cancellation, structured errors, idempotency and revisions, plus clients by domain. Continue extracting remaining feature-specific work from src/app/useConnecto.js into feature hooks/server-state queries: Members, Listings, Discovery, Connections, Engagements, Conversations, Reviews, Media and Safety. Keep ephemeral presentation state local. Introduce addressable routes so listing, conversation and engagement IDs survive refresh and deep linking. Any new routing/server-query package is an implementation decision, not a required vendor choice.</w:t>
      </w:r>
    </w:p>
    <w:p>
      <w:r>
        <w:t>Replace production local-storage authority with authenticated server reads and cache invalidation. Isolate demo storage and fake profiles/ratings from real records and measurements. Clear member-scoped caches on logout/account change; never migrate demo messages into production implicitly. Refresh data after mutations/events and represent loading, empty, stale, failed and pending states. Remove default neighbourhood assumptions from production forms. Fetch complete offering summaries instead of synthesising API match cards. Do not present a match as a connection or a conversation as an agreement.</w:t>
      </w:r>
    </w:p>
    <w:p>
      <w:r>
        <w:t>Add connection requests and accepted/pending activity, agreement detail, separate completion-report controls, reciprocal review flow, media processing feedback and report/block actions. A one-confirmed or disputed engagement must remain visibly distinct from both-confirmed. Start chat with authorised polling; introduce SSE/WebSocket only when needed, with reconnect and persisted-history reconciliation.</w:t>
      </w:r>
    </w:p>
    <w:p>
      <w:pPr>
        <w:pStyle w:val="Heading1"/>
      </w:pPr>
      <w:r>
        <w:t>Data  events and deployment</w:t>
      </w:r>
    </w:p>
    <w:p>
      <w:r>
        <w:t>Use service-owned logical SQL databases and credentials, initially on the existing SQL Server infrastructure if capacity/licensing permit. Sharing a server does not permit table access across services. No cross-service foreign keys, SQL joins, shared EF context or distributed SQL transaction. Duplicate only deliberate projections keyed by stable IDs. Media bytes live in private S3; its metadata is service-owned. Avoid adding a search cluster until SQL-backed Discovery projections are insufficient.</w:t>
      </w:r>
    </w:p>
    <w:p>
      <w:r>
        <w:t>Each producer commits an outbox with local state. Workers publish to proposed SNS topics with a durable SQS queue and dead-letter queue per consumer. Consumers record receipts and local effects atomically, deduplicate EventId, and handle ordering using aggregate versions. Delivery is at least once; replay must not repeat notification delivery or operational commands. Events carry schema version, event/aggregate IDs, aggregate version, UTC time, correlation/causation IDs and minimal outcome fields. Exclude message/review text, tokens, private evidence and raw image bytes from the general bus. Review publication timers recheck current eligibility/media/moderation state. Rebuild projections from retained approved sources with reconciliation; this proposal does not require event sourcing.</w:t>
      </w:r>
    </w:p>
    <w:p>
      <w:r>
        <w:t>Proposed infrastructure retains ECS/Fargate, ECR, Cognito, RDS SQL Server and the public ALB. Add private service connectivity (ECS Service Connect where suitable), per-service task/execution roles and Secrets Manager credentials, SNS/SQS/DLQs, S3, workers and logs. Service discovery does not replace authentication or TLS decisions. Review Terraform against existing state before bringing the externally managed API service/tasks under IaC ownership; do not recreate them blindly. Verify private-network access to ECR, S3, Secrets Manager, logs and messaging through NAT/endpoints.</w:t>
      </w:r>
    </w:p>
    <w:p>
      <w:r>
        <w:t>Deploy each service with an immutable image and service-owned migration task; use additive expand/contract migrations compatible with old and new readers. Serialise migrations per owned database and gate service rollout on migration exit status/readiness. A shared-server schema dependency can still require sequencing; do not claim arbitrary deployment independence until contracts and persistence are isolated. Scope runtime SQL permissions separately from migration credentials. Parsing secrets belong only in the parsing host/adapter, and structured posting must work when AI is disabled. Monitor service latency/failures, queue age/DLQs, outbox lag, stuck acceptances, reservation age and projection lag using correlation IDs. Define restore objectives, retention, SLOs and operator recovery runbooks before production extraction.</w:t>
      </w:r>
    </w:p>
    <w:p>
      <w:pPr>
        <w:pStyle w:val="Heading1"/>
      </w:pPr>
      <w:r>
        <w:t>App to services concerns and proposed controls</w:t>
      </w:r>
    </w:p>
    <w:tbl>
      <w:tblPr>
        <w:tblW w:type="auto" w:w="0"/>
        <w:tblLayout w:type="fixed"/>
        <w:tblLook w:firstColumn="1" w:firstRow="1" w:lastColumn="0" w:lastRow="0" w:noHBand="0" w:noVBand="1" w:val="04A0"/>
      </w:tblPr>
      <w:tblGrid>
        <w:gridCol w:w="1800"/>
        <w:gridCol w:w="4392"/>
        <w:gridCol w:w="3557"/>
      </w:tblGrid>
      <w:tr>
        <w:trPr>
          <w:tblHeader/>
        </w:trPr>
        <w:tc>
          <w:tcPr>
            <w:tcW w:type="dxa" w:w="1800"/>
            <w:tcBorders>
              <w:top w:val="single" w:sz="4" w:color="D9D9D9"/>
              <w:left w:val="single" w:sz="4" w:color="D9D9D9"/>
              <w:bottom w:val="single" w:sz="4" w:color="D9D9D9"/>
              <w:right w:val="single" w:sz="4" w:color="D9D9D9"/>
            </w:tcBorders>
            <w:shd w:fill="DCE6EF"/>
            <w:tcMar>
              <w:top w:w="95" w:type="dxa"/>
              <w:left w:w="95" w:type="dxa"/>
              <w:bottom w:w="95" w:type="dxa"/>
              <w:right w:w="95" w:type="dxa"/>
            </w:tcMar>
          </w:tcPr>
          <w:p>
            <w:pPr>
              <w:spacing w:after="60" w:before="60"/>
            </w:pPr>
            <w:r>
              <w:rPr>
                <w:b/>
                <w:sz w:val="20"/>
              </w:rPr>
              <w:t>Concern</w:t>
            </w:r>
          </w:p>
        </w:tc>
        <w:tc>
          <w:tcPr>
            <w:tcW w:type="dxa" w:w="4392"/>
            <w:tcBorders>
              <w:top w:val="single" w:sz="4" w:color="D9D9D9"/>
              <w:left w:val="single" w:sz="4" w:color="D9D9D9"/>
              <w:bottom w:val="single" w:sz="4" w:color="D9D9D9"/>
              <w:right w:val="single" w:sz="4" w:color="D9D9D9"/>
            </w:tcBorders>
            <w:shd w:fill="DCE6EF"/>
            <w:tcMar>
              <w:top w:w="95" w:type="dxa"/>
              <w:left w:w="95" w:type="dxa"/>
              <w:bottom w:w="95" w:type="dxa"/>
              <w:right w:w="95" w:type="dxa"/>
            </w:tcMar>
          </w:tcPr>
          <w:p>
            <w:pPr>
              <w:spacing w:after="60" w:before="60"/>
            </w:pPr>
            <w:r>
              <w:rPr>
                <w:b/>
                <w:sz w:val="20"/>
              </w:rPr>
              <w:t>Control and enforcement location</w:t>
            </w:r>
          </w:p>
        </w:tc>
        <w:tc>
          <w:tcPr>
            <w:tcW w:type="dxa" w:w="3557"/>
            <w:tcBorders>
              <w:top w:val="single" w:sz="4" w:color="D9D9D9"/>
              <w:left w:val="single" w:sz="4" w:color="D9D9D9"/>
              <w:bottom w:val="single" w:sz="4" w:color="D9D9D9"/>
              <w:right w:val="single" w:sz="4" w:color="D9D9D9"/>
            </w:tcBorders>
            <w:shd w:fill="DCE6EF"/>
            <w:tcMar>
              <w:top w:w="95" w:type="dxa"/>
              <w:left w:w="95" w:type="dxa"/>
              <w:bottom w:w="95" w:type="dxa"/>
              <w:right w:w="95" w:type="dxa"/>
            </w:tcMar>
          </w:tcPr>
          <w:p>
            <w:pPr>
              <w:spacing w:after="60" w:before="60"/>
            </w:pPr>
            <w:r>
              <w:rPr>
                <w:b/>
                <w:sz w:val="20"/>
              </w:rPr>
              <w:t>Required negative evidence</w:t>
            </w:r>
          </w:p>
        </w:tc>
      </w:tr>
      <w:tr>
        <w:tc>
          <w:tcPr>
            <w:tcW w:type="dxa" w:w="1800"/>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Token theft, forgery and wrong identity</w:t>
            </w:r>
          </w:p>
        </w:tc>
        <w:tc>
          <w:tcPr>
            <w:tcW w:type="dxa" w:w="4392"/>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HTTPS throughout public transport; tokens in memory; no browser secrets; edge and protected services verify trusted issuer/JWKS, algorithm, lifetime, token_use and client_id. Use ID tokens only for their identity purpose, never as API access credentials. If resource audience is configured, validate it too.</w:t>
            </w:r>
          </w:p>
        </w:tc>
        <w:tc>
          <w:tcPr>
            <w:tcW w:type="dxa" w:w="3557"/>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Modified, expired, wrong-pool/client, ID and missing tokens fail without data/state exposure.</w:t>
            </w:r>
          </w:p>
        </w:tc>
      </w:tr>
      <w:tr>
        <w:tc>
          <w:tcPr>
            <w:tcW w:type="dxa" w:w="1800"/>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Object and function access</w:t>
            </w:r>
          </w:p>
        </w:tc>
        <w:tc>
          <w:tcPr>
            <w:tcW w:type="dxa" w:w="4392"/>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Domain service derives member from trusted subject and checks ownership/participants/current restrictions on each action. Staff APIs require explicit role/scope and auditable case purpose; staff MFA/challenge support is a release gate.</w:t>
            </w:r>
          </w:p>
        </w:tc>
        <w:tc>
          <w:tcPr>
            <w:tcW w:type="dxa" w:w="3557"/>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Member A cannot read/mutate member B's Need, message, hidden review, acceptance operation or media. Member tokens cannot invoke staff/internal commands.</w:t>
            </w:r>
          </w:p>
        </w:tc>
      </w:tr>
      <w:tr>
        <w:tc>
          <w:tcPr>
            <w:tcW w:type="dxa" w:w="1800"/>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XSS, browser cache and content injection</w:t>
            </w:r>
          </w:p>
        </w:tc>
        <w:tc>
          <w:tcPr>
            <w:tcW w:type="dxa" w:w="4392"/>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Render user text safely, avoid raw HTML; restrictive CSP and dependency review; private HTTP responses use no-store; member-scoped client caches are cleared on logout/account switch. Public/publicly cacheable DTOs exclude private fields.</w:t>
            </w:r>
          </w:p>
        </w:tc>
        <w:tc>
          <w:tcPr>
            <w:tcW w:type="dxa" w:w="3557"/>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Malicious listing/review/message content is inert; account switching and browser-back do not expose the previous member's private cached content.</w:t>
            </w:r>
          </w:p>
        </w:tc>
      </w:tr>
      <w:tr>
        <w:tc>
          <w:tcPr>
            <w:tcW w:type="dxa" w:w="1800"/>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CSRF and origin confusion</w:t>
            </w:r>
          </w:p>
        </w:tc>
        <w:tc>
          <w:tcPr>
            <w:tcW w:type="dxa" w:w="4392"/>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Bearer mode uses explicit Authorization headers rather than ambient cookies; exact CORS allowlist where needed. CORS is not API authentication. Cookie mode, if adopted, adds anti-CSRF and Origin validation; XSS remains a separate risk.</w:t>
            </w:r>
          </w:p>
        </w:tc>
        <w:tc>
          <w:tcPr>
            <w:tcW w:type="dxa" w:w="3557"/>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Foreign origins cannot use ambient credentials to mutate state; unauthorised direct HTTP clients are still rejected.</w:t>
            </w:r>
          </w:p>
        </w:tc>
      </w:tr>
      <w:tr>
        <w:tc>
          <w:tcPr>
            <w:tcW w:type="dxa" w:w="1800"/>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Excessive requests, scraping and paid parsing abuse</w:t>
            </w:r>
          </w:p>
        </w:tc>
        <w:tc>
          <w:tcPr>
            <w:tcW w:type="dxa" w:w="4392"/>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Edge and domain quotas by actor/resource, bounded pagination/filter complexity, body/upload limits, parse concurrency/cost budgets, timeouts and 429 handling. Protect signup/login against automated abuse.</w:t>
            </w:r>
          </w:p>
        </w:tc>
        <w:tc>
          <w:tcPr>
            <w:tcW w:type="dxa" w:w="3557"/>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Oversized bodies and abusive repeated commands/uploads/AI requests are bounded; retries cannot multiply agreements or reviews.</w:t>
            </w:r>
          </w:p>
        </w:tc>
      </w:tr>
      <w:tr>
        <w:tc>
          <w:tcPr>
            <w:tcW w:type="dxa" w:w="1800"/>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Upload leakage and malicious files</w:t>
            </w:r>
          </w:p>
        </w:tc>
        <w:tc>
          <w:tcPr>
            <w:tcW w:type="dxa" w:w="4392"/>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Media authorises parent ownership/purpose; exact generated key, short expiry and enforceable upload-size/type constraints; private quarantine, decoder validation, malware/content controls, metadata stripping and safe variants. Served URLs remain short-lived bearer capabilities.</w:t>
            </w:r>
          </w:p>
        </w:tc>
        <w:tc>
          <w:tcPr>
            <w:tcW w:type="dxa" w:w="3557"/>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Swapped parent/key/visibility, oversized or malformed files fail; pending/rejected/hidden/private evidence cannot be served publicly.</w:t>
            </w:r>
          </w:p>
        </w:tc>
      </w:tr>
      <w:tr>
        <w:tc>
          <w:tcPr>
            <w:tcW w:type="dxa" w:w="1800"/>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Stale visibility and revoked access</w:t>
            </w:r>
          </w:p>
        </w:tc>
        <w:tc>
          <w:tcPr>
            <w:tcW w:type="dxa" w:w="4392"/>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Authoritative parent-state check on private reads and media grants. Withdrawn content removes public access and invalidates projections/caches. Short-lived grants bound residual access; immediate revocation requires proxy delivery or another revocable mechanism.</w:t>
            </w:r>
          </w:p>
        </w:tc>
        <w:tc>
          <w:tcPr>
            <w:tcW w:type="dxa" w:w="3557"/>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Hidden reviews or withdrawn media do not leak through BFF/search/CDN; grant replay after expiry fails. Do not assert issued URLs revoke instantly.</w:t>
            </w:r>
          </w:p>
        </w:tc>
      </w:tr>
      <w:tr>
        <w:tc>
          <w:tcPr>
            <w:tcW w:type="dxa" w:w="1800"/>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Manipulated fields or retry keys</w:t>
            </w:r>
          </w:p>
        </w:tc>
        <w:tc>
          <w:tcPr>
            <w:tcW w:type="dxa" w:w="4392"/>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Explicit DTO allowlists; derive roles/reviewee/status server-side; expected revisions; idempotency scope includes actor, action and resource with payload hash and retention policy.</w:t>
            </w:r>
          </w:p>
        </w:tc>
        <w:tc>
          <w:tcPr>
            <w:tcW w:type="dxa" w:w="3557"/>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Client cannot set reputation, reviewer identity, accepted state or moderation status; another actor cannot read/reuse an operation result.</w:t>
            </w:r>
          </w:p>
        </w:tc>
      </w:tr>
      <w:tr>
        <w:tc>
          <w:tcPr>
            <w:tcW w:type="dxa" w:w="1800"/>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SSRF and data exfiltration</w:t>
            </w:r>
          </w:p>
        </w:tc>
        <w:tc>
          <w:tcPr>
            <w:tcW w:type="dxa" w:w="4392"/>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BFF uses configured service destinations; no client-supplied proxy target. Do not fetch arbitrary attachment URLs; allowlist parser/vendor egress and minimise sent listing data.</w:t>
            </w:r>
          </w:p>
        </w:tc>
        <w:tc>
          <w:tcPr>
            <w:tcW w:type="dxa" w:w="3557"/>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Requests cannot reach metadata endpoints/internal admin services via URLs or redirect chains; AI output never executes commands or publishes directly.</w:t>
            </w:r>
          </w:p>
        </w:tc>
      </w:tr>
    </w:tbl>
    <w:p/>
    <w:p>
      <w:pPr>
        <w:pStyle w:val="Heading1"/>
      </w:pPr>
      <w:r>
        <w:t>Events  data and delivery security</w:t>
      </w:r>
    </w:p>
    <w:p>
      <w:r>
        <w:t>SNS/SQS producers and consumers use separate scoped IAM task roles, topic/queue policies and TLS; require approved publisher/topic subscription paths, validate envelope/schema/type and reject unsupported inputs. General events contain minimal IDs/outcomes, not user tokens, private messages or hidden review content. Consumer authorisation and operation provenance are still needed for state-changing events; a valid queue message is not arbitrary command permission. Audit DLQ access/replay as privileged operations, bound payloads and retain deduplication/version state through replay. Do not grant Measurement or Notifications a wildcard ability to publish authoritative acceptance/moderation events.</w:t>
      </w:r>
    </w:p>
    <w:p>
      <w:r>
        <w:t>Each service has a runtime SQL login constrained to its own database and a separate migration identity. Encrypt SQL, verify certificates, encrypt stores/backups, and test restore/deletion policy. Secrets, JWTs, upload grants and private content are redacted from logs/traces. Correlation IDs are opaque; staff evidence reads, restrictions and decisions require audit records with purpose, actor and resource. Limit database/secret/topic/queue access independently of repository membership.</w:t>
      </w:r>
    </w:p>
    <w:p>
      <w:r>
        <w:t>CI deployments use GitHub OIDC with repository/environment-bound AWS trust, protected production environments, reviewed changes and immutable image digests. Separate service deployment rights from platform/IAM/migration privileges; do not replicate a broad legacy deploy role into every repository. Scan dependencies/images and test negative authorisation/contract cases. Restoration, secret rotation and certificate expiry must have operational evidence, not just configuration.</w:t>
      </w:r>
    </w:p>
    <w:tbl>
      <w:tblPr>
        <w:tblW w:type="auto" w:w="0"/>
        <w:tblLayout w:type="fixed"/>
        <w:tblLook w:firstColumn="1" w:firstRow="1" w:lastColumn="0" w:lastRow="0" w:noHBand="0" w:noVBand="1" w:val="04A0"/>
      </w:tblPr>
      <w:tblGrid>
        <w:gridCol w:w="1944"/>
        <w:gridCol w:w="7805"/>
      </w:tblGrid>
      <w:tr>
        <w:trPr>
          <w:tblHeader/>
        </w:trPr>
        <w:tc>
          <w:tcPr>
            <w:tcW w:type="dxa" w:w="1944"/>
            <w:tcBorders>
              <w:top w:val="single" w:sz="4" w:color="D9D9D9"/>
              <w:left w:val="single" w:sz="4" w:color="D9D9D9"/>
              <w:bottom w:val="single" w:sz="4" w:color="D9D9D9"/>
              <w:right w:val="single" w:sz="4" w:color="D9D9D9"/>
            </w:tcBorders>
            <w:shd w:fill="DCE6EF"/>
            <w:tcMar>
              <w:top w:w="95" w:type="dxa"/>
              <w:left w:w="95" w:type="dxa"/>
              <w:bottom w:w="95" w:type="dxa"/>
              <w:right w:w="95" w:type="dxa"/>
            </w:tcMar>
          </w:tcPr>
          <w:p>
            <w:pPr>
              <w:spacing w:after="60" w:before="60"/>
            </w:pPr>
            <w:r>
              <w:rPr>
                <w:b/>
                <w:sz w:val="20"/>
              </w:rPr>
              <w:t>Current route</w:t>
            </w:r>
          </w:p>
        </w:tc>
        <w:tc>
          <w:tcPr>
            <w:tcW w:type="dxa" w:w="7805"/>
            <w:tcBorders>
              <w:top w:val="single" w:sz="4" w:color="D9D9D9"/>
              <w:left w:val="single" w:sz="4" w:color="D9D9D9"/>
              <w:bottom w:val="single" w:sz="4" w:color="D9D9D9"/>
              <w:right w:val="single" w:sz="4" w:color="D9D9D9"/>
            </w:tcBorders>
            <w:shd w:fill="DCE6EF"/>
            <w:tcMar>
              <w:top w:w="95" w:type="dxa"/>
              <w:left w:w="95" w:type="dxa"/>
              <w:bottom w:w="95" w:type="dxa"/>
              <w:right w:w="95" w:type="dxa"/>
            </w:tcMar>
          </w:tcPr>
          <w:p>
            <w:pPr>
              <w:spacing w:after="60" w:before="60"/>
            </w:pPr>
            <w:r>
              <w:rPr>
                <w:b/>
                <w:sz w:val="20"/>
              </w:rPr>
              <w:t>Contract</w:t>
            </w:r>
          </w:p>
        </w:tc>
      </w:tr>
      <w:tr>
        <w:tc>
          <w:tcPr>
            <w:tcW w:type="dxa" w:w="1944"/>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PATCH /api/users/me</w:t>
            </w:r>
          </w:p>
        </w:tc>
        <w:tc>
          <w:tcPr>
            <w:tcW w:type="dxa" w:w="7805"/>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firstName, lastName and city maximum 200 characters; bio maximum 2000. Null/omitted values preserve stored data; supplied empty values clear it. Identity, email, verification and reputation are not editable.</w:t>
            </w:r>
          </w:p>
        </w:tc>
      </w:tr>
      <w:tr>
        <w:tc>
          <w:tcPr>
            <w:tcW w:type="dxa" w:w="1944"/>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GET /api/users/me/activity</w:t>
            </w:r>
          </w:p>
        </w:tc>
        <w:tc>
          <w:tcPr>
            <w:tcW w:type="dxa" w:w="7805"/>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Authenticated member only; page at least 1, pageSize 1 to 100; separate need and offering totals; deterministic ID ordering. No schema migration.</w:t>
            </w:r>
          </w:p>
        </w:tc>
      </w:tr>
    </w:tbl>
    <w:p/>
    <w:p>
      <w:pPr>
        <w:pStyle w:val="Heading1"/>
      </w:pPr>
      <w:r>
        <w:t>Revision sources and verification</w:t>
      </w:r>
    </w:p>
    <w:p>
      <w:r>
        <w:t xml:space="preserve">DCR-2026-10-01-011 applied on 1 October 2026. Human approval: approve DCR-011, Set up Cognito with Terraform, chat 01a0f6a3-c6e4-7f72-8f6a-8a17ccaea900, turn 01a0f6ec-02de-7c21-b48f-efef6e2661bf. Source: S0 implementation and S0–S1 continuation, including turn 01a0f6e1-d6c9-71e0-b100-14713b05955d; original Implement Cognito login and refresh chat 01a0f699-8496-76e1-8c6f-8a18e8431310, turn 01a0f69b-8b8c-7763-978b-5016e5b0d7d2. Full evidence and source references are in docs/document-change-register.md. Verification records: docs/test-evidence/2026-10-01/s0-account-isolation.md and s0-s1-signin-profile.md. Earlier 32/40 frontend-test results are historical checkpoints superseded by the 44-test continuation. The initial backend test run was blocked by Windows logging permissions; the approved outside-sandbox rerun passed. No live AWS apply, database migration or deployment is asserted. GitHub publication requires separate explicit approval.</w:t>
      </w:r>
    </w:p>
    <w:p>
      <w:pPr>
        <w:pStyle w:val="Heading1"/>
      </w:pPr>
      <w:r>
        <w:t>DCR-2026-10-01-009 applied on 1 October 2026. Human approval in Plan and implement the POC MVP, chat 01a0f557-a3ee-7572-b6f9-323988c97319: Approve DCR-009. Source implementation turn: begin implementation based on implementation plan; exact turn IDs unavailable. Local evidence: 23 backend tests, 22 frontend tests, one workspace authentication contract check, Terraform formatting and validation passed. API tests use EF InMemory; no AWS apply, database migration or real browser/Cognito/SQL staging verification is asserted.</w:t>
      </w:r>
    </w:p>
    <w:p>
      <w:r>
        <w:t>DCR-2026-10-01-008 consolidates source proposals 002, 003, 004, 005, 006 and 007. Source chats: Identify external service risks; Design domain microservices and app; Define Connecto domain boundaries; Plan and implement the POC MVP; Define Business Requirements; Security Assessments. Exact chat and turn references are retained in docs/document-change-register.md.</w:t>
      </w:r>
    </w:p>
    <w:p>
      <w:r>
        <w:t>DCR-008 historical code evidence: UserController.cs, useConnecto.js, sessionScope.js, cognito.js and api.js. Earlier reported local verification: 21 backend tests and 22 frontend tests, lint and production build passed. EF InMemory checks do not establish real SQL Server concurrency, browser or AWS behaviour. Target services, safety operations, messaging, reviews, photos and extraction remain future implementation.</w:t>
      </w:r>
    </w:p>
    <w:p>
      <w:r>
        <w:t>Conflict resolution: latest foundation status supersedes older profile/cache gaps; latest MVP plan governs initial delivery inside the existing host; microservices design version 0.2 governs later extraction and acceptance finalisation. Historical source scope and old version history remain identifiable. Undecided operating policies are release dependencies, not silently assigned values.</w:t>
      </w:r>
    </w:p>
    <w:p>
      <w:pPr>
        <w:pStyle w:val="Heading1"/>
      </w:pPr>
      <w:r>
        <w:t>Approved S2 listing contract</w:t>
      </w:r>
    </w:p>
    <w:p>
      <w:r>
        <w:t>POC production listings use NZD as the only accepted currency. Each new Need or Offering has pricingBasis fixed, hourly, free or negotiable. Amounts are decimal NZD and optional only for free or negotiable. Fixed represents the complete listing total; hourly represents the per-hour rate.</w:t>
      </w:r>
    </w:p>
    <w:p>
      <w:r>
        <w:t>Numeric matching runs only when the Need and Offering have compatible currency and pricing basis. Hourly comparison requires a stated estimated-hours value.</w:t>
      </w:r>
    </w:p>
    <w:p>
      <w:r>
        <w:t>Managed taxonomy version 1 accepts Home and Garden, Household Support, Technology, Learning and Creative. Skills remain a separate bounded allowlist.</w:t>
      </w:r>
    </w:p>
    <w:p>
      <w:r>
        <w:t>An additive migration retains existing listings with pricingBasis legacyUnknown and null currency. They remain available in own activity but are excluded from new discovery and ranking until the owner explicitly edits and republishes them.</w:t>
      </w:r>
    </w:p>
    <w:p>
      <w:r>
        <w:t>Listing statuses migrate explicitly to draft, published, paused and closed. Changes are owner-only and use an integer revision for stale-write conflicts. Published listings may be paused or closed. Closed listings cannot be reopened through the POC API.</w:t>
      </w:r>
    </w:p>
    <w:p>
      <w:r>
        <w:t>DCR-013 is an approved contract, not evidence of delivered S2 behaviour. It resolves the previously undecided POC currency, pricing basis, taxonomy and listing lifecycle choices only. All other unresolved operating policies and release gates remain unchanged. Implementation and acceptance checks described here are outstanding.</w:t>
      </w:r>
    </w:p>
    <w:p>
      <w:r>
        <w:t>Implement an additive EF migration, backend validation and ownership/conflict tests returning 409 for stale revisions, frontend creation and editing with truthful price labels and empty/error/retry states, and real SQL checks for decimal precision, owner isolation and stale revisions. Discovery must exclude paused, closed and legacy-unknown listings. These are planned acceptance checks; no result is claimed.</w:t>
      </w:r>
    </w:p>
    <w:p>
      <w:r>
        <w:t>Approval and source: Suggest implementation next step, chat 01a10129-b110-7792-8a7d-a86eb94c0cad; proposal turn 01a10151-ca33-75e3-88ca-394c0f0bd3c4; human approval turn 01a10153-c8c8-7502-bc16-f14816018ea1, message 01a10153-cdab-7360-91a4-d862abb4beb9: approve.</w:t>
      </w:r>
    </w:p>
    <w:p>
      <w:pPr>
        <w:pStyle w:val="Heading1"/>
      </w:pPr>
      <w:r>
        <w:t xml:space="preserve">S3 local implementation status</w:t>
      </w:r>
    </w:p>
    <w:p>
      <w:r>
        <w:t xml:space="preserve">Locally implemented S3 discovery exposes authenticated, paginated search and public Offering detail DTOs from persisted listings. Search excludes the signed-in member's own, unpublished and legacy-unknown listings; the detail route applies the same visibility rules. Search supports category, availability and a small explicit related-wording vocabulary. Owner-only Need matches exclude hard-incompatible candidates, return actual Offering details with factor scores, reasons and scoring policy version s3-v1, and consume validated configured factor weights. The React discovery and match views use these API results for signed-in members and keep the illustrative preview separate. The API and UI tests pass locally. This is not S3 release acceptance: owner-reviewed semantic fixtures, real SQL Server behaviour, authenticated multi-account browser journeys, staging configuration and workload checks remain outstanding.</w:t>
      </w:r>
    </w:p>
    <w:p>
      <w:pPr>
        <w:pStyle w:val="Heading1"/>
      </w:pPr>
      <w:r>
        <w:t>S4 local implementation status</w:t>
      </w:r>
    </w:p>
    <w:p>
      <w:r>
        <w:t>Local S4 routes: GET /api/safety/blocks lists own blocked member IDs; PUT and DELETE /api/safety/blocks/{memberId} block or unblock idempotently. POST /api/safety/reports accepts subjectId, optional offeringId, reason (unsafe, harassment, fraud or other) and details; GET /api/safety/reports returns only the reporter’s records. GET /api/safety/cases, GET /api/safety/cases/{id} and POST /api/safety/cases/{id}/review require the configured Cognito safety group. The group is read from Safety:OperatorGroup; its empty default denies operator access. Public Offering DTOs include the member ID required for block/report actions but no report text or private case data.</w:t>
      </w:r>
    </w:p>
    <w:p>
      <w:r>
        <w:t>AddSafetyAndOutbox creates MemberBlocks, SafetyReports, OutboxEvents, ConsumerReceipts and JourneyEvents. A block filters search, detail and Need matching in both directions. Safety writes and outbox enqueue share one EF SaveChanges. The hosted dispatcher polls pending rows, writes a journey-event projection plus unique journey-v1 receipt, and marks delivery in one SaveChanges. A replay with an existing receipt marks delivery without repeating the projection. The React Offering detail and profile call these routes; report details stay in request bodies.</w:t>
      </w:r>
    </w:p>
    <w:p>
      <w:r>
        <w:t>Local verification: 41 backend passes, one opt-in SQL test skipped, 48 frontend passes, lint and production build passed on 5 October 2026. SQL migration, transaction/concurrent dispatch, real Cognito group, authenticated browser, kill/restart and staging acceptance remain unverified. Operator review records acknowledgement only; operating coverage, escalation/appeal and retention remain unresolved. No migration or deployment was performed.</w:t>
      </w:r>
    </w:p>
    <w:sectPr w:rsidR="00FC693F" w:rsidRPr="0006063C" w:rsidSect="00034616">
      <w:footerReference w:type="default" r:id="rId9"/>
      <w:pgSz w:w="11909" w:h="16834"/>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 xml:space="preserve">Connecto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59" w:lineRule="auto"/>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40"/>
      <w:outlineLvl w:val="0"/>
    </w:pPr>
    <w:rPr>
      <w:rFonts w:asciiTheme="majorHAnsi" w:eastAsiaTheme="majorEastAsia" w:hAnsiTheme="majorHAnsi" w:cstheme="majorBidi" w:ascii="Calibri" w:hAnsi="Calibri"/>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color w:val="000000"/>
      <w:spacing w:val="5"/>
      <w:kern w:val="28"/>
      <w:sz w:val="5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Calibri" w:hAnsi="Calibr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Connecto Technology Implementation</dc:title>
  <dc:subject/>
  <dc:creator>Connecto</dc:creator>
  <cp:keywords/>
  <dc:description>generated by python-docx</dc:description>
  <cp:lastModifiedBy/>
  <cp:revision>1</cp:revision>
  <dcterms:created xsi:type="dcterms:W3CDTF">2013-12-23T23:15:00Z</dcterms:created>
  <dcterms:modified xsi:type="dcterms:W3CDTF">2013-12-23T23:15:00Z</dcterms:modified>
  <cp:category/>
  <cp:version>2.0</cp:version>
</cp:coreProperties>
</file>