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2.9  |  6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 xml:space="preserve">For an owner-authorised published Need, MatchService excludes self, unpublished, legacy-unknown and hard-incompatible Offerings before ranking. MatchingEngine applies seven calculators with validated configured factor weights and returns at most ten results with reasons, actual public Offering detail and policy version. The frontend demo engine remains separate.</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 xml:space="preserve">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A small explicit related-wording vocabulary supports local search and configured scoring is wired; owner-reviewed semantic acceptance remains outstanding.</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safety flow: authenticated members can block another provisioned member or send a private report without an engagement or completion. Either direction of a block excludes the other member’s Offerings from search, public detail and Need matching. Reports remain visible to their reporter and configured Cognito-group safety operators. Operator review records acknowledgement, time and operator subject; it does not decide a remedy or escalation.</w:t>
      </w:r>
    </w:p>
    <w:p>
      <w:r>
        <w:t>The existing ASP.NET Core host writes MemberBlock or SafetyReport and an OutboxEvent in one EF SaveChanges transaction. A hosted worker projects pending safety events into JourneyEvent and stores a unique ConsumerReceipt with the delivery marker in the same SQL SaveChanges transaction. Reprocessing an event with a receipt cannot add a second projection. The additive migration is generated but not applied in a verified SQL environment. React Offering detail and profile screens call the authenticated safety routes; illustrative demo content remains separate.</w:t>
      </w:r>
    </w:p>
    <w:p>
      <w:r>
        <w:t>This is local implementation evidence, not an accepted S4 release. SQL migration/transaction and competing-dispatcher checks, kill/restart replay, real Cognito group, multi-account browser and staging checks remain open. Named reviewer, support coverage, escalation/appeal and retention rules remain unresolved for a real-member pilot.</w:t>
      </w:r>
    </w:p>
    <w:p>
      <w:pPr>
        <w:pStyle w:val="Heading1"/>
      </w:pPr>
      <w:r>
        <w:t>S5 local implementation status</w:t>
      </w:r>
    </w:p>
    <w:p>
      <w:pPr/>
      <w:r>
        <w:t>S5 is locally implemented in the existing ASP.NET Core host. A connection request joins a published Need owned by the sender to a published Offering owned by another member. The server derives both participants and stores explicit proposed terms, price basis/amount and listing revisions. Participant-only reads and inbox results exclude outsiders. Pending duplicate pairs are rejected; a filtered unique SQL index is generated for concurrent protection. The recipient may decline and the sender may withdraw with request revision checks. Terminal history remains readable. React provides the proposal form and server-backed inbox. This is local implementation, not an accepted release: the migration has not run on SQL Server, and SQL concurrency/restart, real Cognito multi-account browser, accessibility and staging checks remain open. S6 acceptance and agreements are not implemented.</w:t>
      </w:r>
    </w:p>
    <w:p>
      <w:pPr>
        <w:pStyle w:val="Heading1"/>
      </w:pPr>
      <w:r>
        <w:t>S6 local implementation status</w:t>
      </w:r>
    </w:p>
    <w:p>
      <w:pPr/>
      <w:r>
        <w:t>S6 is locally implemented in the existing ASP.NET Core host. The Offering owner can accept a pending connection request using its current revision and an idempotency key. Acceptance checks current Need and Offering revisions/status, participant identity, blocks and one-agreement-per-Need capacity. On SQL Server it uses a serializable transaction; a unique NeedId index is the database backstop. One write records the accepted request and an Engagement containing a copy of titles, terms, NZD pricing and listing revisions. Agreement reads are participant-only and do not follow later listing edits. This is an implementation choice for local S6 verification, not approval of the unresolved release capacity/cancellation policy. Real SQL migration and concurrent acceptance, Cognito browser, accessibility and staging checks remain open.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