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2.1  |  1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Authenticated posting, need matching, allowlisted profile updates and own activity reads exist locally. Account state and stale-response isolation are implemented. Finish browser and staging acceptance, deployed identity verification and release checks before closing foundation gates; discovery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Local regression tests passed, while browser, SQL Server and AWS staging acceptance remain outstanding.</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F1's local authentication configuration and F2's unavailable-parsing behaviour are implemented. Terraform now admits the frontend password/refresh flows while preserving SRP compatibility. The API starts without an AI key, manual profile/listing/activity workflows remain usable, and authenticated parsing returns safe 503/manual-entry guidance instead of fabricated output. Latest verification passed twenty-three backend tests, twenty-two frontend tests, one workspace authentication contract check, Terraform formatting and validation. API tests use EF InMemory. F1 still needs reviewed configuration application and real Cognito evidence; S0/S1 remain open for browser, SQL Server, TLS, migration recovery and staging checks. No AWS or database changes were executed. Real extraction, semantic matching and configurable scoring remain future implementation.</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locally aligned Cognito app flow in staging; verify member/demo state cleanup; structured posting is now independent of AI; verify staging HTTPS and migration pipeline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Profile PATCH with allowlisted DTO; own Needs/Offerings reads and pagination; replace local profile/activity sources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