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Version 2.0  |  1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For a need, MatchService reads active offerings, invokes seven calculators, sorts the summed score descending, and returns at most ten results. Reasons are added by calculators that report a match. The frontend demo engine has separate scoring rules; its scores are not interchangeable with backend results.</w:t>
      </w:r>
    </w:p>
    <w:p>
      <w:r>
        <w:t>Authenticated listing parse routes exist, but OpenAIListingParser builds a prompt and returns a fixed design-category placeholder. It makes no external model call. Real structured extraction and semantic interpretation remain unimplemented. Deterministic matching is separate; the API still requires an OpenAI key at startup. Configurable weights and representative related-wording interpretation are acceptance requirements, not delivered capabilities.</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Avoid storing passwords in the application database. Align frontend USER_PASSWORD_AUTH with the Terraform client, which currently permits SRP and refresh flows.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connecto-app/src/services and hooks;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pPr>
        <w:pStyle w:val="Heading1"/>
      </w:pPr>
      <w:r>
        <w:t>Current matching and parsing</w:t>
      </w:r>
    </w:p>
    <w:p>
      <w:r>
        <w:t>Authenticated listing parse routes exist, but OpenAIListingParser builds a prompt and returns a fixed design-category placeholder. It makes no external model call. Real structured extraction and semantic interpretation remain unimplemented. Deterministic matching is separate; the API still requires an OpenAI key at startup. Configurable weights and representative related-wording interpretation are acceptance requirements, not delivered capabilities.</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Latest code evidence: UserController.cs, useConnecto.js, sessionScope.js, cognito.js and api.js.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