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Version 2.10  |  7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Pr>
          <w:p>
            <w:r>
              <w:t>2.1</w:t>
            </w:r>
          </w:p>
        </w:tc>
        <w:tc>
          <w:tcPr>
            <w:tcW w:type="dxa" w:w="4392"/>
          </w:tcPr>
          <w:p>
            <w:r>
              <w:t>1 Oct 2026</w:t>
            </w:r>
          </w:p>
        </w:tc>
        <w:tc>
          <w:tcPr>
            <w:tcW w:type="dxa" w:w="3557"/>
          </w:tcPr>
          <w:p>
            <w:r>
              <w:t>DCR-2026-10-01-009: unavailable parsing, optional AI startup and aligned local Cognito password/refresh flows; AWS and staging gates remain open. Human approval: Approve DCR-009, Plan and implement the POC MVP, chat 01a0f557-a3ee-7572-b6f9-323988c97319, turn 01a0f5ac-2514-7051-a1b7-47e967ab8992. Implementation source turn 01a0f5a0-4d6b-7453-ad35-5e4be8132072.</w:t>
            </w:r>
          </w:p>
        </w:tc>
      </w:tr>
      <w:tr>
        <w:tc>
          <w:tcPr>
            <w:tcW w:type="dxa" w:w="1800"/>
          </w:tcPr>
          <w:p>
            <w:r>
              <w:t>2.2</w:t>
            </w:r>
          </w:p>
        </w:tc>
        <w:tc>
          <w:tcPr>
            <w:tcW w:type="dxa" w:w="4392"/>
          </w:tcPr>
          <w:p>
            <w:r>
              <w:t>1 October 2026</w:t>
            </w:r>
          </w:p>
        </w:tc>
        <w:tc>
          <w:tcPr>
            <w:tcW w:type="dxa" w:w="3557"/>
          </w:tcPr>
          <w:p>
            <w:r>
              <w:t>DCR-2026-10-01-010: Frontend composition, feature public interfaces and injected dependencies; session and backend authority unchanged.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Pr>
          <w:p>
            <w:r>
              <w:t xml:space="preserve">2.3</w:t>
            </w:r>
          </w:p>
        </w:tc>
        <w:tc>
          <w:tcPr>
            <w:tcW w:type="dxa" w:w="4392"/>
          </w:tcPr>
          <w:p>
            <w:r>
              <w:t xml:space="preserve">1 October 2026</w:t>
            </w:r>
          </w:p>
        </w:tc>
        <w:tc>
          <w:tcPr>
            <w:tcW w:type="dxa" w:w="3557"/>
          </w:tcPr>
          <w:p>
            <w: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Pr>
          <w:p>
            <w:r>
              <w:t xml:space="preserve">2.4</w:t>
            </w:r>
          </w:p>
        </w:tc>
        <w:tc>
          <w:tcPr>
            <w:tcW w:type="dxa" w:w="4392"/>
          </w:tcPr>
          <w:p>
            <w:r>
              <w:t xml:space="preserve">3 October 2026</w:t>
            </w:r>
          </w:p>
        </w:tc>
        <w:tc>
          <w:tcPr>
            <w:tcW w:type="dxa" w:w="3557"/>
          </w:tcPr>
          <w:p>
            <w: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System boundaries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Component</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Browser application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Vite screens; authenticated server profile/activity reads; Cognito account flow; session-only private state and tokens; isolated demo preview.</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Application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HTTP contracts, JWT validation and ownership policies; listing creation, matching calculators, and AI parsing.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and Infrastructure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Entities and request models; EF Core SQL Server access, migrations, seed data, and database configuration.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AWS platform</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pPr>
        <w:pStyle w:val="Heading1"/>
      </w:pPr>
      <w:r>
        <w:t>Frontend application composition</w:t>
      </w:r>
    </w:p>
    <w:p>
      <w:pPr/>
      <w:r>
        <w:t>The frontend separates application composition in src/app, feature-owned UI and hooks in src/features, reusable presentation and pure utilities in src/shared, and HTTP/Cognito/session infrastructure in src/services. Each feature exposes an index.js public interface. Shared code has no application, feature or infrastructure dependencies; services do not depend on UI; features consume other features through public interfaces and receive infrastructure operations through injected clients or callbacks. AppShell handles layout and feedback, AppRouter selects screens with explicit props, and the application coordinator handles session lifecycle and cross-feature workflows. Discovery owns its filters/match loading, and activity pagination and member mapping are independent functions. These dependency boundaries support maintainability and incremental growth; they are not backend authorisation or proof of production capacity.</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 xml:space="preserve">For an owner-authorised published Need, MatchService excludes self, unpublished, legacy-unknown and hard-incompatible Offerings before ranking. MatchingEngine applies seven calculators with validated configured factor weights and returns at most ten results with reasons, actual public Offering detail and policy version. The frontend demo engine remains separate.</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Rationale and consequence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identity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The local Terraform public app client now permits password and refresh authentication used by the frontend, retaining SRP compatibility and generate_secret=false. This configuration change is locally contract-tested but has not been applied to AWS. Real Cognito registration, confirmation, login and refresh plus public/downstream TLS remain environment acceptance gates. The broader service/workload identity target is unchanged.</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SQL Server and EF Core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migration task</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Hybrid infrastructure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connecto-app/src/app, features, shared and services; connecto-api/Connecto.Api/Authentication and Controllers; Connecto.Application/Internal; Connecto.Infrastructure/Services/Data; terraform; .github/workflows; docs/continuation.md.</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Trust and Safety capabilities distinguish urgent safety incidents from commercial disputes and reviews. Cases support confidential intake, controlled evidence access, audited staff decisions, proportionate interim restrictions and appeals. Location disclosure is limited to the necessary stage of an engagement. Reports do not depend on bilateral completion. Blocking and restrictions reduce future interaction but cannot retract information already disclosed or guarantee physical safety.</w:t>
      </w:r>
    </w:p>
    <w:p>
      <w:pPr>
        <w:pStyle w:val="Heading1"/>
      </w:pPr>
      <w:r>
        <w:t>Future architecture and service security</w:t>
      </w:r>
    </w:p>
    <w:p>
      <w:r>
        <w:t>App traffic terminates at a stable App API/BFF over HTTPS. Extracted-service commands require scoped workload identity and, for immediate member actions, independently validated user authority. Cognito client-credentials machine clients and resource scopes are the proposed workload mechanism; they are distinct from member token validation and require provisioning. IAM task roles authorise AWS resources, not arbitrary internal HTTP commands. Service Connect TLS protects configured agent paths and does not replace domain action authorisation. Acceptance activation remains unusable until finalisation is durably acknowledged; operation provenance and recovery preserve the agreement through partial failure. Repository names are recommendations created at extraction gates, not existing deployments.</w:t>
      </w:r>
    </w:p>
    <w:p>
      <w:pPr>
        <w:pStyle w:val="Heading1"/>
      </w:pPr>
      <w:r>
        <w:t>POC and MVP delivery baseline</w:t>
      </w:r>
    </w:p>
    <w:p>
      <w:r>
        <w:t>Deliver the POC and initial domain MVP inside the existing React application, ASP.NET Core host and SQL Server with explicit domain ownership and application contracts. Retain Connections and Engagements in one deployment while acceptance, capacity and immutable agreement creation can use one database transaction with enforced constraints. Derived notifications, measurement and jobs use a transactional outbox and consumer deduplication. Keep one writer per aggregate. Repository or service extraction follows independently approved operational and recovery gates; the staged microservices design is the future target; the initial MVP delivery grouping remains the current host. Preserve verified member authority through module calls. Before network extraction, prove scoped workload authority, downstream transport protection, isolated credentials and distributed acceptance recovery.</w:t>
      </w:r>
    </w:p>
    <w:p>
      <w:pPr>
        <w:pStyle w:val="Heading1"/>
      </w:pPr>
      <w:r>
        <w:t>Foundation implementation status</w:t>
      </w:r>
    </w:p>
    <w:p>
      <w:r>
        <w:t>The current API adds PATCH /api/users/me and GET /api/users/me/activity using the existing database schema. Activity queries derive member identity from authentication and return bounded pages of only that member's records. Frontend private collections now use session memory rather than shared browser storage; login rehydrates profile/activity from server reads. Session generations prevent previous-account responses and delayed Cognito login/refresh operations from restoring obsolete state. These controls have local regression coverage, with live transport and database behaviour still unverified.</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matching and parsing</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Service boundaries</w:t>
      </w:r>
    </w:p>
    <w:p>
      <w:r>
        <w:t>Each row is a target service with its own API, application/domain rules, persistence adapter, migration ownership and release pipeline. A service can contain several aggregates; an aggregate does not require a deployment.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Service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Owned data and commands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Integration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MemberProfile, private preferences, Cognito-subject mapping; provision member, update own profile, safe public profile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supplies authentication; publish MemberProfileChanged and lifecycle events; consume restrictions for display without becoming permission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Needs, Offerings, taxonomy, price basis/currency, publication revisions, Need capacity reservations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Publish listing changes; expose authoritative validation and reserve/commit/release capacity commands; consume identity references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Search projections, candidate eligibility, ranking configuration/version, explanations, suitability actions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Listings, published Reputation and permitted Safety projections; fetch authoritative checks for sensitive actions; never write Listings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Requests, proposed terms and versions, recipient decisions, acceptance workflow state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Coordinate Listings/Safety/Engagements; publish ConnectionRequested and ConnectionAccepted only after defined milestones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Immutable accepted-term snapshots, roles, work progress, cancellation, independent completion reports and history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Idempotent creation by ConnectionRequestId; publish completion events; apply audited case resolutions through its own commands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Participants, messages, client retry keys and receipts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 conversation idempotently on acceptance; enforce current participant/restriction checks; polling first, live transport later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Feedback and Reputation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Reviews, role-specific dimensions, hidden/public states, attachment references, derived role summaries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completion eligibility, Media readiness and Safety exclusions; publish ReviewPublished/ReputationUpdated; retain these together initially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Asset metadata, upload grants, quarantine/processing states, variants and deletion jobs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S3 plus processor; parent-resource authority grants access; no public URLs for hidden reviews/private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Trust and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Blocks, restrictions, reports, cases, evidence permissions, moderation/dispute decisions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interaction permission checks; publish restriction revisions/decisions; domain owners apply changes to their own records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Business Measurement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Deduplicated journey events, metric definitions, cohorts and reporting projections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Consume operational events; staff reporting endpoint; never change outcomes or reputation</w:t>
            </w:r>
          </w:p>
        </w:tc>
      </w:tr>
    </w:tbl>
    <w:p/>
    <w:p>
      <w:r>
        <w:t>Supporting services: Notifications owns in-app notifications and delivery attempts, consuming recorded events; optional AI Parsing returns listing proposals for Listings to validate after member confirmation. Parsing may remain an isolated adapter/worker until independent scaling or deployment is useful. Cognito remains managed identity, not a custom password service. The App API/BFF is an edge composition service, not another business domain.</w:t>
      </w:r>
    </w:p>
    <w:p>
      <w:r>
        <w:t>Keep Needs and Offerings together for taxonomy and capacity rules. Keep Feedback and Reputation together for review eligibility/publication and deterministic recomputation. Keep Connections and Engagements as distinct modules within the same deployment until acceptance recovery is proven. All ten domain boundaries apply even while deployments are grouped.</w:t>
      </w:r>
    </w:p>
    <w:p>
      <w:pPr>
        <w:pStyle w:val="Heading1"/>
      </w:pPr>
      <w:r>
        <w:t>Topology and deployment stages</w:t>
      </w:r>
    </w:p>
    <w:p>
      <w:r>
        <w:t>Current: React app to existing API to shared SQL Server context; browser identity goes directly to Cognito. Initial MVP: domain modules inside the API. Future target: React app to HTTPS App API BFF to private domain services, each with owned persistence. Media uses private object storage; events use durable producer outboxes and consumer receipts.</w:t>
      </w:r>
    </w:p>
    <w:p>
      <w:pPr>
        <w:pStyle w:val="Heading1"/>
      </w:pPr>
      <w:r>
        <w:t>Acceptance across independent services</w:t>
      </w:r>
    </w:p>
    <w:p>
      <w:r>
        <w:t>The monolith's shared acceptance transaction cannot be carried into database-per-service deployment. Connections owns a persisted acceptance coordinator (saga), not the BFF. Proposed workflow:</w:t>
      </w:r>
    </w:p>
    <w:p>
      <w:r>
        <w:t>1. Authenticate the recipient, validate requested terms revision and store an idempotent AcceptancePending operation.</w:t>
      </w:r>
    </w:p>
    <w:p>
      <w:r>
        <w:t>2. Obtain a current Safety permission decision/revision and ask Listings to reserve the Need capacity and validate the exact Need/Offering revisions. Listings atomically enforces the proposed capacity rule and returns a reservation token, expiry and fencing generation.</w:t>
      </w:r>
    </w:p>
    <w:p>
      <w:r>
        <w:t>3. Engagements creates an inert Prepared engagement uniquely keyed by ConnectionRequestId and operation ID, from the accepted snapshot. Prepared records cannot receive messages, completion reports or reviews.</w:t>
      </w:r>
    </w:p>
    <w:p>
      <w:r>
        <w:t>4. Commit Listings' reservation using the token/generation and recheck publication and relevant restriction permission. A failed/expired commit aborts the prepared engagement and releases any live reservation. A committed reservation does not expire automatically.</w:t>
      </w:r>
    </w:p>
    <w:p>
      <w:r>
        <w:t>5. Activate the prepared engagement idempotently after confirmed reservation commitment. Persist the accepted connection and its outbox event once activation is confirmed. Return the stable connection/engagement IDs. Earlier responses are 202 with an operation URL; the app polls until success/failure.</w:t>
      </w:r>
    </w:p>
    <w:p>
      <w:r>
        <w:t>6. After commitment, prefer retry/reconciliation to releasing capacity when activation or response delivery fails. Never release committed capacity merely because an HTTP response timed out. A recovery worker queries authoritative operation states and retries missing steps. Unrecoverable inconsistencies become a visible operational case, with explicit compensation commands that preserve history.</w:t>
      </w:r>
    </w:p>
    <w:p>
      <w:r>
        <w:t>An activated engagement can exist before Connections durably records final acceptance. Keep participant mutations gated on a separate AcceptanceFinalised acknowledgement delivered from Connections' committed outbox. Activation records completion of the coordinator step but does not by itself open completion, feedback or messaging. Engagements consumes that acknowledgement idempotently and marks the agreement usable. Connections can report accepted with setup pending until acknowledgement is applied. Recovery retries finalisation; it never constructs a second agreement. This makes the intermediate state explicit without claiming cross-database atomicity.</w:t>
      </w:r>
    </w:p>
    <w:p>
      <w:r>
        <w:t>Record each step and response durably. Distinguish reservation expiry before commitment from failures after commitment. Two concurrent accepts cannot reserve the same Need; every prepared/activated engagement is unique by request. Retries reuse the same operation. Conversation creation and notifications consume final acceptance asynchronously and expose pending availability when delayed.</w:t>
      </w:r>
    </w:p>
    <w:p>
      <w:r>
        <w:t>Distributed services cannot promise a global serialisable transaction against simultaneous restriction changes. Define the permission decision's validity and linearisation policy before extraction. Proposed policy: new restrictions invalidate uncommitted operations; restrictions discovered after commitment pause prohibited subsequent actions and route the engagement for Safety handling, preserving the agreement. If strict simultaneous acceptance/block atomicity is required, retain those authorities in a common transaction until that requirement is resolved. This is a migration gate, not a solved global-lock claim.</w:t>
      </w:r>
    </w:p>
    <w:p>
      <w:r>
        <w:t>Invalidation is an intended business policy, not an instantaneous distributed guarantee: decision revision/expiry, authoritative recheck at commit, and reconciliation bound the race but cannot eliminate it. Define what happens when a restriction changes between check and commit. A committed listing reservation must retain operation, agreement and accepted-listing revisions so recovery can verify provenance. Changes to a reserved Offering must invalidate or conflict with commitment under an explicit Listings policy; locking only Need capacity is insufficient.</w:t>
      </w:r>
    </w:p>
    <w:p>
      <w:pPr>
        <w:pStyle w:val="Heading1"/>
      </w:pPr>
      <w:r>
        <w:t>Services to services identity and authorisation</w:t>
      </w:r>
    </w:p>
    <w:p>
      <w:r>
        <w:t>Recommended first extracted-service implementation: encrypted private transport plus per-caller OAuth machine credentials using Cognito client-credentials resource scopes. Use a distinct confidential app client per workload and environment, with secrets in Secrets Manager and rotation. This requires provisioning resource servers/app clients and validating support/cost; it is not present in current Terraform. AWS task-role IAM authorises AWS API calls, not arbitrary ASP.NET HTTP endpoints. Avoid a shared API key or one global machine client.</w:t>
      </w:r>
    </w:p>
    <w:p>
      <w:r>
        <w:t>Define an internal authentication scheme separate from the current human-access-token scheme. Validate machine-token signature/issuer/expiry, token_use, permitted client_id-to-workload mapping, exact required target scope and configured audience where present. A machine-token subject is not a member; never send it through CurrentUser auto-provisioning. Example scopes are connecto-listings/reserve-capacity and connecto-engagements/prepare; allocate only necessary target/action scopes to each caller.</w:t>
      </w:r>
    </w:p>
    <w:p>
      <w:r>
        <w:t>For an immediate command on behalf of a member, require both caller-service identity and a separately validated human access token. Proposed wire contract: Authorization holds the machine token; a designated internal user-token header carries the original Cognito user token. Edge routes strip all client-supplied internal identity headers and construct the internal request themselves. Services use separate validation handlers, never log either credential, derive the member through Members, and independently check resource access. This is token forwarding, not an OAuth token-exchange claim; forwarded human tokens remain replayable until expiry. Minimise recipients and lifetime. An audience-bound delegation/token-exchange system is a later alternative requiring explicit implementation.</w:t>
      </w:r>
    </w:p>
    <w:p>
      <w:r>
        <w:t>Durable workers do not store or replay expired human tokens. An authorised domain command stores initiator, operation ID, exact authorised intent and resource/terms revisions. Subsequent saga steps use scoped workload authority plus authoritative operation/reservation provenance and renewed Safety checks. A forged MemberId in a job/event is insufficient authority. Internal commands bind operation, initiator, participants, terms hash/revisions and fencing generation; Engagements verifies Listings' committed reservation before enabling the operation, and Connections verifies acknowledgements before final acceptance.</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Caller → receiver</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Permitted 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boundary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 Members/Listings/Discovery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Self profile, public views, listing commands and 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workload scope plus human token for protected member operations; public-view route still uses safe DTO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BFF → Connections/Engagements/Conversations/Feedback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 commands and reads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Human participant checks plus specific edge scope; no internal prepare/activate/case-resolution routes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Reserve, commit, query/release capacity for its recorded acceptance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Acceptance operation provenance and fence; caller-specific scope; no general listing edit privileges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 → Engagements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Prepare/activate/query/finalise its recorded agreement</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Unique request/operation and verified reservation; no scope to submit a member completion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Operational services →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Permission decision for specified actors/action/resource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Narrow check scope; decision revision/time; no broad private case/evidence access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 Engagements/Feedback/Media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Audited resolution or exclusion via target-owned command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Case decision ID and version, staff action audit; no direct database writes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 Feedback/Safety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Validate parent and access decision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Purpose-specific permission response; avoid arbitrary payload fetch and circular synchronous calls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Worker → domain internals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Only its designated recovery/publication/processing commands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Workload scope and persisted operation/job provenance; no impersonation or unrestricted admin role</w:t>
            </w:r>
          </w:p>
        </w:tc>
      </w:tr>
    </w:tbl>
    <w:p/>
    <w:p>
      <w:r>
        <w:t>For Media/Feedback calls, choose a one-way authorisation contract: parent validates and issues a bounded attachment intent, Media records/processes it, and parent links only matching ready assets. Do not have synchronous Media→Feedback→Media validation loops. Private download revalidates parent permission without requiring the parent to download asset bytes.</w:t>
      </w:r>
    </w:p>
    <w:p>
      <w:r>
        <w:t>Service Connect TLS is proposed transport encryption, not the API action authorisation layer. AWS documents that only traffic passing through its agents is encrypted. Protect ALB→BFF and any bypass paths separately; do not call this automatic end-to-end encryption or assume mutual client authentication solves permissions. Restrict security-group ingress to expected callers/ports; scope egress and prevent direct browser access to internal commands. Scope access to Service Connect certificate secrets; do not give all task roles access to those keys.</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 xml:space="preserve">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safety flow: authenticated members can block another provisioned member or send a private report without an engagement or completion. Either direction of a block excludes the other member’s Offerings from search, public detail and Need matching. Reports remain visible to their reporter and configured Cognito-group safety operators. Operator review records acknowledgement, time and operator subject; it does not decide a remedy or escalation.</w:t>
      </w:r>
    </w:p>
    <w:p>
      <w:r>
        <w:t>The existing ASP.NET Core host writes MemberBlock or SafetyReport and an OutboxEvent in one EF SaveChanges transaction. A hosted worker projects pending safety events into JourneyEvent and stores a unique ConsumerReceipt with the delivery marker in the same SQL SaveChanges transaction. Reprocessing an event with a receipt cannot add a second projection. The additive migration is generated but not applied in a verified SQL environment. React Offering detail and profile screens call the authenticated safety routes; illustrative demo content remains separate.</w:t>
      </w:r>
    </w:p>
    <w:p>
      <w:r>
        <w:t>This is local implementation evidence, not an accepted S4 release. SQL migration/transaction and competing-dispatcher checks, kill/restart replay, real Cognito group, multi-account browser and staging checks remain open. Named reviewer, support coverage, escalation/appeal and retention rules remain unresolved for a real-member pilot.</w:t>
      </w:r>
    </w:p>
    <w:p>
      <w:pPr>
        <w:pStyle w:val="Heading1"/>
      </w:pPr>
      <w:r>
        <w:t>S5 local implementation status</w:t>
      </w:r>
    </w:p>
    <w:p>
      <w:pPr/>
      <w:r>
        <w:t>S5 is locally implemented in the existing ASP.NET Core host. A connection request joins a published Need owned by the sender to a published Offering owned by another member. The server derives both participants and stores explicit proposed terms, price basis/amount and listing revisions. Participant-only reads and inbox results exclude outsiders. Pending duplicate pairs are rejected; a filtered unique SQL index is generated for concurrent protection. The recipient may decline and the sender may withdraw with request revision checks. Terminal history remains readable. React provides the proposal form and server-backed inbox. This is local implementation, not an accepted release: the migration has not run on SQL Server, and SQL concurrency/restart, real Cognito multi-account browser, accessibility and staging checks remain open. S6 acceptance and agreements are not implemented.</w:t>
      </w:r>
    </w:p>
    <w:p>
      <w:pPr>
        <w:pStyle w:val="Heading1"/>
      </w:pPr>
      <w:r>
        <w:t>S6 local implementation status</w:t>
      </w:r>
    </w:p>
    <w:p>
      <w:pPr/>
      <w:r>
        <w:t>S6 is locally implemented in the existing ASP.NET Core host. The Offering owner can accept a pending connection request using its current revision and an idempotency key. Acceptance checks current Need and Offering revisions/status, participant identity, blocks and one-agreement-per-Need capacity. On SQL Server it uses a serializable transaction; a unique NeedId index is the database backstop. One write records the accepted request and an Engagement containing a copy of titles, terms, NZD pricing and listing revisions. Agreement reads are participant-only and do not follow later listing edits. This is an implementation choice for local S6 verification, not approval of the unresolved release capacity/cancellation policy. Real SQL migration and concurrent acceptance, Cognito browser, accessibility and staging checks remain open.</w:t>
      </w:r>
    </w:p>
    <w:p>
      <w:pPr>
        <w:pStyle w:val="Heading1"/>
      </w:pPr>
      <w:r>
        <w:t>S7 local implementation status</w:t>
      </w:r>
    </w:p>
    <w:p>
      <w:pPr/>
      <w:r>
        <w:t>S7 is locally implemented in the existing ASP.NET Core host. An accepted Engagement is the conversation boundary; its requester and provider alone may read or send messages. Message rows have database-generated ordered IDs and a unique engagement, sender and retry-key constraint; a repeated key returns the original message only when its text matches. History supports latest, older-before and newer-after cursor reads. Participant receipt rows store monotonic delivered and read cursors; sending checks current member blocks. Conversation writes do not update the immutable agreement or completion state. The React inbox opens only accepted-agreement conversations, with polling and older-history loading. Real SQL migration, concurrent retries/receipts, two-device browser, accessibility and staging acceptance remain open.</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