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Technology Implementation</w:t>
      </w:r>
    </w:p>
    <w:p>
      <w:r>
        <w:t>Version 2.10  |  7 October 2026</w:t>
      </w:r>
    </w:p>
    <w:p>
      <w:r>
        <w:t>Audience: Engineers maintaining and deploying Connecto</w:t>
      </w:r>
    </w:p>
    <w:p>
      <w:r>
        <w:t>This document explains the repository implementation, local setup, API contracts, configuration, and release procedure. It distinguishes implemented routes from placeholders so developers can integrate against the actual code. Package versions below describe declared repository dependencies.</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Feature/shared/service layout, ESLint boundary checks, automatic JSX runtime and injected operations; unused browser-persistence hook removed.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2.4</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3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r>
        <w:tc>
          <w:tcPr>
            <w:tcW w:type="dxa" w:w="1800"/>
          </w:tcPr>
          <w:p>
            <w:r>
              <w:t>2.9</w:t>
            </w:r>
          </w:p>
        </w:tc>
        <w:tc>
          <w:tcPr>
            <w:tcW w:type="dxa" w:w="4392"/>
          </w:tcPr>
          <w:p>
            <w:r>
              <w:t>6 October 2026</w:t>
            </w:r>
          </w:p>
        </w:tc>
        <w:tc>
          <w:tcPr>
            <w:tcW w:type="dxa" w:w="3557"/>
          </w:tcPr>
          <w:p>
            <w:r>
              <w:t>DCR-2026-10-06-017: S6 local acceptance, agreement view and open release gates. Standing human implementation-document editing approval, Add project documents to docs, 1 October 2026. Source: Complete S6 frontend and backend implementation, 6 October 2026.</w:t>
            </w:r>
          </w:p>
        </w:tc>
      </w:tr>
      <w:tr>
        <w:tc>
          <w:tcPr>
            <w:tcW w:type="dxa" w:w="1800"/>
          </w:tcPr>
          <w:p>
            <w:r>
              <w:t>2.10</w:t>
            </w:r>
          </w:p>
        </w:tc>
        <w:tc>
          <w:tcPr>
            <w:tcW w:type="dxa" w:w="4392"/>
          </w:tcPr>
          <w:p>
            <w:r>
              <w:t>7 October 2026</w:t>
            </w:r>
          </w:p>
        </w:tc>
        <w:tc>
          <w:tcPr>
            <w:tcW w:type="dxa" w:w="3557"/>
          </w:tcPr>
          <w:p>
            <w:r>
              <w:t>DCR-2026-10-07-018: S7 local conversations and open release gates. Standing human implementation-document editing approval, Add project documents to docs, 1 October 2026. Source: Complete S7 frontend and backend implementation, 7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Technology inventory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Area</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Declared technology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React DOM ^19.1.1; Vite ^7.1.7; lucide-react ^0.468.0; JavaScript modules.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Frontend checks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Node test runner; ESLint ^9.36.0; Prettier ^3.9.9. README specifies Node 20.19+ or 22.12+.</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Backend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ASP.NET Core targeting net10.0; EF Core and SQL Server provider 10.0.12.</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Infrastructure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Terraform &gt;=1.9.0; AWS provider ~&gt;6.0; Cognito, ECS, ECR, RDS, ALB, Secrets Manager, CloudWatch.</w:t>
            </w:r>
          </w:p>
        </w:tc>
      </w:tr>
    </w:tbl>
    <w:p>
      <w:pPr>
        <w:spacing w:after="40"/>
      </w:pPr>
    </w:p>
    <w:p>
      <w:pPr>
        <w:pStyle w:val="Heading1"/>
      </w:pPr>
      <w:r>
        <w:t>Repository layout</w:t>
      </w:r>
    </w:p>
    <w:p>
      <w:r>
        <w:t>The frontend uses src/app, src/features/{auth,members,listings,discovery,activity,conversations}, src/shared/{ui,lib} and src/services. Feature index.js files define public interfaces. A local ESLint rule rejects forbidden relative dependency directions, cross-feature private imports, re-exports and literal dynamic imports. UI lint rules reject direct fetch/localStorage/sessionStorage access; new aliases or loaders must extend the resolver and negative tests before adoption. React hook lint rules remain enabled. Vite uses the automatic React JSX runtime. Tokens/private collections remain in session memory, authentication operations are injected into UI, and the unused browser-persistence hook is removed. These checks do not replace server resource authorisation, browser security review or real user journeys.</w:t>
      </w:r>
    </w:p>
    <w:p>
      <w:pPr/>
      <w:r>
        <w:t>Backend projects separate Api, Application, Domain, Infrastructure, Database, and Tests.Unit responsibilities.</w:t>
      </w:r>
    </w:p>
    <w:p>
      <w:r>
        <w:br w:type="page"/>
      </w:r>
    </w:p>
    <w:p>
      <w:pPr>
        <w:pStyle w:val="Heading1"/>
      </w:pPr>
      <w:r>
        <w:t>Local configuration and HTTP contracts</w:t>
      </w:r>
    </w:p>
    <w:p>
      <w:pPr>
        <w:pStyle w:val="Heading1"/>
      </w:pPr>
      <w:r>
        <w:t>Run locally</w:t>
      </w:r>
    </w:p>
    <w:p>
      <w:r>
        <w:t>Backend: configure a development SQL Server connection, Cognito:Issuer, Cognito:Audience. OpenAI key/model settings are optional and do not enable the unavailable parser. Restore and build the backend. Apply reviewed EF migrations, then run dotnet run --project Connecto.Api/Connecto.Api.csproj --launch-profile http from connecto-api. The local HTTP launch profile uses port 5247.</w:t>
      </w:r>
    </w:p>
    <w:p>
      <w:r>
        <w:t>Frontend: preserve existing .env.local values; configure CONNECTO_API_TARGET=http://localhost:5247, VITE_COGNITO_REGION, and VITE_COGNITO_CLIENT_ID. VITE_CONNECTO_API_BASE_URL can remain empty for the Vite development proxy. Run npm install and npm run dev from connecto-app; restart after configuration changes. Production builds need an explicit same-origin routing or API-origin strategy.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Method and route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Behaviour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/health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Public server health response; does not test the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internal profile projection and lazy provisioning.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/api/needs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Creates an owned need; returns ID, title, category, status.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/api/offerings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Creates an owned offering; returns ID, title, category, status.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/api/needs/{needId}/matches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Owner-only ranking with nested score, total, and reasons.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/api/offerings/{id}/matches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policy is implemented; response remains a placeholder.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/api/ai/parse/need or /offering</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Authenticated 503 application/problem+json with manual-entry guidance; parsing is unavailable and structured posting requires no AI key.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/api/discover/offerings and GET /api/discover/offerings/{id}</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persisted search with category, availability, related-wording query and pagination; public Offering details exclude private account fields. Self, unpublished and legacy-unknown listings are hidden. GET /api/matches/preview remains a placeholder.</w:t>
            </w:r>
          </w:p>
        </w:tc>
      </w:tr>
    </w:tbl>
    <w:p>
      <w:pPr>
        <w:spacing w:after="40"/>
      </w:pPr>
    </w:p>
    <w:p>
      <w:r>
        <w:t>Use Cognito access tokens in Authorization: Bearer. Older README routes such as /api/user/create and /api/listing-parse are not the current controller contracts. The offering creation Location header does not establish a working GET offering detail endpoint.</w:t>
      </w:r>
    </w:p>
    <w:p>
      <w:r>
        <w:br w:type="page"/>
      </w:r>
    </w:p>
    <w:p>
      <w:pPr>
        <w:pStyle w:val="Heading1"/>
      </w:pPr>
      <w:r>
        <w:t>Data mapping and implementation constraints</w:t>
      </w:r>
    </w:p>
    <w:p>
      <w:pPr>
        <w:pStyle w:val="Heading1"/>
      </w:pPr>
      <w:r>
        <w:t>Listing payloads</w:t>
      </w:r>
    </w:p>
    <w:p>
      <w:r>
        <w:t>Need fields: title, description, category, skills, budgetMin, budgetMax, location, deadline. Offering fields: title, description, category, skills, priceMin, priceMax, location, remoteAvailable, availableFrom, availableUntil, experienceYears. Nullable monetary values, dates, and location are represented by nullable request types; inspect service validation before extending field rules.</w:t>
      </w:r>
    </w:p>
    <w:p>
      <w:r>
        <w:t>Supported API skills documented in the app are Programming, Design, Marketing, Sales, React, Typescript, and Building. Garden helpers and other mock neighbours are illustrative browser data. UI hours, distance, and tool preferences do not establish matching backend fields; agree mappings before expanding the contract.</w:t>
      </w:r>
    </w:p>
    <w:p>
      <w:pPr>
        <w:pStyle w:val="Heading1"/>
      </w:pPr>
      <w:r>
        <w:t>Identity integration issue</w:t>
      </w:r>
    </w:p>
    <w:p>
      <w:r>
        <w:t>Terraform explicit_auth_flows contains ALLOW_USER_PASSWORD_AUTH, ALLOW_USER_SRP_AUTH and ALLOW_REFRESH_TOKEN_AUTH for the existing public client with no client secret. The workspace command node --test docs/domain-design/identity-contract.test.mjs, run from the Connecto root, compares real frontend login/refresh requests with the sibling API declaration. It is intentionally separate from app-only tests. Terraform formatting/validation and local API regression checks pass; a fresh plan against existing state and real Cognito/SQL/browser/deployment verification are required before release. Do not reuse historical Terraform change counts or infer that local configuration was applied.</w:t>
      </w:r>
    </w:p>
    <w:p>
      <w:r>
        <w:t xml:space="preserve">Refresh-token rotation must be disabled for REFRESH_TOKEN_AUTH. MFA, temporary-password challenges, device remembering and recovery UI remain unfinished.</w:t>
      </w:r>
    </w:p>
    <w:p>
      <w:pPr>
        <w:pStyle w:val="Heading1"/>
      </w:pPr>
      <w:r>
        <w:t>Matching implementation</w:t>
      </w:r>
    </w:p>
    <w:p>
      <w:r>
        <w:t xml:space="preserve">MatchScore.Total sums skills, requirements, availability, budget, location, experience and reputation. MatchingEngine scales these calculator results using validated Matching:Weights configuration with a policy version. MatchService first excludes self, unpublished, legacy-unknown, wrong-category, pricing-incompatible and other hard-incompatible Offerings, then returns the highest ten. Missing factors do not receive invented positive scores.</w:t>
      </w:r>
    </w:p>
    <w:p>
      <w:pPr>
        <w:pStyle w:val="Heading1"/>
      </w:pPr>
      <w:r>
        <w:t>Database implementation</w:t>
      </w:r>
    </w:p>
    <w:p>
      <w:r>
        <w:t>Both hosts call DatabaseConfiguration.GetConnectionString. A local DefaultConnection is used only when Database:Server is absent. Otherwise Server, Name, Username, and Password are required and passed through SqlConnectionStringBuilder. This preserves password delimiters and requires encrypted connections with trusted certificates. AddAuthSubjectId is additive and introduces the filtered identity index.</w:t>
      </w:r>
    </w:p>
    <w:p>
      <w:r>
        <w:br w:type="page"/>
      </w:r>
    </w:p>
    <w:p>
      <w:pPr>
        <w:pStyle w:val="Heading1"/>
      </w:pPr>
      <w:r>
        <w:t>Deployment configuration and maintenance</w:t>
      </w:r>
    </w:p>
    <w:p>
      <w:pPr>
        <w:pStyle w:val="Heading1"/>
      </w:pPr>
      <w:r>
        <w:t>Required environment values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Configuration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COGNITO_ISSUER and COGNITO_APP_CLIENT_ID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GitHub production variables injected as Cognito__Issuer and Cognito__Audience.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DATABASE_SERVER and DATABASE_NAME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Host and port, and intended database name; injected into API and migration tasks.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DATABASE_CREDENTIALS_SECRET_ARN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RDS secret; inject username and password JSON keys separately.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MIGRATION_SUBNET_IDS and MIGRATION_SECURITY_GROUP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task networking with database reachability and required AWS service egress.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AWS_DEPLOY_ROLE_ARN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Deployment role; confirm ECS actions and PassRole permissions.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ECS_CLUSTER and MIGRATION_TASK_DEFINITION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Optional migration workflow overrides; verify actual API resource names in deployment.yml.</w:t>
            </w:r>
          </w:p>
        </w:tc>
      </w:tr>
    </w:tbl>
    <w:p>
      <w:pPr>
        <w:spacing w:after="40"/>
      </w:pPr>
    </w:p>
    <w:p>
      <w:r>
        <w:t>Review Terraform against the original state before applying. Apply migration task and IAM prerequisites; confirm database naming. Build and publish the image; run the migration revision using that image; require successful container exit before deploying the API. Preserve existing OpenAI secret configuration. The API execution role needs access to the RDS secret and applicable KMS permissions.</w:t>
      </w:r>
    </w:p>
    <w:p>
      <w:pPr>
        <w:pStyle w:val="Heading1"/>
      </w:pPr>
      <w:r>
        <w:t>Maintenance and verification</w:t>
      </w:r>
    </w:p>
    <w:p>
      <w:r>
        <w:t>Run dotnet build and dotnet test, and frontend npm test, npm run build, and npm run lint. Review Terraform formatting and validation and workflow YAML. The continuation record notes an npm launcher issue in this workspace; use the configured Node executable and package entrypoints if that issue persists.</w:t>
      </w:r>
    </w:p>
    <w:p>
      <w:r>
        <w:t>Redeploy tasks after injected secret rotation. Separate runtime and migration database permissions in future work. Verify SQL certificate trust, Docker execution, live ECS stability, and RDS migrations in staging; these are not established by local tests. Keep secrets out of documentation, source control, screenshots, and logs.</w:t>
      </w:r>
    </w:p>
    <w:p>
      <w:pPr>
        <w:pStyle w:val="Heading1"/>
      </w:pPr>
      <w:r>
        <w:t>Reference files</w:t>
      </w:r>
    </w:p>
    <w:p>
      <w:r>
        <w:t>Implementation authority: API controllers, Program.cs, Authentication, DatabaseConfiguration.cs, Database/Program.cs, Dockerfile, terraform/cognito.tf and ecs.tf, deployment workflows, frontend services/api.js and cognito.js. docs/continuation.md records recent migration fixes and local verification; AUTHENTICATION.md describes the earlier authentication change and contains a superseded migration limitation.</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safety implementation permits reports independently of completion or review eligibility, limits precise location and private evidence access, and audits moderator access and restriction decisions. Emergency guidance directs users to local emergency services and describes actual Connecto support coverage. No payment protection, identity verification, qualification verification or emergency response capability is represented as delivered without implementation and operational verification.</w:t>
      </w:r>
    </w:p>
    <w:p>
      <w:pPr>
        <w:pStyle w:val="Heading1"/>
      </w:pPr>
      <w:r>
        <w:t>Future architecture and service security</w:t>
      </w:r>
    </w:p>
    <w:p>
      <w:r>
        <w:t>Current Cognito access-token checks validate signature, issuer, expiry, token_use, client_id and subject; browser tokens are currently in memory. Preserve these controls and explicitly separate human and machine authentication handlers. Proposed internal requests carry scoped machine authority and separately validated user authority when acting immediately for a member; edge routes strip untrusted internal headers. Workers use persisted authorised intent, operation provenance and fresh restriction checks rather than storing user tokens. Configure runtime/migration database and AWS permissions per service; bound events, uploads, retries and paid parsing; redact credentials/private content; protect deployment identities per repository/environment. These are target controls, not implemented features. Suggested repository names and service ownership are listed in the referenced catalogue.</w:t>
      </w:r>
    </w:p>
    <w:p>
      <w:pPr>
        <w:pStyle w:val="Heading1"/>
      </w:pPr>
      <w:r>
        <w:t>POC and MVP delivery baseline</w:t>
      </w:r>
    </w:p>
    <w:p>
      <w:r>
        <w:t>Owner profile PATCH and paginated own activity reads with allowlisted DTOs are now implemented locally. The client uses server reads and session-only private caches. Logout and account changes clear private state and prevent stale responses from repopulating it; retain tokens in memory. Extend listings with explicit currency/pricing basis and revisions while preserving legacy unknowns. Separate eligibility from ranking, validate configurable weights and include policy versions and real offering details in responses. Treat AI extraction as untrusted, confirmed suggestions; structured posting remains usable with parsing disabled. Connections and engagements require participant policies, immutable accepted terms, idempotency keys, version checks and database-enforced capacity constraints. Keep completion reports independent and hidden feedback absent from unauthorised DTOs and caches.</w:t>
      </w:r>
    </w:p>
    <w:p>
      <w:r>
        <w:t>Verify token signature, issuer, lifetime, token purpose, app client and subject with negative-token tests. Check object, property and staff permissions on every applicable operation. Enforce actual HTTPS paths, restricted origins, bounded input/pagination, per-actor quotas and parsing budgets. Separate runtime SQL privileges from migration privileges and scope AWS task credentials. Use private quarantined media, real-format validation, metadata removal, parent-resource permissions and withdrawal-aware delivery. Redact secrets and private content from logs/events. Release evidence includes multi-account/cross-device journeys, SQL concurrency, worker crash/replay, hidden-review/media access, actual staging transport, migration failure, restore and rotation tests; historical test counts do not demonstrate current release readiness.</w:t>
      </w:r>
    </w:p>
    <w:p>
      <w:pPr>
        <w:pStyle w:val="Heading1"/>
      </w:pPr>
      <w:r>
        <w:t>Foundation implementation status</w:t>
      </w:r>
    </w:p>
    <w:p>
      <w:r>
        <w:t>PATCH /api/users/me permits firstName and lastName up to two hundred characters, city up to two hundred and bio up to two thousand. Null/omitted fields preserve stored values; supplied empty strings clear them. Identity, email, verification and reputation are excluded from editable fields. GET /api/users/me/activity uses page &gt;= 1 and pageSize 1–100, returning needs, offerings, independent totals and deterministic ID ordering for the authenticated member only. Login loads activity pages, profile editing uses PATCH and activity supports refresh. Legacy shared private storage keys are removed; private collections and tokens remain in session memory and obsolete asynchronous results are rejected after account changes. No schema migration was introduced. Local tests pass; browser, SQL Server and AWS release checks remain outstanding.</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parsing and scoring constraints</w:t>
      </w:r>
    </w:p>
    <w:p>
      <w:r>
        <w:t>Configure Cognito issuer and app client for API startup. OpenAI defaults are empty and no unconditional key validation runs; no real parser is enabled by supplying credentials. POST /api/ai/parse/need and /offering still require authentication and return HTTP 503 application/problem+json with title Listing parsing unavailable and manual-entry guidance when the adapter is unavailable. Structured listing POSTs and own profile/activity continue independently. The specific unavailable condition is translated at the API boundary; cancellation and unrelated failures are not treated as successful extraction.</w:t>
      </w:r>
    </w:p>
    <w:p>
      <w:r>
        <w:t xml:space="preserve">Real extraction remains unavailable. A small related-wording vocabulary and configured scoring are locally implemented; owner-reviewed semantic acceptance remains outstanding.</w:t>
      </w:r>
    </w:p>
    <w:p>
      <w:r>
        <w:t xml:space="preserve">Matching:Weights is validated at startup and wired into MatchingEngine with policy version s3-v1. Session isolation replaces the historical shared-private-cache problem; verify account switching and stale responses against real browser acceptance before release.</w:t>
      </w:r>
    </w:p>
    <w:p>
      <w:pPr>
        <w:pStyle w:val="Heading1"/>
      </w:pPr>
      <w:r>
        <w:t>Local repository inventory</w:t>
      </w:r>
    </w:p>
    <w:p>
      <w:r>
        <w:t>The project folder contains sixteen independently initialised local Git repositories with README guides: connecto-app, connecto-api, connecto-app-api, connecto-members-service, connecto-listings-service, connecto-discovery-service, connecto-connections-service, connecto-engagements-service, connecto-conversations-service, connecto-feedback-service, connecto-media-service, connecto-trust-safety-service, connecto-measurement-service, connecto-notifications-service, connecto-listing-parser-service and connecto-platform. The app and API contain existing implementations; the other repositories are documentation scaffolds and do not establish deployed services. Their guides describe domain ownership, exclusions, contracts, security, verification and migration gates. Existing Terraform remains in connecto-api; canonical documentation remains under docs. Local repository creation did not create remote repositories or move infrastructure state.</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Proposed app contracts and screen ownership</w:t>
      </w:r>
    </w:p>
    <w:p>
      <w:r>
        <w:t>These are new contracts, not claims that routes already exist. Preserve existing /api/users/me, listing POST routes and /api/needs/{id}/matches through edge compatibility adapters during migration. Version new contracts under /api/v1; remove compatibility only after client migration.</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App feature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Public contract examples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and behaviour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GET/PATCH /api/v1/me; GET /api/v1/members/{id}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 Reputation summary can be composed separately; real edits survive devices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 forms and management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/needs, /offerings; GET/PATCH /needs/{id}; POST /needs/{id}/publish; equivalent offering routes under /api/v1</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explicit currency/basis, taxonomy and revision; parsing returns editable proposal</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 and matches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/api/v1/discovery/offerings; GET /api/v1/needs/{id}/recommendations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 plus safe listing/member/reputation projections; cursor pagination, scoring version, reasons, projection timestamp</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Offering detail</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/api/v1/offerings/{id}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composed with public profile/reputation; authoritative availability before connection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 request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/api/v1/connections; POST /connections/{id}/accept, /decline, /withdraw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idempotency key and expected terms version; body identifies listing pair, server derives roles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and agreement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/api/v1/me/activity; GET /engagements/{id}; POST /engagements/{id}/completion-reports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read model plus Engagements; show accepted terms and each confirmation distinctly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Inbox and chat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/api/v1/conversations; GET/POST /conversations/{id}/messages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Conversations; cursor history, stable client message key, explicit read/delivery semantics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/api/v1/engagements/{id}/review-eligibility; POST /engagements/{id}/reviews; GET /members/{id}/reputation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Engagements and Feedback via BFF; hidden submitted state, publication state, role counts, insufficient-history state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/api/v1/media/upload-grants; POST /media/{id}/finalise; GET /media/{id}/access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with parent authority; processing state; attachment visibility chosen explicitly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Reporting/blocking</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/api/v1/reports; POST/DELETE /blocks/{memberId}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cases visible only under case permissions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/api/v1/me/notifications; POST /notifications/{id}/read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 durable server-backed delivery state</w:t>
            </w:r>
          </w:p>
        </w:tc>
      </w:tr>
    </w:tbl>
    <w:p/>
    <w:p>
      <w:r>
        <w:t>Paths abbreviated in rows inherit /api/v1. Separate staff case and measurement routes require staff scopes. Command errors use safe structured ProblemDetails, a correlation ID and distinguish 401/403/404, validation failures, 409 concurrency conflicts, 202 pending workflows and 503 dependencies. Do not return stack traces. Use expected aggregate revisions and scoped idempotency keys with payload hashes; a reused key with different content conflicts. Do not blindly retry non-idempotent POSTs after timeout.</w:t>
      </w:r>
    </w:p>
    <w:p>
      <w:r>
        <w:t>Refactor src/services/api.js into an HTTP transport supporting explicit methods, cancellation, structured errors, idempotency and revisions, plus clients by domain. Continue extracting remaining feature-specific work from src/app/useConnecto.js into feature hooks/server-state queries: Members, Listings, Discovery, Connections, Engagements, Conversations, Reviews, Media and Safety. Keep ephemeral presentation state local. Introduce addressable routes so listing, conversation and engagement IDs survive refresh and deep linking. Any new routing/server-query package is an implementation decision, not a required vendor choice.</w:t>
      </w:r>
    </w:p>
    <w:p>
      <w:r>
        <w:t>Replace production local-storage authority with authenticated server reads and cache invalidation. Isolate demo storage and fake profiles/ratings from real records and measurements. Clear member-scoped caches on logout/account change; never migrate demo messages into production implicitly. Refresh data after mutations/events and represent loading, empty, stale, failed and pending states. Remove default neighbourhood assumptions from production forms. Fetch complete offering summaries instead of synthesising API match cards. Do not present a match as a connection or a conversation as an agreement.</w:t>
      </w:r>
    </w:p>
    <w:p>
      <w:r>
        <w:t>Add connection requests and accepted/pending activity, agreement detail, separate completion-report controls, reciprocal review flow, media processing feedback and report/block actions. A one-confirmed or disputed engagement must remain visibly distinct from both-confirmed. Start chat with authorised polling; introduce SSE/WebSocket only when needed, with reconnect and persisted-history reconciliation.</w:t>
      </w:r>
    </w:p>
    <w:p>
      <w:pPr>
        <w:pStyle w:val="Heading1"/>
      </w:pPr>
      <w:r>
        <w:t>Data  events and deployment</w:t>
      </w:r>
    </w:p>
    <w:p>
      <w:r>
        <w:t>Use service-owned logical SQL databases and credentials, initially on the existing SQL Server infrastructure if capacity/licensing permit. Sharing a server does not permit table access across services. No cross-service foreign keys, SQL joins, shared EF context or distributed SQL transaction. Duplicate only deliberate projections keyed by stable IDs. Media bytes live in private S3; its metadata is service-owned. Avoid adding a search cluster until SQL-backed Discovery projections are insufficient.</w:t>
      </w:r>
    </w:p>
    <w:p>
      <w:r>
        <w:t>Each producer commits an outbox with local state. Workers publish to proposed SNS topics with a durable SQS queue and dead-letter queue per consumer. Consumers record receipts and local effects atomically, deduplicate EventId, and handle ordering using aggregate versions. Delivery is at least once; replay must not repeat notification delivery or operational commands. Events carry schema version, event/aggregate IDs, aggregate version, UTC time, correlation/causation IDs and minimal outcome fields. Exclude message/review text, tokens, private evidence and raw image bytes from the general bus. Review publication timers recheck current eligibility/media/moderation state. Rebuild projections from retained approved sources with reconciliation; this proposal does not require event sourcing.</w:t>
      </w:r>
    </w:p>
    <w:p>
      <w:r>
        <w:t>Proposed infrastructure retains ECS/Fargate, ECR, Cognito, RDS SQL Server and the public ALB. Add private service connectivity (ECS Service Connect where suitable), per-service task/execution roles and Secrets Manager credentials, SNS/SQS/DLQs, S3, workers and logs. Service discovery does not replace authentication or TLS decisions. Review Terraform against existing state before bringing the externally managed API service/tasks under IaC ownership; do not recreate them blindly. Verify private-network access to ECR, S3, Secrets Manager, logs and messaging through NAT/endpoints.</w:t>
      </w:r>
    </w:p>
    <w:p>
      <w:r>
        <w:t>Deploy each service with an immutable image and service-owned migration task; use additive expand/contract migrations compatible with old and new readers. Serialise migrations per owned database and gate service rollout on migration exit status/readiness. A shared-server schema dependency can still require sequencing; do not claim arbitrary deployment independence until contracts and persistence are isolated. Scope runtime SQL permissions separately from migration credentials. Parsing secrets belong only in the parsing host/adapter, and structured posting must work when AI is disabled. Monitor service latency/failures, queue age/DLQs, outbox lag, stuck acceptances, reservation age and projection lag using correlation IDs. Define restore objectives, retention, SLOs and operator recovery runbooks before production extraction.</w:t>
      </w:r>
    </w:p>
    <w:p>
      <w:pPr>
        <w:pStyle w:val="Heading1"/>
      </w:pPr>
      <w:r>
        <w:t>App to services concerns and proposed controls</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Concern</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Control and enforcement location</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Required negative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Token theft, forgery and wrong identity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HTTPS throughout public transport; tokens in memory; no browser secrets; edge and protected services verify trusted issuer/JWKS, algorithm, lifetime, token_use and client_id. Use ID tokens only for their identity purpose, never as API access credentials. If resource audience is configured, validate it too.</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Modified, expired, wrong-pool/client, ID and missing tokens fail without data/state exposure.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Object and function access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service derives member from trusted subject and checks ownership/participants/current restrictions on each action. Staff APIs require explicit role/scope and auditable case purpose; staff MFA/challenge support is a release gate.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A cannot read/mutate member B's Need, message, hidden review, acceptance operation or media. Member tokens cannot invoke staff/internal commands.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XSS, browser cache and content injection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Render user text safely, avoid raw HTML; restrictive CSP and dependency review; private HTTP responses use no-store; member-scoped client caches are cleared on logout/account switch. Public/publicly cacheable DTOs exclude private fields.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Malicious listing/review/message content is inert; account switching and browser-back do not expose the previous member's private cached content.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CSRF and origin confusion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Bearer mode uses explicit Authorization headers rather than ambient cookies; exact CORS allowlist where needed. CORS is not API authentication. Cookie mode, if adopted, adds anti-CSRF and Origin validation; XSS remains a separate risk.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Foreign origins cannot use ambient credentials to mutate state; unauthorised direct HTTP clients are still rejected.</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Excessive requests, scraping and paid parsing abuse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and domain quotas by actor/resource, bounded pagination/filter complexity, body/upload limits, parse concurrency/cost budgets, timeouts and 429 handling. Protect signup/login against automated abuse.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Oversized bodies and abusive repeated commands/uploads/AI requests are bounded; retries cannot multiply agreements or reviews.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Upload leakage and malicious files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 authorises parent ownership/purpose; exact generated key, short expiry and enforceable upload-size/type constraints; private quarantine, decoder validation, malware/content controls, metadata stripping and safe variants. Served URLs remain short-lived bearer capabilities.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Swapped parent/key/visibility, oversized or malformed files fail; pending/rejected/hidden/private evidence cannot be served publicly.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Stale visibility and revoked access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parent-state check on private reads and media grants. Withdrawn content removes public access and invalidates projections/caches. Short-lived grants bound residual access; immediate revocation requires proxy delivery or another revocable mechanism.</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Hidden reviews or withdrawn media do not leak through BFF/search/CDN; grant replay after expiry fails. Do not assert issued URLs revoke instantly.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Manipulated fields or retry keys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Explicit DTO allowlists; derive roles/reviewee/status server-side; expected revisions; idempotency scope includes actor, action and resource with payload hash and retention policy.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Client cannot set reputation, reviewer identity, accepted state or moderation status; another actor cannot read/reuse an operation result.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SSRF and data exfiltration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uses configured service destinations; no client-supplied proxy target. Do not fetch arbitrary attachment URLs; allowlist parser/vendor egress and minimise sent listing data.</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cannot reach metadata endpoints/internal admin services via URLs or redirect chains; AI output never executes commands or publishes directly.</w:t>
            </w:r>
          </w:p>
        </w:tc>
      </w:tr>
    </w:tbl>
    <w:p/>
    <w:p>
      <w:pPr>
        <w:pStyle w:val="Heading1"/>
      </w:pPr>
      <w:r>
        <w:t>Events  data and delivery security</w:t>
      </w:r>
    </w:p>
    <w:p>
      <w:r>
        <w:t>SNS/SQS producers and consumers use separate scoped IAM task roles, topic/queue policies and TLS; require approved publisher/topic subscription paths, validate envelope/schema/type and reject unsupported inputs. General events contain minimal IDs/outcomes, not user tokens, private messages or hidden review content. Consumer authorisation and operation provenance are still needed for state-changing events; a valid queue message is not arbitrary command permission. Audit DLQ access/replay as privileged operations, bound payloads and retain deduplication/version state through replay. Do not grant Measurement or Notifications a wildcard ability to publish authoritative acceptance/moderation events.</w:t>
      </w:r>
    </w:p>
    <w:p>
      <w:r>
        <w:t>Each service has a runtime SQL login constrained to its own database and a separate migration identity. Encrypt SQL, verify certificates, encrypt stores/backups, and test restore/deletion policy. Secrets, JWTs, upload grants and private content are redacted from logs/traces. Correlation IDs are opaque; staff evidence reads, restrictions and decisions require audit records with purpose, actor and resource. Limit database/secret/topic/queue access independently of repository membership.</w:t>
      </w:r>
    </w:p>
    <w:p>
      <w:r>
        <w:t>CI deployments use GitHub OIDC with repository/environment-bound AWS trust, protected production environments, reviewed changes and immutable image digests. Separate service deployment rights from platform/IAM/migration privileges; do not replicate a broad legacy deploy role into every repository. Scan dependencies/images and test negative authorisation/contract cases. Restoration, secret rotation and certificate expiry must have operational evidence, not just configuration.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Current route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Contract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PATCH /api/users/me</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firstName, lastName and city maximum 200 characters; bio maximum 2000. Null/omitted values preserve stored data; supplied empty values clear it. Identity, email, verification and reputation are not editable.</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/api/users/me/activity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member only; page at least 1, pageSize 1 to 100; separate need and offering totals; deterministic ID ordering. No schema migration.</w:t>
            </w:r>
          </w:p>
        </w:tc>
      </w:tr>
    </w:tbl>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Local S4 routes: GET /api/safety/blocks lists own blocked member IDs; PUT and DELETE /api/safety/blocks/{memberId} block or unblock idempotently. POST /api/safety/reports accepts subjectId, optional offeringId, reason (unsafe, harassment, fraud or other) and details; GET /api/safety/reports returns only the reporter’s records. GET /api/safety/cases, GET /api/safety/cases/{id} and POST /api/safety/cases/{id}/review require the configured Cognito safety group. The group is read from Safety:OperatorGroup; its empty default denies operator access. Public Offering DTOs include the member ID required for block/report actions but no report text or private case data.</w:t>
      </w:r>
    </w:p>
    <w:p>
      <w:r>
        <w:t>AddSafetyAndOutbox creates MemberBlocks, SafetyReports, OutboxEvents, ConsumerReceipts and JourneyEvents. A block filters search, detail and Need matching in both directions. Safety writes and outbox enqueue share one EF SaveChanges. The hosted dispatcher polls pending rows, writes a journey-event projection plus unique journey-v1 receipt, and marks delivery in one SaveChanges. A replay with an existing receipt marks delivery without repeating the projection. The React Offering detail and profile call these routes; report details stay in request bodies.</w:t>
      </w:r>
    </w:p>
    <w:p>
      <w:r>
        <w:t>Local verification: 41 backend passes, one opt-in SQL test skipped, 48 frontend passes, lint and production build passed on 5 October 2026. SQL migration, transaction/concurrent dispatch, real Cognito group, authenticated browser, kill/restart and staging acceptance remain unverified. Operator review records acknowledgement only; operating coverage, escalation/appeal and retention remain unresolved. No migration or deployment was performed.</w:t>
      </w:r>
    </w:p>
    <w:p>
      <w:pPr>
        <w:pStyle w:val="Heading1"/>
      </w:pPr>
      <w:r>
        <w:t>S5 local implementation status</w:t>
      </w:r>
    </w:p>
    <w:p>
      <w:pPr/>
      <w:r>
        <w:t>Local S5 routes: POST /api/connection-requests accepts NeedId, OfferingId, expected listing revisions, proposed terms, pricing basis and optional amount; the server derives SenderId and RecipientId. GET /api/connection-requests returns only participant requests with pagination; GET /api/connection-requests/{id} is participant-only. POST /api/connection-requests/{id}/decline is recipient-only and /withdraw is sender-only; both require the current request revision and return 409 on stale or terminal state. The AddConnectionRequests EF migration adds request terms, snapshots, participants, status and timestamps, plus a filtered unique pending-pair index. React uses authenticated API calls and clears inbox state on session reset. Local tests pass, but real SQL migration/concurrency, Cognito browser and staging behavior remain unverified. No accept route or agreement persistence exists in S5.</w:t>
      </w:r>
    </w:p>
    <w:p>
      <w:pPr>
        <w:pStyle w:val="Heading1"/>
      </w:pPr>
      <w:r>
        <w:t>S6 local implementation status</w:t>
      </w:r>
    </w:p>
    <w:p>
      <w:pPr/>
      <w:r>
        <w:t>POST /api/connection-requests/{id}/accept takes request revision and idempotencyKey; only the recipient may accept. GET /api/agreements and GET /api/agreements/{id} return participant-only snapshots. The Engagement stores the request, Need and Offering IDs, server-derived participants, copied titles, terms, currency, pricing basis/amount, listing revisions, accepted request revision, retry key and acceptance time. AddAgreements creates unique ConnectionRequestId and NeedId indexes; acceptance writes the request transition and agreement together under a SQL Server serializable transaction. The React inbox presents Accept terms and saved agreements, refreshes server state and clears private agreement state on session reset. EF InMemory/API and frontend tests pass, but the generated migration, SQL concurrency and real browser/staging behavior remain unverified.</w:t>
      </w:r>
    </w:p>
    <w:p>
      <w:pPr>
        <w:pStyle w:val="Heading1"/>
      </w:pPr>
      <w:r>
        <w:t>S7 local implementation status</w:t>
      </w:r>
    </w:p>
    <w:p>
      <w:pPr/>
      <w:r>
        <w:t>GET /api/agreements/{id}/conversation/messages accepts pageSize up to 100 and either after or before a numeric message ID; latest and older pages return ascending messages plus hasMore and participant receipts. POST /api/agreements/{id}/conversation/messages takes text and idempotencyKey; repeated same-key/same-text requests return the saved row, while changed text conflicts. POST /api/agreements/{id}/conversation/receipt advances deliveredThrough and readThrough only for a participant and only to message IDs in that agreement. ConversationMessage stores agreement, sender, retry key, text and UTC time with a SQL identity ID and uniqueness constraint. ConversationReceipt stores per-participant monotonic cursors. AddConversations is an additive EF migration. The React inbox opens a saved agreement; ChatPage loads history, polls, loads older pages, acknowledges visible messages and retains the pending retry key after an uncertain send. API and UI tests pass locally; actual SQL, two-device browser and staging behaviour are unverified.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Technology Implementation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