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2.7  |  5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 xml:space="preserve">For an owner-authorised published Need, MatchService excludes self, unpublished, legacy-unknown and hard-incompatible Offerings before ranking. MatchingEngine applies seven calculators with validated configured factor weights and returns at most ten results with reasons, actual public Offering detail and policy version. The frontend demo engine remains separate.</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safety flow: authenticated members can block another provisioned member or send a private report without an engagement or completion. Either direction of a block excludes the other member’s Offerings from search, public detail and Need matching. Reports remain visible to their reporter and configured Cognito-group safety operators. Operator review records acknowledgement, time and operator subject; it does not decide a remedy or escalation.</w:t>
      </w:r>
    </w:p>
    <w:p>
      <w:r>
        <w:t>The existing ASP.NET Core host writes MemberBlock or SafetyReport and an OutboxEvent in one EF SaveChanges transaction. A hosted worker projects pending safety events into JourneyEvent and stores a unique ConsumerReceipt with the delivery marker in the same SQL SaveChanges transaction. Reprocessing an event with a receipt cannot add a second projection. The additive migration is generated but not applied in a verified SQL environment. React Offering detail and profile screens call the authenticated safety routes; illustrative demo content remains separate.</w:t>
      </w:r>
    </w:p>
    <w:p>
      <w:r>
        <w:t>This is local implementation evidence, not an accepted S4 release. SQL migration/transaction and competing-dispatcher checks, kill/restart replay, real Cognito group, multi-account browser and staging checks remain open. Named reviewer, support coverage, escalation/appeal and retention rules remain unresolved for a real-member pilot.</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