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Times New Roman" w:cs="Times New Roman" w:eastAsia="Times New Roman" w:hAnsi="Times New Roman"/>
          <w:b/>
          <w:bCs/>
          <w:sz w:val="32"/>
          <w:szCs w:val="32"/>
        </w:rPr>
        <w:t xml:space="preserve">2 Literature review</w:t>
      </w:r>
    </w:p>
    <w:p>
      <w:pPr>
        <w:spacing w:after="160" w:line="360"/>
        <w:jc w:val="both"/>
      </w:pPr>
      <w:r>
        <w:rPr>
          <w:rFonts w:ascii="Times New Roman" w:cs="Times New Roman" w:eastAsia="Times New Roman" w:hAnsi="Times New Roman"/>
          <w:sz w:val="24"/>
          <w:szCs w:val="24"/>
        </w:rPr>
        <w:t xml:space="preserve">Deploying deep learning in medical image analysis is constrained above all by data: patient-privacy regulation, the cost of expert annotation, and the rarity of many pathologies together cap the labelled data that any single institution can accumulate. Synthetic image generation has become a leading response to this bottleneck, and diffusion models have largely displaced generative adversarial networks as the generative backbone of choice because of their more stable training and their better preservation of fine anatomical detail. A closely related obstacle is domain shift, in which a model trained at one institution degrades when deployed at another owing to differences in scanner vendor, acquisition protocol, and patient population. This has produced a growing body of synthetic-to-real (S2R) work in which diffusion-generated images, whose labels are known by construction, are used to train or adapt models intended for real, unseen clinical data. Most of this work is concerned with generation itself: image fidelity, structural conditioning, and domain alignment. The question addressed in this thesis arises afterwards, given a large pool of generated images of uneven quality: which of them should be admitted to a real training set, and in what per-class balance. In line with supervisory guidance, the review below is restricted to work published from 2024 onward; the few earlier papers that are the original source of a technique implemented here are named once, for attribution only, at the end of the section.</w:t>
      </w:r>
    </w:p>
    <w:p>
      <w:pPr>
        <w:spacing w:after="160" w:line="360"/>
        <w:jc w:val="both"/>
      </w:pPr>
      <w:r>
        <w:rPr>
          <w:rFonts w:ascii="Times New Roman" w:cs="Times New Roman" w:eastAsia="Times New Roman" w:hAnsi="Times New Roman"/>
          <w:sz w:val="24"/>
          <w:szCs w:val="24"/>
        </w:rPr>
        <w:t xml:space="preserve">Recent generation-side research continues to focus on aligning domains before or during synthesis. Ji and Chung proposed Stochastic Step Alignment, a diffusion-based unsupervised domain adaptation method that aligns the intermediate trajectory of the denoising process between source and target domains rather than only the final image [1]. They reported Dice similarity coefficients of 86.5% for MR-to-CT and 88.3% for CT-to-MR abdominal segmentation on the CHAOS benchmark, outperforming previous domain-adaptation approaches. Zeng et al. addressed the stricter, privacy-driven setting in which source pixels cannot be shared, introducing Reliable Source Approximation, which uses edge-conditioned diffusion to synthesize source-like images and then applies an uncertainty and prediction-consistency filter to retain only reliable pseudo-labels before fine-tuning [2]. Their method achieved 77.83% Dice on vestibular schwannoma segmentation without ever accessing source data. Gong et al. separated appearance alignment from structural alignment in a 3D diffusion framework for volumetric segmentation, reporting accuracy close to a target-trained upper bound [3]. Cho et al. released MediSyn, a generalist text-guided latent diffusion model spanning ten imaging modalities and six medical specialties, and showed through blinded physician review that its outputs were frequently indistinguishable from real images while improving downstream classifier performance in data-scarce settings [4]. In the chest-radiograph domain most relevant to this thesis, Prakash et al. conditioned a latent diffusion model on text and segmentation masks and used proxy modelling together with radiologist feedback to raise the training utility of synthetic CheXpert images, reporting F1 gains of up to 0.150 for classification [5]. Their emphasis, however, is on the conditioning process rather than on selecting individual images. The CXR-LT 2024 challenge consolidated long-tailed, multi-label, and zero-shot chest-radiograph methods, several of which use generative augmentation for rare findings, but as a benchmark it prescribes no selection procedure [6].</w:t>
      </w:r>
    </w:p>
    <w:p>
      <w:pPr>
        <w:spacing w:after="160" w:line="360"/>
        <w:jc w:val="both"/>
      </w:pPr>
      <w:r>
        <w:rPr>
          <w:rFonts w:ascii="Times New Roman" w:cs="Times New Roman" w:eastAsia="Times New Roman" w:hAnsi="Times New Roman"/>
          <w:sz w:val="24"/>
          <w:szCs w:val="24"/>
        </w:rPr>
        <w:t xml:space="preserve">A recurring finding in this recent work is that generation-quality metrics are poor proxies for clinical usefulness. A 2025 review in The Lancet Digital Health argued that downstream task performance, not the Fréchet Inception Distance (FID), must be the acceptance criterion for medical synthetic data [7]. An empirical study on retinal image synthesis showed directly that a lower FID does not translate into better downstream classification or segmentation when the synthetic images are used for augmentation [8]. Domain-adapted alternatives have been proposed, such as the Fréchet Radiomic Distance, which compares real and synthetic medical datasets in a space of quantitative radiomic features [9], but these remain distributional metrics rather than per-image signals. Taken together, recent generation-side work either aligns domains at synthesis time or filters generated data by a single criterion, and none learns which individual synthetic images most improve a downstream multi-label classifier.</w:t>
      </w:r>
    </w:p>
    <w:p>
      <w:pPr>
        <w:spacing w:after="160" w:line="360"/>
        <w:jc w:val="both"/>
      </w:pPr>
      <w:r>
        <w:rPr>
          <w:rFonts w:ascii="Times New Roman" w:cs="Times New Roman" w:eastAsia="Times New Roman" w:hAnsi="Times New Roman"/>
          <w:sz w:val="24"/>
          <w:szCs w:val="24"/>
        </w:rPr>
        <w:t xml:space="preserve">A smaller but rapidly growing body of work addresses the post-generation selection problem directly. Wang et al. observed that diffusion-generated chest radiographs contain noisy and uninformative samples, and proposed Informative Data Selection, an Information-Bottleneck-grounded scheme that assigns a higher training weight to more informative synthetic images without discarding any [10]. Their approach shares the modality, the generator family, and the goal of this thesis, but differs in three respects: it uses a single information-theoretic criterion rather than several heterogeneous signals; it re-weights softly rather than making a hard admission decision; and it applies no per-class adaptive threshold. Tang et al. proposed a training-free selection method for semantic segmentation that combines a perturbation-based CLIP similarity score with a class-balanced annotation-similarity filter, halving the synthetic dataset while improving the segmenter [11]. This is a close analogue of the similarity front end used here, but relies on CLIP alone, targets segmentation rather than multi-label classification, and learns neither a ranking model nor a threshold. Zhang et al. used a classifier-predicted-likelihood semantic-quality metric to filter synthetic fundus images, adding them per class to under-represented diabetic-retinopathy grades, and reported an increase in balanced accuracy from 66.8% to 74.2% [12]. Their result validates both the intended-label-agreement signal and the per-class handling adopted in this thesis, although they use one signal and a fixed per-class quota rather than a learned threshold. In a non-diffusion setting, the CosSIF method removes synthetic skin-lesion images whose cosine-similarity feature distributions are less class-discriminative than those of real images, improving downstream AUC by 1.88% on ISIC-2016 [13], which motivates a within-class-versus-between-class similarity cue.</w:t>
      </w:r>
    </w:p>
    <w:p>
      <w:pPr>
        <w:spacing w:after="160" w:line="360"/>
        <w:jc w:val="both"/>
      </w:pPr>
      <w:r>
        <w:rPr>
          <w:rFonts w:ascii="Times New Roman" w:cs="Times New Roman" w:eastAsia="Times New Roman" w:hAnsi="Times New Roman"/>
          <w:sz w:val="24"/>
          <w:szCs w:val="24"/>
        </w:rPr>
        <w:t xml:space="preserve">Two further studies frame the selection problem theoretically. Rezaei et al. showed analytically that, for linear models, the covariance shift between the target and synthetic distributions drives generalisation error while the mean shift does not, and that matching the covariance is a near-optimal selection criterion that also transfers to deep networks [14]. Their work supplies a principled single-criterion baseline against which a multi-signal approach can be contrasted. Nguyen et al. proposed Targeted Diffusion Augmentation, which generates faithful synthetic images only for the real training examples that a model fails to learn early, and showed that augmenting only 30–40% of the data outperforms augmenting everything [15]. Despite its title, the method selects which real examples to augment rather than which generated images to admit, a distinction this thesis states explicitly. Kolossov et al. proved that training on a well-chosen subset can beat training on the full sample, and that unbiased-reweighting and influence-function selectors can be substantially sub-optimal [16], which provides the formal justification for comparing a selected synthetic subset against the use of all synthetic data.</w:t>
      </w:r>
    </w:p>
    <w:p>
      <w:pPr>
        <w:spacing w:after="160" w:line="360"/>
        <w:jc w:val="both"/>
      </w:pPr>
      <w:r>
        <w:rPr>
          <w:rFonts w:ascii="Times New Roman" w:cs="Times New Roman" w:eastAsia="Times New Roman" w:hAnsi="Times New Roman"/>
          <w:sz w:val="24"/>
          <w:szCs w:val="24"/>
        </w:rPr>
        <w:t xml:space="preserve">The ranking component of the proposed framework draws on recent work in learned set functions and data valuation. Xie et al. showed that when the utility of a subset depends on the ground set it is drawn from, the subset representation must incorporate a permutation-invariant sufficient statistic of that superset, and that this term accounts for most of the observed gain, with the largest improvements when subsets are small relative to the pool [17]. That regime matches the roughly one hundred measured subsets used to train the set-utility model here. The DUPRE framework makes the same efficiency argument that motivates this thesis's selection stage, learning a model that predicts subset utility so that a proxy classifier need not be retrained for every candidate subset [18]. For the per-image target, Sun et al. introduced an out-of-bag marginal-contribution estimator that is fast and robust to the stochasticity of training and that detects fine-grained outliers [19]. Xu et al. valued a whole data distribution from small samples using a maximum-mean-discrepancy formulation, supporting the premise that data carry unequal value but operating at a coarser granularity than the per-image mechanism used here [20]. Chi et al. unified Shapley-, Banzhaf-, and leave-one-out-type values and optimised them for the selection objective directly [21]. Yang et al. provided recent, training-free evidence that fusing a similarity-matching score with an image-quality-assessment term outperforms either alone [22], and Loizou and Tsoumakos showed that chunk-level contribution can be estimated with single-iteration proxies at very large speed-ups, paralleling the bounded-budget subset measurement adopted here [23]. The Set-LLM architecture demonstrates that architectural permutation-invariance with formal guarantees remains an active design principle for set-structured inputs [24].</w:t>
      </w:r>
    </w:p>
    <w:p>
      <w:pPr>
        <w:spacing w:after="160" w:line="360"/>
        <w:jc w:val="both"/>
      </w:pPr>
      <w:r>
        <w:rPr>
          <w:rFonts w:ascii="Times New Roman" w:cs="Times New Roman" w:eastAsia="Times New Roman" w:hAnsi="Times New Roman"/>
          <w:sz w:val="24"/>
          <w:szCs w:val="24"/>
        </w:rPr>
        <w:t xml:space="preserve">The adaptive-threshold component builds on recent class-adaptive thresholding in semi-supervised learning, adapted from a per-training-step mechanism into a one-time data-curation decision. The AllMatch method applies class-adaptive confidence thresholds that exploit all unlabelled data [25]. Zhao et al. decomposed the per-class threshold into a global term and a local term and added an explicit class-fairness regulariser that prevents rare classes from being starved of pseudo-labels [26]; this directly motivates the range-normalised per-class leniency and the hard per-class selection floor used in this thesis. For the distinctiveness signal, Tan et al. formulated coreset selection as maximising information content minus an importance-weighted redundancy term defined by pairwise similarity, solved as a discrete quadratic program [27], and Maharana et al. showed through graph message passing that raw diversity must be balanced against per-sample difficulty [28]. Finally, and specific to the medical setting, Dar et al. demonstrated that unconditional latent diffusion models replicate or near-replicate real training patients, with near-duplication detectable at a DINOv2 cosine similarity above 0.95 [29]. Their result grounds the near-duplicate rejection threshold used in this thesis in an independent source rather than a hand-chosen constant.</w:t>
      </w:r>
    </w:p>
    <w:p>
      <w:pPr>
        <w:spacing w:after="160" w:line="360"/>
        <w:jc w:val="both"/>
      </w:pPr>
      <w:r>
        <w:rPr>
          <w:rFonts w:ascii="Times New Roman" w:cs="Times New Roman" w:eastAsia="Times New Roman" w:hAnsi="Times New Roman"/>
          <w:sz w:val="24"/>
          <w:szCs w:val="24"/>
        </w:rPr>
        <w:t xml:space="preserve">Despite this progress, there remain clear shortcomings across the recent literature. Existing methods for selecting synthetic data act on a single criterion, whether an information-theoretic bound [10], a CLIP similarity score [11], a classifier likelihood [12], or a distributional distance [14], and none combines several complementary perceptual signals. Most operate at the level of the individual image or the whole distribution and do not learn a set-level utility that is then distilled onto individual images; where a marginal-contribution value is used it is computed for general classification tasks [19, 21] rather than for synthetic medical images. Class-adaptive thresholds are studied almost exclusively as a per-training-step mechanism for semi-supervised learning [25, 26] rather than as a one-time curation decision for a multi-label medical classifier. Few studies use predictive uncertainty or explanation quality as an explicit selection signal, and most report predictive accuracy while providing limited interpretability, which reduces their usefulness for clinical decision support. Therefore, there remains a research gap in developing a multi-signal, class-adaptive, and interpretable framework for selecting diffusion-generated medical images for a downstream multi-label classifier.</w:t>
      </w:r>
    </w:p>
    <w:p>
      <w:pPr>
        <w:spacing w:after="160" w:line="360"/>
        <w:jc w:val="both"/>
      </w:pPr>
      <w:r>
        <w:rPr>
          <w:rFonts w:ascii="Times New Roman" w:cs="Times New Roman" w:eastAsia="Times New Roman" w:hAnsi="Times New Roman"/>
          <w:sz w:val="24"/>
          <w:szCs w:val="24"/>
        </w:rPr>
        <w:t xml:space="preserve">To address these limitations, this thesis proposes ASISM (Adaptive Quality-Aware Synthetic Data Selection), a framework that operates on the output of a LoRA-fine-tuned diffusion foundation model. Each synthetic image is scored on six complementary signals: DINOv2 k-nearest-neighbour similarity to real references, no-reference and domain-specific image quality, Monte-Carlo-dropout predictive uncertainty, Grad-CAM alignment with expected pathology regions, agreement between the generated image and its intended labels, and within-class distinctiveness. Each signal must pass an independent go/no-go admission gate before it can enter the model. A permutation-invariant set-utility network is trained on measured subset-level AUROC changes, and its value is distilled into a small multi-signal ranking network that produces one scalar utility score per image; the distillation target is a size-normalised leave-one-out marginal, with a Data-Banzhaf Maximum-Sample-Reuse estimate computed from the same measured subsets as a robust alternative. A per-class admission threshold is then decided once, before final classifier training, under a three-tier governance rule that uses a learned threshold network only where sufficient proxy-verified, image-disjoint evidence exists and otherwise falls back to a verified proxy threshold or a fixed baseline. All tuning decisions are made on a dedicated proxy split, and the final evaluation split is never opened during selection. Table 1 summarises the reviewed methods, their strengths, and their limitations relative to this problem.</w:t>
      </w:r>
    </w:p>
    <w:p>
      <w:pPr>
        <w:pStyle w:val="Heading2"/>
        <w:spacing w:after="160" w:before="300"/>
      </w:pPr>
      <w:r>
        <w:rPr>
          <w:rFonts w:ascii="Times New Roman" w:cs="Times New Roman" w:eastAsia="Times New Roman" w:hAnsi="Times New Roman"/>
          <w:b/>
          <w:bCs/>
          <w:sz w:val="28"/>
          <w:szCs w:val="28"/>
        </w:rPr>
        <w:t xml:space="preserve">Table 1  Summary of the reviewed 2024–2026 methods, strengths, and limitations</w:t>
      </w:r>
    </w:p>
    <w:tbl>
      <w:tblPr>
        <w:tblW w:type="dxa" w:w="9026"/>
        <w:tblBorders>
          <w:top w:val="single" w:color="888888" w:sz="4"/>
          <w:left w:val="single" w:color="888888" w:sz="4"/>
          <w:bottom w:val="single" w:color="888888" w:sz="4"/>
          <w:right w:val="single" w:color="888888" w:sz="4"/>
          <w:insideH w:val="single" w:color="BBBBBB" w:sz="4"/>
          <w:insideV w:val="single" w:color="BBBBBB" w:sz="4"/>
        </w:tblBorders>
      </w:tblPr>
      <w:tblGrid>
        <w:gridCol w:w="1500"/>
        <w:gridCol w:w="2300"/>
        <w:gridCol w:w="2600"/>
        <w:gridCol w:w="2626"/>
      </w:tblGrid>
      <w:tr>
        <w:trPr>
          <w:tblHeader/>
        </w:trPr>
        <w:tc>
          <w:tcPr>
            <w:tcW w:type="dxa" w:w="1500"/>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Authors</w:t>
            </w:r>
          </w:p>
        </w:tc>
        <w:tc>
          <w:tcPr>
            <w:tcW w:type="dxa" w:w="2300"/>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Method</w:t>
            </w:r>
          </w:p>
        </w:tc>
        <w:tc>
          <w:tcPr>
            <w:tcW w:type="dxa" w:w="2600"/>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Strength</w:t>
            </w:r>
          </w:p>
        </w:tc>
        <w:tc>
          <w:tcPr>
            <w:tcW w:type="dxa" w:w="2626"/>
            <w:shd w:fill="D9D9D9"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20"/>
                <w:szCs w:val="20"/>
              </w:rPr>
              <w:t xml:space="preserve">Limitation relative to this thesis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Ji and Chung [1]</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Stochastic Step Alignment (diffusion UDA)</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Aligns the denoising trajectory between domains; strong cross-modality Dice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Alignment at generation time; no per-image admission decision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Zeng et al. [2]</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Reliable Source Approximation (source-free UDA)</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Uncertainty and consistency filter for reliable pseudo-labels; no source access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One filtering criterion; segmentation; filters pseudo-labels, not generated images by downstream effect</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Gong et al. [3]</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Diffuse-UDA (appearance + structure aligned 3D diffusion)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Approaches the target-trained upper bound in 3D segmentation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No selection of generated samples by downstream effect</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Cho et al. [4]</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MediSyn (generalist text-guided latent diffusion)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Broad modality coverage; physician-rated realism</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Generation only; no post-generation selection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Prakash et al. [5]</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Mask-conditioned LDM for chest radiographs</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Proxy modelling and radiologist feedback raise synthetic utility; CheXpert</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Conditioning-focused; no per-image selection framework</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CXR-LT 2024 [6]</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Long-tailed multi-label CXR challenge</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Consolidates generative augmentation methods for rare findings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 benchmark, not a selection method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The Lancet Digital Health review [7]</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Review of generative AI for medical synthesis</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Argues downstream performance, not FID, is the right acceptance criterion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Review; proposes no method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Retinal FID study [8]</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Empirical analysis of FID for augmentation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Shows lower FID does not imply better downstream performance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Diagnostic; not a selector</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Fréchet Radiomic Distance [9]</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Radiomic-feature distributional metric</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Domain-adapted real-vs-synthetic dataset comparison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 metric, not a per-image signal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Wang et al. [10]</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Informative Data Selection (IB re-weighting)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Same modality and goal; down-weights uninformative synthetic CXR</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One criterion; soft re-weighting not hard admission; no per-class threshold; no learned set-utility</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Tang et al. [11]</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Training-free CLIP-based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Perturbation-based CLIP similarity + class-balanced filter; halves the set</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CLIP-only (two filters); segmentation; no learned ranker; no threshold learning</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Zhang et al. [12]</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Classifier-likelihood filtering for DR grading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Per-class filtering of synthetic fundus images; balanced accuracy 66.8 → 74.2%</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One signal; fixed per-class quota, not a learned threshold; no learned ranker; no valuation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CosSIF [13]</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Cosine-similarity image filtering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Removes less class-discriminative synthetic images; +1.88% AUC (ISIC-2016)</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Single modality (skin); GAN generator; one criterion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Rezaei et al. [14]</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Covariance-matching synthetic-data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Analytic criterion; transfers from linear models to deep networks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Single distribution-level criterion; not per-image;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Nguyen et al. [15]</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Targeted Diffusion Augmentation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Augmenting 30–40% of the data beats augmenting everything</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Selects which real examples to augment, not which generated images to admit</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Kolossov et al. [16]</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Statistical theory of data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Proves a well-chosen subset can beat the full sample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Theory; surrogate-guided; not multi-signal, not synthetic/medical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Xie et al. [17]</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Superset-conditioned neural subset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Permutation-invariant superset statistic is the main source of gain</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Drug-discovery subsets; no downstream-AUROC target;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DUPRE [18]</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Data utility prediction for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Predicts subset utility to avoid per-subset retraining</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General valuation; no perceptual signals; no ranking distillation</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Sun et al. [19]</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2D-OOB joint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Out-of-bag marginal-contribution estimator; fast; robust to stochastic training</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General/tabular; per-sample; no set-utility distillation;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Xu et al. [20]</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Data distribution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MMD-based valuation of a distribution from small samples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Distribution-level, not per-image; not selection-oriented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Chi et al. [21]</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Unified data values for selection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Optimises Shapley/Banzhaf/LOO values for the selection objective</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General classification; not synthetic/medical; no perceptual signals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Yang et al. [22]</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GMValuator (similarity + IQA valuation)</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Training-free fusion of similarity matching and image-quality assessment</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Values real training data for a generator, not generated images for a classifier; two signals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Loizou and Tsoumakos [23]</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Chunked Data Shapley</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Chunk-level contribution with single-iteration proxies; large speed-ups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Tabular focus; no perceptual signals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Set-LLM [24]</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Permutation-invariant architecture</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Formal permutation-invariance guarantees for set inputs</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Text-set setting; not utility regression over image sets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AllMatch [25]</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Class-adaptive SSL thresholding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Class-adaptive thresholds using all unlabelled data</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Per-training-step SSL loop; single-label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Zhao et al. [26]</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SST self-adaptive thresholding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Global × local per-class threshold with a class-fairness regulariser</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Per-training-step SSL; not a one-time curation threshold</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Tan et al. [27]</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InfoMax data pruning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Coreset = information − importance-weighted redundancy, as a QP</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Single objective; no downstream-utility target; no thresholds</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Maharana et al. [28]</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D² Pruning</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Graph message passing balancing diversity and difficulty</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Real-data pruning; no synthetic/medical; no learned utility model</w:t>
            </w:r>
          </w:p>
        </w:tc>
      </w:tr>
      <w:tr>
        <w:tc>
          <w:tcPr>
            <w:tcW w:type="dxa" w:w="15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Dar et al. [29]</w:t>
            </w:r>
          </w:p>
        </w:tc>
        <w:tc>
          <w:tcPr>
            <w:tcW w:type="dxa" w:w="23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Memorisation analysis of medical LDMs</w:t>
            </w:r>
          </w:p>
        </w:tc>
        <w:tc>
          <w:tcPr>
            <w:tcW w:type="dxa" w:w="2600"/>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Shows near-duplication at DINOv2 cosine &gt; 0.95</w:t>
            </w:r>
          </w:p>
        </w:tc>
        <w:tc>
          <w:tcPr>
            <w:tcW w:type="dxa" w:w="2626"/>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20"/>
                <w:szCs w:val="20"/>
              </w:rPr>
              <w:t xml:space="preserve">A diagnostic study, not a selection framework</w:t>
            </w:r>
          </w:p>
        </w:tc>
      </w:tr>
    </w:tbl>
    <w:p>
      <w:pPr>
        <w:spacing w:after="160"/>
      </w:pPr>
    </w:p>
    <w:p>
      <w:pPr>
        <w:pStyle w:val="Heading2"/>
        <w:spacing w:after="160" w:before="300"/>
      </w:pPr>
      <w:r>
        <w:rPr>
          <w:rFonts w:ascii="Times New Roman" w:cs="Times New Roman" w:eastAsia="Times New Roman" w:hAnsi="Times New Roman"/>
          <w:b/>
          <w:bCs/>
          <w:sz w:val="28"/>
          <w:szCs w:val="28"/>
        </w:rPr>
        <w:t xml:space="preserve">References</w:t>
      </w:r>
    </w:p>
    <w:p>
      <w:pPr>
        <w:spacing w:after="100" w:line="276"/>
        <w:ind w:left="360" w:hanging="360"/>
        <w:jc w:val="both"/>
      </w:pPr>
      <w:r>
        <w:rPr>
          <w:rFonts w:ascii="Times New Roman" w:cs="Times New Roman" w:eastAsia="Times New Roman" w:hAnsi="Times New Roman"/>
          <w:sz w:val="24"/>
          <w:szCs w:val="24"/>
        </w:rPr>
        <w:t xml:space="preserve">[1] Ji W, Chung ACS. Stochastic step alignment for diffusion-based unsupervised domain adaptation in medical image segmentation. Medical Image Computing and Computer-Assisted Intervention (MICCAI); 2024.</w:t>
      </w:r>
    </w:p>
    <w:p>
      <w:pPr>
        <w:spacing w:after="100" w:line="276"/>
        <w:ind w:left="360" w:hanging="360"/>
        <w:jc w:val="both"/>
      </w:pPr>
      <w:r>
        <w:rPr>
          <w:rFonts w:ascii="Times New Roman" w:cs="Times New Roman" w:eastAsia="Times New Roman" w:hAnsi="Times New Roman"/>
          <w:sz w:val="24"/>
          <w:szCs w:val="24"/>
        </w:rPr>
        <w:t xml:space="preserve">[2] Zeng Y, et al. Reliable source approximation: source-free unsupervised domain adaptation for vestibular schwannoma MRI segmentation. Medical Image Computing and Computer-Assisted Intervention (MICCAI); 2024.</w:t>
      </w:r>
    </w:p>
    <w:p>
      <w:pPr>
        <w:spacing w:after="100" w:line="276"/>
        <w:ind w:left="360" w:hanging="360"/>
        <w:jc w:val="both"/>
      </w:pPr>
      <w:r>
        <w:rPr>
          <w:rFonts w:ascii="Times New Roman" w:cs="Times New Roman" w:eastAsia="Times New Roman" w:hAnsi="Times New Roman"/>
          <w:sz w:val="24"/>
          <w:szCs w:val="24"/>
        </w:rPr>
        <w:t xml:space="preserve">[3] Gong H, et al. Diffuse-UDA: addressing unsupervised domain adaptation in medical image segmentation with appearance and structure aligned diffusion models. arXiv:2408.05985; 2024.</w:t>
      </w:r>
    </w:p>
    <w:p>
      <w:pPr>
        <w:spacing w:after="100" w:line="276"/>
        <w:ind w:left="360" w:hanging="360"/>
        <w:jc w:val="both"/>
      </w:pPr>
      <w:r>
        <w:rPr>
          <w:rFonts w:ascii="Times New Roman" w:cs="Times New Roman" w:eastAsia="Times New Roman" w:hAnsi="Times New Roman"/>
          <w:sz w:val="24"/>
          <w:szCs w:val="24"/>
        </w:rPr>
        <w:t xml:space="preserve">[4] Cho C, et al. MediSyn: a generalist text-guided latent diffusion model for synthetic medical image generation. arXiv:2405.09806; 2024.</w:t>
      </w:r>
    </w:p>
    <w:p>
      <w:pPr>
        <w:spacing w:after="100" w:line="276"/>
        <w:ind w:left="360" w:hanging="360"/>
        <w:jc w:val="both"/>
      </w:pPr>
      <w:r>
        <w:rPr>
          <w:rFonts w:ascii="Times New Roman" w:cs="Times New Roman" w:eastAsia="Times New Roman" w:hAnsi="Times New Roman"/>
          <w:sz w:val="24"/>
          <w:szCs w:val="24"/>
        </w:rPr>
        <w:t xml:space="preserve">[5] Prakash E, Valanarasu JMJ, Chen Z, Reis EP, Johnston A, Pareek A, Bluethgen C, Gatidis S, Olsen C, Chaudhari A, Ng A, Langlotz C. Evaluating and improving the effectiveness of synthetic chest X-rays for medical image analysis. Proceedings of the IEEE/CVF International Conference on Computer Vision (ICCV) Workshops; 2025. p. 4413–21.</w:t>
      </w:r>
    </w:p>
    <w:p>
      <w:pPr>
        <w:spacing w:after="100" w:line="276"/>
        <w:ind w:left="360" w:hanging="360"/>
        <w:jc w:val="both"/>
      </w:pPr>
      <w:r>
        <w:rPr>
          <w:rFonts w:ascii="Times New Roman" w:cs="Times New Roman" w:eastAsia="Times New Roman" w:hAnsi="Times New Roman"/>
          <w:sz w:val="24"/>
          <w:szCs w:val="24"/>
        </w:rPr>
        <w:t xml:space="preserve">[6] CXR-LT 2024: a MICCAI challenge on long-tailed, multi-label, and zero-shot disease classification from chest X-ray. MICCAI 2024 challenge report; arXiv:2506.07984.</w:t>
      </w:r>
    </w:p>
    <w:p>
      <w:pPr>
        <w:spacing w:after="100" w:line="276"/>
        <w:ind w:left="360" w:hanging="360"/>
        <w:jc w:val="both"/>
      </w:pPr>
      <w:r>
        <w:rPr>
          <w:rFonts w:ascii="Times New Roman" w:cs="Times New Roman" w:eastAsia="Times New Roman" w:hAnsi="Times New Roman"/>
          <w:sz w:val="24"/>
          <w:szCs w:val="24"/>
        </w:rPr>
        <w:t xml:space="preserve">[7] Generative artificial intelligence in medical image synthesis: opportunities, challenges, and future directions. The Lancet Digital Health; 2025.</w:t>
      </w:r>
    </w:p>
    <w:p>
      <w:pPr>
        <w:spacing w:after="100" w:line="276"/>
        <w:ind w:left="360" w:hanging="360"/>
        <w:jc w:val="both"/>
      </w:pPr>
      <w:r>
        <w:rPr>
          <w:rFonts w:ascii="Times New Roman" w:cs="Times New Roman" w:eastAsia="Times New Roman" w:hAnsi="Times New Roman"/>
          <w:sz w:val="24"/>
          <w:szCs w:val="24"/>
        </w:rPr>
        <w:t xml:space="preserve">[8] A pragmatic note on evaluating generative models with Fréchet Inception Distance for retinal image synthesis. arXiv:2502.17160; 2025.</w:t>
      </w:r>
    </w:p>
    <w:p>
      <w:pPr>
        <w:spacing w:after="100" w:line="276"/>
        <w:ind w:left="360" w:hanging="360"/>
        <w:jc w:val="both"/>
      </w:pPr>
      <w:r>
        <w:rPr>
          <w:rFonts w:ascii="Times New Roman" w:cs="Times New Roman" w:eastAsia="Times New Roman" w:hAnsi="Times New Roman"/>
          <w:sz w:val="24"/>
          <w:szCs w:val="24"/>
        </w:rPr>
        <w:t xml:space="preserve">[9] Fréchet Radiomic Distance (FRD): a versatile metric for comparing medical imaging datasets. arXiv:2412.01496; 2024.</w:t>
      </w:r>
    </w:p>
    <w:p>
      <w:pPr>
        <w:spacing w:after="100" w:line="276"/>
        <w:ind w:left="360" w:hanging="360"/>
        <w:jc w:val="both"/>
      </w:pPr>
      <w:r>
        <w:rPr>
          <w:rFonts w:ascii="Times New Roman" w:cs="Times New Roman" w:eastAsia="Times New Roman" w:hAnsi="Times New Roman"/>
          <w:sz w:val="24"/>
          <w:szCs w:val="24"/>
        </w:rPr>
        <w:t xml:space="preserve">[10] Wang Y, Goel R, Jojic M, Silva AC, Wu T, Yang Y. Informative synthetic data generation for thorax disease classification. Conference on Uncertainty in Artificial Intelligence (UAI). PMLR vol. 286; 2025. p. 4489–514.</w:t>
      </w:r>
    </w:p>
    <w:p>
      <w:pPr>
        <w:spacing w:after="100" w:line="276"/>
        <w:ind w:left="360" w:hanging="360"/>
        <w:jc w:val="both"/>
      </w:pPr>
      <w:r>
        <w:rPr>
          <w:rFonts w:ascii="Times New Roman" w:cs="Times New Roman" w:eastAsia="Times New Roman" w:hAnsi="Times New Roman"/>
          <w:sz w:val="24"/>
          <w:szCs w:val="24"/>
        </w:rPr>
        <w:t xml:space="preserve">[11] Tang H, Yu S, Pang J, Zhang B. A training-free synthetic data selection method for semantic segmentation. Proceedings of the AAAI Conference on Artificial Intelligence; 2025. doi:10.1609/aaai.v39i7.32777. arXiv:2501.15201.</w:t>
      </w:r>
    </w:p>
    <w:p>
      <w:pPr>
        <w:spacing w:after="100" w:line="276"/>
        <w:ind w:left="360" w:hanging="360"/>
        <w:jc w:val="both"/>
      </w:pPr>
      <w:r>
        <w:rPr>
          <w:rFonts w:ascii="Times New Roman" w:cs="Times New Roman" w:eastAsia="Times New Roman" w:hAnsi="Times New Roman"/>
          <w:sz w:val="24"/>
          <w:szCs w:val="24"/>
        </w:rPr>
        <w:t xml:space="preserve">[12] Zhang H, Heinke A, Nagel ID, Bartsch DUG, Freeman WR, Nguyen TQ, An C. Class-conditioned image synthesis with diffusion for imbalanced diabetic retinopathy grading. Medical Image Computing and Computer-Assisted Intervention (MICCAI); 2025.</w:t>
      </w:r>
    </w:p>
    <w:p>
      <w:pPr>
        <w:spacing w:after="100" w:line="276"/>
        <w:ind w:left="360" w:hanging="360"/>
        <w:jc w:val="both"/>
      </w:pPr>
      <w:r>
        <w:rPr>
          <w:rFonts w:ascii="Times New Roman" w:cs="Times New Roman" w:eastAsia="Times New Roman" w:hAnsi="Times New Roman"/>
          <w:sz w:val="24"/>
          <w:szCs w:val="24"/>
        </w:rPr>
        <w:t xml:space="preserve">[13] CosSIF: cosine similarity-based image filtering to overcome low inter-class variation in synthetic medical image datasets. Computers in Biology and Medicine. 2024;172:108317. arXiv:2307.13842.</w:t>
      </w:r>
    </w:p>
    <w:p>
      <w:pPr>
        <w:spacing w:after="100" w:line="276"/>
        <w:ind w:left="360" w:hanging="360"/>
        <w:jc w:val="both"/>
      </w:pPr>
      <w:r>
        <w:rPr>
          <w:rFonts w:ascii="Times New Roman" w:cs="Times New Roman" w:eastAsia="Times New Roman" w:hAnsi="Times New Roman"/>
          <w:sz w:val="24"/>
          <w:szCs w:val="24"/>
        </w:rPr>
        <w:t xml:space="preserve">[14] Rezaei P, et al. High-dimensional analysis of synthetic data selection. International Conference on Learning Representations (ICLR); 2026 (accepted). arXiv:2510.08123.</w:t>
      </w:r>
    </w:p>
    <w:p>
      <w:pPr>
        <w:spacing w:after="100" w:line="276"/>
        <w:ind w:left="360" w:hanging="360"/>
        <w:jc w:val="both"/>
      </w:pPr>
      <w:r>
        <w:rPr>
          <w:rFonts w:ascii="Times New Roman" w:cs="Times New Roman" w:eastAsia="Times New Roman" w:hAnsi="Times New Roman"/>
          <w:sz w:val="24"/>
          <w:szCs w:val="24"/>
        </w:rPr>
        <w:t xml:space="preserve">[15] Nguyen D, Li J, Zheng J, Mirzasoleiman B. Do we need all the synthetic data? Targeted image augmentation via diffusion models. International Conference on Learning Representations (ICLR); 2026 (accepted). arXiv:2505.21574.</w:t>
      </w:r>
    </w:p>
    <w:p>
      <w:pPr>
        <w:spacing w:after="100" w:line="276"/>
        <w:ind w:left="360" w:hanging="360"/>
        <w:jc w:val="both"/>
      </w:pPr>
      <w:r>
        <w:rPr>
          <w:rFonts w:ascii="Times New Roman" w:cs="Times New Roman" w:eastAsia="Times New Roman" w:hAnsi="Times New Roman"/>
          <w:sz w:val="24"/>
          <w:szCs w:val="24"/>
        </w:rPr>
        <w:t xml:space="preserve">[16] Kolossov G, Montanari A, Tandon P. Towards a statistical theory of data selection under weak supervision. International Conference on Learning Representations (ICLR); 2024 (Oral). arXiv:2309.14563.</w:t>
      </w:r>
    </w:p>
    <w:p>
      <w:pPr>
        <w:spacing w:after="100" w:line="276"/>
        <w:ind w:left="360" w:hanging="360"/>
        <w:jc w:val="both"/>
      </w:pPr>
      <w:r>
        <w:rPr>
          <w:rFonts w:ascii="Times New Roman" w:cs="Times New Roman" w:eastAsia="Times New Roman" w:hAnsi="Times New Roman"/>
          <w:sz w:val="24"/>
          <w:szCs w:val="24"/>
        </w:rPr>
        <w:t xml:space="preserve">[17] Xie B, Bian Y, Zhou K, Chen Y, Zhao P, Han B, Meng W, Cheng J. Enhancing neural subset selection: integrating background information into set representations. International Conference on Learning Representations (ICLR); 2024. arXiv:2402.03139.</w:t>
      </w:r>
    </w:p>
    <w:p>
      <w:pPr>
        <w:spacing w:after="100" w:line="276"/>
        <w:ind w:left="360" w:hanging="360"/>
        <w:jc w:val="both"/>
      </w:pPr>
      <w:r>
        <w:rPr>
          <w:rFonts w:ascii="Times New Roman" w:cs="Times New Roman" w:eastAsia="Times New Roman" w:hAnsi="Times New Roman"/>
          <w:sz w:val="24"/>
          <w:szCs w:val="24"/>
        </w:rPr>
        <w:t xml:space="preserve">[18] DUPRE: data utility prediction for efficient data valuation. International Conference on Autonomous Agents and Multiagent Systems (AAMAS); 2025.</w:t>
      </w:r>
    </w:p>
    <w:p>
      <w:pPr>
        <w:spacing w:after="100" w:line="276"/>
        <w:ind w:left="360" w:hanging="360"/>
        <w:jc w:val="both"/>
      </w:pPr>
      <w:r>
        <w:rPr>
          <w:rFonts w:ascii="Times New Roman" w:cs="Times New Roman" w:eastAsia="Times New Roman" w:hAnsi="Times New Roman"/>
          <w:sz w:val="24"/>
          <w:szCs w:val="24"/>
        </w:rPr>
        <w:t xml:space="preserve">[19] Sun Y, Shen X, Kwon Y. 2D-OOB: attributing data contribution through joint valuation framework. Advances in Neural Information Processing Systems (NeurIPS); 2024. arXiv:2408.03572.</w:t>
      </w:r>
    </w:p>
    <w:p>
      <w:pPr>
        <w:spacing w:after="100" w:line="276"/>
        <w:ind w:left="360" w:hanging="360"/>
        <w:jc w:val="both"/>
      </w:pPr>
      <w:r>
        <w:rPr>
          <w:rFonts w:ascii="Times New Roman" w:cs="Times New Roman" w:eastAsia="Times New Roman" w:hAnsi="Times New Roman"/>
          <w:sz w:val="24"/>
          <w:szCs w:val="24"/>
        </w:rPr>
        <w:t xml:space="preserve">[20] Xu X, Wu Z, Sim RHL, Low BKH, et al. Data distribution valuation. Advances in Neural Information Processing Systems (NeurIPS); 2024. arXiv:2410.04386.</w:t>
      </w:r>
    </w:p>
    <w:p>
      <w:pPr>
        <w:spacing w:after="100" w:line="276"/>
        <w:ind w:left="360" w:hanging="360"/>
        <w:jc w:val="both"/>
      </w:pPr>
      <w:r>
        <w:rPr>
          <w:rFonts w:ascii="Times New Roman" w:cs="Times New Roman" w:eastAsia="Times New Roman" w:hAnsi="Times New Roman"/>
          <w:sz w:val="24"/>
          <w:szCs w:val="24"/>
        </w:rPr>
        <w:t xml:space="preserve">[21] Chi H, et al. Unifying and optimizing data values for selection via sequential decision-making. International Conference on Machine Learning (ICML); 2026 (Spotlight; accepted). arXiv:2502.04554.</w:t>
      </w:r>
    </w:p>
    <w:p>
      <w:pPr>
        <w:spacing w:after="100" w:line="276"/>
        <w:ind w:left="360" w:hanging="360"/>
        <w:jc w:val="both"/>
      </w:pPr>
      <w:r>
        <w:rPr>
          <w:rFonts w:ascii="Times New Roman" w:cs="Times New Roman" w:eastAsia="Times New Roman" w:hAnsi="Times New Roman"/>
          <w:sz w:val="24"/>
          <w:szCs w:val="24"/>
        </w:rPr>
        <w:t xml:space="preserve">[22] Yang J, Deng W, et al. GMValuator: similarity-based data valuation for generative models. International Conference on Learning Representations (ICLR); 2025. OpenReview:WncnpvJk83. arXiv:2304.10701.</w:t>
      </w:r>
    </w:p>
    <w:p>
      <w:pPr>
        <w:spacing w:after="100" w:line="276"/>
        <w:ind w:left="360" w:hanging="360"/>
        <w:jc w:val="both"/>
      </w:pPr>
      <w:r>
        <w:rPr>
          <w:rFonts w:ascii="Times New Roman" w:cs="Times New Roman" w:eastAsia="Times New Roman" w:hAnsi="Times New Roman"/>
          <w:sz w:val="24"/>
          <w:szCs w:val="24"/>
        </w:rPr>
        <w:t xml:space="preserve">[23] Loizou A, Tsoumakos D. Chunked Data Shapley: a scalable dataset quality assessment for machine learning. ACM International Conference on Information and Knowledge Management (CIKM); 2025. doi:10.1145/3746252.3761305. arXiv:2508.16255.</w:t>
      </w:r>
    </w:p>
    <w:p>
      <w:pPr>
        <w:spacing w:after="100" w:line="276"/>
        <w:ind w:left="360" w:hanging="360"/>
        <w:jc w:val="both"/>
      </w:pPr>
      <w:r>
        <w:rPr>
          <w:rFonts w:ascii="Times New Roman" w:cs="Times New Roman" w:eastAsia="Times New Roman" w:hAnsi="Times New Roman"/>
          <w:sz w:val="24"/>
          <w:szCs w:val="24"/>
        </w:rPr>
        <w:t xml:space="preserve">[24] Set-LLM: a permutation-invariant LLM. Advances in Neural Information Processing Systems (NeurIPS); 2025. arXiv:2505.15433.</w:t>
      </w:r>
    </w:p>
    <w:p>
      <w:pPr>
        <w:spacing w:after="100" w:line="276"/>
        <w:ind w:left="360" w:hanging="360"/>
        <w:jc w:val="both"/>
      </w:pPr>
      <w:r>
        <w:rPr>
          <w:rFonts w:ascii="Times New Roman" w:cs="Times New Roman" w:eastAsia="Times New Roman" w:hAnsi="Times New Roman"/>
          <w:sz w:val="24"/>
          <w:szCs w:val="24"/>
        </w:rPr>
        <w:t xml:space="preserve">[25] AllMatch: exploiting all unlabeled data for semi-supervised learning. International Joint Conference on Artificial Intelligence (IJCAI); 2024.</w:t>
      </w:r>
    </w:p>
    <w:p>
      <w:pPr>
        <w:spacing w:after="100" w:line="276"/>
        <w:ind w:left="360" w:hanging="360"/>
        <w:jc w:val="both"/>
      </w:pPr>
      <w:r>
        <w:rPr>
          <w:rFonts w:ascii="Times New Roman" w:cs="Times New Roman" w:eastAsia="Times New Roman" w:hAnsi="Times New Roman"/>
          <w:sz w:val="24"/>
          <w:szCs w:val="24"/>
        </w:rPr>
        <w:t xml:space="preserve">[26] Zhao S, Huang H, Li X, Chen X, Wang R. SST: self-training with self-adaptive thresholding for semi-supervised learning. Information Processing &amp; Management. 2025;62(5):104158. arXiv:2506.00467.</w:t>
      </w:r>
    </w:p>
    <w:p>
      <w:pPr>
        <w:spacing w:after="100" w:line="276"/>
        <w:ind w:left="360" w:hanging="360"/>
        <w:jc w:val="both"/>
      </w:pPr>
      <w:r>
        <w:rPr>
          <w:rFonts w:ascii="Times New Roman" w:cs="Times New Roman" w:eastAsia="Times New Roman" w:hAnsi="Times New Roman"/>
          <w:sz w:val="24"/>
          <w:szCs w:val="24"/>
        </w:rPr>
        <w:t xml:space="preserve">[27] Tan H, Wu S, Huang W, Zhao S, Qi X. Data pruning by information maximization. International Conference on Learning Representations (ICLR); 2025. OpenReview:93XT0lKOct. arXiv:2506.01701.</w:t>
      </w:r>
    </w:p>
    <w:p>
      <w:pPr>
        <w:spacing w:after="100" w:line="276"/>
        <w:ind w:left="360" w:hanging="360"/>
        <w:jc w:val="both"/>
      </w:pPr>
      <w:r>
        <w:rPr>
          <w:rFonts w:ascii="Times New Roman" w:cs="Times New Roman" w:eastAsia="Times New Roman" w:hAnsi="Times New Roman"/>
          <w:sz w:val="24"/>
          <w:szCs w:val="24"/>
        </w:rPr>
        <w:t xml:space="preserve">[28] Maharana A, Yadav P, Bansal M. D² pruning: message passing for balancing diversity and difficulty in data pruning. International Conference on Learning Representations (ICLR); 2024. arXiv:2310.07931.</w:t>
      </w:r>
    </w:p>
    <w:p>
      <w:pPr>
        <w:spacing w:after="100" w:line="276"/>
        <w:ind w:left="360" w:hanging="360"/>
        <w:jc w:val="both"/>
      </w:pPr>
      <w:r>
        <w:rPr>
          <w:rFonts w:ascii="Times New Roman" w:cs="Times New Roman" w:eastAsia="Times New Roman" w:hAnsi="Times New Roman"/>
          <w:sz w:val="24"/>
          <w:szCs w:val="24"/>
        </w:rPr>
        <w:t xml:space="preserve">[29] Dar SUH, et al. Unconditional latent diffusion models memorize patient imaging data: implications for openly sharing synthetic data. Nature Biomedical Engineering; 2025. doi:10.1038/s41551-025-01468-8.</w:t>
      </w:r>
    </w:p>
    <w:p>
      <w:pPr>
        <w:pStyle w:val="Heading2"/>
        <w:spacing w:after="160" w:before="300"/>
      </w:pPr>
      <w:r>
        <w:rPr>
          <w:rFonts w:ascii="Times New Roman" w:cs="Times New Roman" w:eastAsia="Times New Roman" w:hAnsi="Times New Roman"/>
          <w:b/>
          <w:bCs/>
          <w:sz w:val="28"/>
          <w:szCs w:val="28"/>
        </w:rPr>
        <w:t xml:space="preserve">Method-origin references (attribution only, pre-2024)</w:t>
      </w:r>
    </w:p>
    <w:p>
      <w:pPr>
        <w:spacing w:after="160" w:line="360"/>
        <w:jc w:val="both"/>
      </w:pPr>
      <w:r>
        <w:rPr>
          <w:rFonts w:ascii="Times New Roman" w:cs="Times New Roman" w:eastAsia="Times New Roman" w:hAnsi="Times New Roman"/>
          <w:sz w:val="24"/>
          <w:szCs w:val="24"/>
        </w:rPr>
        <w:t xml:space="preserve">The following papers are the original source of a technique implemented in this thesis. They are cited once, in the methodology, solely so that the framework can attribute its own components; they carry no claim about the current state of the art, and the operative citation in each case is the 2024–2026 paper indicated. Zaheer et al. introduced the permutation-invariant set function ρ(Σ φ(x)) (Deep Sets, NeurIPS 2017), applied here through the recent set-utility work of Xie et al. [17] and Set-LLM [24]. Wang and Jia introduced the Data-Banzhaf value and its Maximum-Sample-Reuse estimator (AISTATS 2023), used here in the form recently unified for selection by Chi et al. [21] and Sun et al. [19]. Class-adaptive confidence thresholding originates with FlexMatch (Zhang et al., NeurIPS 2021) and FreeMatch (Wang et al., ICLR 2023), adapted here following AllMatch [25] and Zhao et al. [26]. Grad-CAM (Selvaraju et al., ICCV 2017) is used only as a tool; no 2024–2026 work uses explanation–region alignment as a data-selection signal, which is one contribution of this thesis. Multi-gate Mixture-of-Experts (KDD 2018) and gradient-based multi-objective optimisation work are deliberately not cited: the multi-signal ranking network has a single scalar output head and one training target, and is not a multi-task or Pareto model.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2026-09-01T06:53:14.684Z</dcterms:created>
  <dcterms:modified xsi:type="dcterms:W3CDTF">2026-09-01T06:53:14.685Z</dcterms:modified>
</cp:coreProperties>
</file>

<file path=docProps/custom.xml><?xml version="1.0" encoding="utf-8"?>
<Properties xmlns="http://schemas.openxmlformats.org/officeDocument/2006/custom-properties" xmlns:vt="http://schemas.openxmlformats.org/officeDocument/2006/docPropsVTypes"/>
</file>