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40"/>
      </w:pPr>
      <w:r>
        <w:rPr>
          <w:rFonts w:ascii="Times New Roman" w:cs="Times New Roman" w:eastAsia="Times New Roman" w:hAnsi="Times New Roman"/>
          <w:b/>
          <w:bCs/>
          <w:sz w:val="32"/>
          <w:szCs w:val="32"/>
        </w:rPr>
        <w:t xml:space="preserve">1 Introduction</w:t>
      </w:r>
    </w:p>
    <w:p>
      <w:pPr>
        <w:spacing w:after="160" w:line="360"/>
        <w:jc w:val="both"/>
      </w:pPr>
      <w:r>
        <w:rPr>
          <w:rFonts w:ascii="Times New Roman" w:cs="Times New Roman" w:eastAsia="Times New Roman" w:hAnsi="Times New Roman"/>
          <w:sz w:val="24"/>
          <w:szCs w:val="24"/>
        </w:rPr>
        <w:t xml:space="preserve">Automated classification of medical images is a central task in clinical machine learning, with broad applications across diverse settings such as disease screening, patient triage, and diagnostic decision support [4]. Unlike image generation, which produces new samples, classification assigns a categorical label to an image: a capability that is essential for scalable, automated diagnosis. Its performance, however, is bounded by the availability of large, diverse, and accurately annotated training data, which is difficult to obtain in practice because patient-privacy regulation restricts data sharing, expert annotation is costly, and many pathologies are rare, so the labelled data any single institution can accumulate is limited [10]. Synthetic image generation has emerged as a leading response to this bottleneck, and diffusion models in particular have displaced generative adversarial networks as the generative backbone of choice because of their more stable training and their better preservation of fine anatomical detail. Recent diffusion models produce chest radiographs and other medical images that are frequently indistinguishable from real ones in blinded physician review, and can improve downstream classifiers in data-scarce settings [4]. This has made synthetic-to-real learning, in which a model is trained or adapted on generated images whose labels are known by construction and then deployed on real, unseen clinical data, a practical strategy for addressing both data scarcity and cross-institution domain shift [1, 2].</w:t>
      </w:r>
    </w:p>
    <w:p>
      <w:pPr>
        <w:spacing w:after="160" w:line="360"/>
        <w:jc w:val="both"/>
      </w:pPr>
      <w:r>
        <w:rPr>
          <w:rFonts w:ascii="Times New Roman" w:cs="Times New Roman" w:eastAsia="Times New Roman" w:hAnsi="Times New Roman"/>
          <w:sz w:val="24"/>
          <w:szCs w:val="24"/>
        </w:rPr>
        <w:t xml:space="preserve">The output of a diffusion model, however, is uneven. Some generated images are uninformative or artefactual, some do not express the pathology they were conditioned on, and some are near-duplicates of specific real training patients: unconditional latent diffusion models have been shown to replicate or near-replicate real patient images, detectable at a high feature-similarity threshold [29]. Adding all generated images to a real training set indiscriminately can therefore degrade rather than improve generalisation, and commonly used generation-quality metrics such as the Fréchet Inception Distance do not predict downstream diagnostic performance [7, 8]. The question of which synthetic images should be admitted to a real training set, and in what per-class balance, is treated only in pieces by recent work: through single-criterion soft re-weighting for synthetic chest radiographs [10], training-free CLIP-based filtering for segmentation [11], or classifier-likelihood filtering for an imbalanced grading task [12]. No existing method combines several complementary quality signals, learns which individual images most improve a downstream multi-label classifier, and adapts the admission threshold to each class.</w:t>
      </w:r>
    </w:p>
    <w:p>
      <w:pPr>
        <w:spacing w:after="160" w:line="360"/>
        <w:jc w:val="both"/>
      </w:pPr>
      <w:r>
        <w:rPr>
          <w:rFonts w:ascii="Times New Roman" w:cs="Times New Roman" w:eastAsia="Times New Roman" w:hAnsi="Times New Roman"/>
          <w:sz w:val="24"/>
          <w:szCs w:val="24"/>
        </w:rPr>
        <w:t xml:space="preserve">To address this gap, this paper proposes ASISM (Adaptive Quality-Aware Synthetic Data Selection), a framework that curates the output of a LoRA-fine-tuned diffusion foundation model before it is used to train a real classifier. ASISM has three components:</w:t>
      </w:r>
    </w:p>
    <w:p>
      <w:pPr>
        <w:spacing w:after="160" w:line="360"/>
        <w:jc w:val="both"/>
      </w:pPr>
      <w:r>
        <w:rPr>
          <w:rFonts w:ascii="Times New Roman" w:cs="Times New Roman" w:eastAsia="Times New Roman" w:hAnsi="Times New Roman"/>
          <w:sz w:val="24"/>
          <w:szCs w:val="24"/>
        </w:rPr>
        <w:t xml:space="preserve">1. A multi-signal quality assessment that scores every synthetic image on six complementary signals: k-nearest-neighbour similarity to real references in a self-supervised feature space, no-reference and domain-specific image quality, Monte-Carlo-dropout predictive uncertainty, Grad-CAM alignment with expected pathology regions, agreement between the generated image and its intended labels, and within-class distinctiveness. Each signal must independently pass a go/no-go admission gate before it can enter the model.</w:t>
      </w:r>
    </w:p>
    <w:p>
      <w:pPr>
        <w:spacing w:after="160" w:line="360"/>
        <w:jc w:val="both"/>
      </w:pPr>
      <w:r>
        <w:rPr>
          <w:rFonts w:ascii="Times New Roman" w:cs="Times New Roman" w:eastAsia="Times New Roman" w:hAnsi="Times New Roman"/>
          <w:sz w:val="24"/>
          <w:szCs w:val="24"/>
        </w:rPr>
        <w:t xml:space="preserve">2. A learned utility estimator. A permutation-invariant set-utility network is trained on measured subset-level changes in classification AUROC, and its value is distilled into a small multi-signal ranking network that assigns one scalar utility score to each image [17]. The distillation target is a size-normalised leave-one-out marginal contribution; a Data-Banzhaf Maximum-Sample-Reuse estimate, computed from the same measured subsets at no additional cost, is provided as a noise-robust alternative.</w:t>
      </w:r>
    </w:p>
    <w:p>
      <w:pPr>
        <w:spacing w:after="160" w:line="360"/>
        <w:jc w:val="both"/>
      </w:pPr>
      <w:r>
        <w:rPr>
          <w:rFonts w:ascii="Times New Roman" w:cs="Times New Roman" w:eastAsia="Times New Roman" w:hAnsi="Times New Roman"/>
          <w:sz w:val="24"/>
          <w:szCs w:val="24"/>
        </w:rPr>
        <w:t xml:space="preserve">3. An adaptive per-class admission threshold. A learned threshold network predicts a separate admission threshold for each disease label, decided once before final classifier training, under a three-tier governance rule that uses the learned threshold only where sufficient proxy-verified, image-disjoint evidence exists and otherwise falls back to a verified proxy threshold or a fixed baseline [26].</w:t>
      </w:r>
    </w:p>
    <w:p>
      <w:pPr>
        <w:spacing w:after="160" w:line="360"/>
        <w:jc w:val="both"/>
      </w:pPr>
      <w:r>
        <w:rPr>
          <w:rFonts w:ascii="Times New Roman" w:cs="Times New Roman" w:eastAsia="Times New Roman" w:hAnsi="Times New Roman"/>
          <w:sz w:val="24"/>
          <w:szCs w:val="24"/>
        </w:rPr>
        <w:t xml:space="preserve">All tuning decisions in ASISM are made on a dedicated proxy split, and the final evaluation split is never accessed during selection. The framework is evaluated end-to-end on a held-out patient set by comparing a classifier trained on real data only, a classifier trained on real data plus all synthetic images, and a classifier trained on real data plus the ASISM-selected subset, together with a matched-random control that draws the same number of synthetic images per class at random. This design isolates the benefit of intelligent selection from the effect of simply using fewer synthetic images, an effect that recent work shows can itself be substantial [15, 16].</w:t>
      </w:r>
    </w:p>
    <w:p>
      <w:pPr>
        <w:spacing w:after="160" w:line="360"/>
        <w:jc w:val="both"/>
      </w:pPr>
      <w:r>
        <w:rPr>
          <w:rFonts w:ascii="Times New Roman" w:cs="Times New Roman" w:eastAsia="Times New Roman" w:hAnsi="Times New Roman"/>
          <w:sz w:val="24"/>
          <w:szCs w:val="24"/>
        </w:rPr>
        <w:t xml:space="preserve">The main contributions of this paper are summarized as follows:</w:t>
      </w:r>
    </w:p>
    <w:p>
      <w:pPr>
        <w:spacing w:after="160" w:line="360"/>
        <w:jc w:val="both"/>
      </w:pPr>
      <w:r>
        <w:rPr>
          <w:rFonts w:ascii="Times New Roman" w:cs="Times New Roman" w:eastAsia="Times New Roman" w:hAnsi="Times New Roman"/>
          <w:sz w:val="24"/>
          <w:szCs w:val="24"/>
        </w:rPr>
        <w:t xml:space="preserve">i. A multi-signal quality assessment for diffusion-generated medical images that combines six heterogeneous perceptual signals: semantic similarity, image quality, predictive uncertainty, explanation localisation, intended-label agreement, and within-class distinctiveness, under an explicit signal-governance gate. To the best of our knowledge, this is the first framework to combine this many complementary signals for the selection of synthetic medical images, and the first to use explanation–region alignment as a data-selection signal.</w:t>
      </w:r>
    </w:p>
    <w:p>
      <w:pPr>
        <w:spacing w:after="160" w:line="360"/>
        <w:jc w:val="both"/>
      </w:pPr>
      <w:r>
        <w:rPr>
          <w:rFonts w:ascii="Times New Roman" w:cs="Times New Roman" w:eastAsia="Times New Roman" w:hAnsi="Times New Roman"/>
          <w:sz w:val="24"/>
          <w:szCs w:val="24"/>
        </w:rPr>
        <w:t xml:space="preserve">ii. A learned set-level utility model, trained on measured downstream AUROC changes and distilled into a per-image ranking network, which avoids the pseudo-replication of copying a set-level score onto its member images. A Data-Banzhaf Maximum-Sample-Reuse target is derived from the same measured subsets with no additional proxy training, as a noise-robust alternative to the leave-one-out marginal.</w:t>
      </w:r>
    </w:p>
    <w:p>
      <w:pPr>
        <w:spacing w:after="160" w:line="360"/>
        <w:jc w:val="both"/>
      </w:pPr>
      <w:r>
        <w:rPr>
          <w:rFonts w:ascii="Times New Roman" w:cs="Times New Roman" w:eastAsia="Times New Roman" w:hAnsi="Times New Roman"/>
          <w:sz w:val="24"/>
          <w:szCs w:val="24"/>
        </w:rPr>
        <w:t xml:space="preserve">iii. A learned class-specific admission threshold governed by a conservative three-tier rule, together with a strictly proxy-based tuning protocol in which selection decisions never touch the final evaluation data. The framework is evaluated against a matched-random control that separates the contribution of intelligent selection from that of dataset size, an ablation absent from comparable prior work.</w:t>
      </w:r>
    </w:p>
    <w:p>
      <w:pPr>
        <w:spacing w:after="160" w:line="360"/>
        <w:jc w:val="both"/>
      </w:pPr>
      <w:r>
        <w:rPr>
          <w:rFonts w:ascii="Times New Roman" w:cs="Times New Roman" w:eastAsia="Times New Roman" w:hAnsi="Times New Roman"/>
          <w:sz w:val="24"/>
          <w:szCs w:val="24"/>
        </w:rPr>
        <w:t xml:space="preserve">The remainder of this paper is organized as follows. Section 2 reviews recent work on diffusion-based synthetic medical image generation and on post-generation synthetic-data selection. Section 3 details the proposed ASISM framework, including the six signals, the set-utility and ranking networks, and the adaptive-threshold governance. Section 4 describes the dataset, the patient-disjoint split design, and the training and proxy-evaluation configuration. Section 5 presents the experimental results and the ablation studies. Section 6 concludes the paper, summarizing the key findings, discussing their implications for synthetic-data curation in medical imaging, and outlining future research directions. A summary of the proposed framework is presented in Fig. 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2026-09-01T07:02:57.187Z</dcterms:created>
  <dcterms:modified xsi:type="dcterms:W3CDTF">2026-09-01T07:02:57.200Z</dcterms:modified>
</cp:coreProperties>
</file>

<file path=docProps/custom.xml><?xml version="1.0" encoding="utf-8"?>
<Properties xmlns="http://schemas.openxmlformats.org/officeDocument/2006/custom-properties" xmlns:vt="http://schemas.openxmlformats.org/officeDocument/2006/docPropsVTypes"/>
</file>