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0"/>
      </w:pPr>
    </w:p>
    <w:p>
      <w:pPr>
        <w:pStyle w:val="Title"/>
      </w:pPr>
      <w:r>
        <w:rPr>
          <w:rFonts w:ascii="Calibri" w:hAnsi="Calibri"/>
          <w:b/>
          <w:color w:val="1F3A5F"/>
          <w:sz w:val="60"/>
        </w:rPr>
        <w:t>Key Analytical Indices &amp; Metrics Reference</w:t>
      </w:r>
    </w:p>
    <w:p>
      <w:pPr>
        <w:spacing w:after="960"/>
      </w:pPr>
      <w:r>
        <w:rPr>
          <w:color w:val="445566"/>
          <w:sz w:val="30"/>
        </w:rPr>
        <w:t>Sodexo SLU Dining — Inventory &amp; Demand Analytics Report</w:t>
      </w:r>
    </w:p>
    <w:p>
      <w:r>
        <w:rPr>
          <w:sz w:val="24"/>
        </w:rPr>
        <w:t>Prepared by: Data Analyst, Sodexo – Saint Louis University Dining Services</w:t>
      </w:r>
    </w:p>
    <w:p>
      <w:r>
        <w:rPr>
          <w:sz w:val="24"/>
        </w:rPr>
        <w:t>October 2026</w:t>
      </w:r>
    </w:p>
    <w:p>
      <w:pPr>
        <w:spacing w:before="720"/>
      </w:pPr>
      <w:r>
        <w:rPr>
          <w:i/>
          <w:sz w:val="20"/>
        </w:rPr>
        <w:t>Sources: Sodexo Inventory Summary History Report (INRHTSUM, 505 pages, W/E 04/03/2026 – 10/09/2026); Grand Hall Day Parts Report (October 7, 2026).</w:t>
      </w:r>
    </w:p>
    <w:p>
      <w:pPr>
        <w:pStyle w:val="Heading1"/>
        <w:pageBreakBefore/>
      </w:pPr>
      <w:r>
        <w:t>Introduction</w:t>
      </w:r>
    </w:p>
    <w:p>
      <w:r>
        <w:t>This document lists every key index, statistical measure, and analytical metric used in the Sodexo SLU Dining Data Analysis Report (October 2026). The indices are drawn from the Sodexo Inventory Summary History Report (Report ID: INRHTSUM, 505 pages, W/E 04/03/2026 – 10/09/2026) and the Grand Hall Day Parts Report (October 7, 2026).</w:t>
      </w:r>
    </w:p>
    <w:p>
      <w:r>
        <w:t>Each index is defined, its formula or derivation is stated, its computed value for SLU is given where applicable, and its analytical purpose is explained. These indices collectively form the quantitative backbone of the eight operational recommendations and the NIW Phase I baseline record.</w:t>
      </w:r>
    </w:p>
    <w:p>
      <w:pPr>
        <w:pStyle w:val="Heading1"/>
      </w:pPr>
      <w:r>
        <w:t>Section 1 — Inventory Performance Indices</w:t>
      </w:r>
    </w:p>
    <w:tbl>
      <w:tblPr>
        <w:tblStyle w:val="TableGrid"/>
        <w:tblW w:type="auto" w:w="0"/>
        <w:jc w:val="center"/>
        <w:tblLayout w:type="fixed"/>
        <w:tblLook w:firstColumn="1" w:firstRow="1" w:lastColumn="0" w:lastRow="0" w:noHBand="0" w:noVBand="1" w:val="04A0"/>
      </w:tblPr>
      <w:tblGrid>
        <w:gridCol w:w="1584"/>
        <w:gridCol w:w="1944"/>
        <w:gridCol w:w="1728"/>
        <w:gridCol w:w="2160"/>
        <w:gridCol w:w="1944"/>
      </w:tblGrid>
      <w:tr>
        <w:trPr>
          <w:cantSplit/>
          <w:tblHeader w:val="true"/>
        </w:trPr>
        <w:tc>
          <w:tcPr>
            <w:tcW w:type="dxa" w:w="1584"/>
            <w:shd w:val="clear" w:color="auto" w:fill="1F3A5F"/>
          </w:tcPr>
          <w:p>
            <w:pPr>
              <w:spacing w:after="40" w:line="240" w:lineRule="auto"/>
            </w:pPr>
            <w:r/>
            <w:r>
              <w:rPr>
                <w:b/>
                <w:color w:val="FFFFFF"/>
                <w:sz w:val="19"/>
              </w:rPr>
              <w:t>Index Name</w:t>
            </w:r>
          </w:p>
        </w:tc>
        <w:tc>
          <w:tcPr>
            <w:tcW w:type="dxa" w:w="1944"/>
            <w:shd w:val="clear" w:color="auto" w:fill="1F3A5F"/>
          </w:tcPr>
          <w:p>
            <w:pPr>
              <w:spacing w:after="40" w:line="240" w:lineRule="auto"/>
            </w:pPr>
            <w:r/>
            <w:r>
              <w:rPr>
                <w:b/>
                <w:color w:val="FFFFFF"/>
                <w:sz w:val="19"/>
              </w:rPr>
              <w:t>Definition</w:t>
            </w:r>
          </w:p>
        </w:tc>
        <w:tc>
          <w:tcPr>
            <w:tcW w:type="dxa" w:w="1728"/>
            <w:shd w:val="clear" w:color="auto" w:fill="1F3A5F"/>
          </w:tcPr>
          <w:p>
            <w:pPr>
              <w:spacing w:after="40" w:line="240" w:lineRule="auto"/>
            </w:pPr>
            <w:r/>
            <w:r>
              <w:rPr>
                <w:b/>
                <w:color w:val="FFFFFF"/>
                <w:sz w:val="19"/>
              </w:rPr>
              <w:t>Formula / Derivation</w:t>
            </w:r>
          </w:p>
        </w:tc>
        <w:tc>
          <w:tcPr>
            <w:tcW w:type="dxa" w:w="2160"/>
            <w:shd w:val="clear" w:color="auto" w:fill="1F3A5F"/>
          </w:tcPr>
          <w:p>
            <w:pPr>
              <w:spacing w:after="40" w:line="240" w:lineRule="auto"/>
            </w:pPr>
            <w:r/>
            <w:r>
              <w:rPr>
                <w:b/>
                <w:color w:val="FFFFFF"/>
                <w:sz w:val="19"/>
              </w:rPr>
              <w:t>SLU Value(s)</w:t>
            </w:r>
          </w:p>
        </w:tc>
        <w:tc>
          <w:tcPr>
            <w:tcW w:type="dxa" w:w="1944"/>
            <w:shd w:val="clear" w:color="auto" w:fill="1F3A5F"/>
          </w:tcPr>
          <w:p>
            <w:pPr>
              <w:spacing w:after="40" w:line="240" w:lineRule="auto"/>
            </w:pPr>
            <w:r/>
            <w:r>
              <w:rPr>
                <w:b/>
                <w:color w:val="FFFFFF"/>
                <w:sz w:val="19"/>
              </w:rPr>
              <w:t>Purpose in Analysis</w:t>
            </w:r>
          </w:p>
        </w:tc>
      </w:tr>
      <w:tr>
        <w:trPr>
          <w:cantSplit w:val="true"/>
        </w:trPr>
        <w:tc>
          <w:tcPr>
            <w:tcW w:type="dxa" w:w="1584"/>
          </w:tcPr>
          <w:p>
            <w:pPr>
              <w:spacing w:after="40" w:line="240" w:lineRule="auto"/>
            </w:pPr>
            <w:r>
              <w:rPr>
                <w:b/>
                <w:sz w:val="18"/>
              </w:rPr>
              <w:t>1. Total Portfolio Inventory (Latest Week)</w:t>
            </w:r>
          </w:p>
        </w:tc>
        <w:tc>
          <w:tcPr>
            <w:tcW w:type="dxa" w:w="1944"/>
          </w:tcPr>
          <w:p>
            <w:pPr>
              <w:spacing w:after="40" w:line="240" w:lineRule="auto"/>
            </w:pPr>
            <w:r>
              <w:rPr>
                <w:sz w:val="18"/>
              </w:rPr>
              <w:t>Sum of on-hand inventory values across all active dining units for the most recent reporting week</w:t>
            </w:r>
          </w:p>
        </w:tc>
        <w:tc>
          <w:tcPr>
            <w:tcW w:type="dxa" w:w="1728"/>
          </w:tcPr>
          <w:p>
            <w:pPr>
              <w:spacing w:after="40" w:line="240" w:lineRule="auto"/>
            </w:pPr>
            <w:r>
              <w:rPr>
                <w:sz w:val="18"/>
              </w:rPr>
              <w:t>Σ(Unit Inventory Value) for all active units, W/E 10/09/2026</w:t>
            </w:r>
          </w:p>
        </w:tc>
        <w:tc>
          <w:tcPr>
            <w:tcW w:type="dxa" w:w="2160"/>
          </w:tcPr>
          <w:p>
            <w:pPr>
              <w:spacing w:after="40" w:line="240" w:lineRule="auto"/>
            </w:pPr>
            <w:r>
              <w:rPr>
                <w:sz w:val="18"/>
              </w:rPr>
              <w:t>$219,466.24 (11 active units, W/E 10/09/2026)</w:t>
            </w:r>
          </w:p>
        </w:tc>
        <w:tc>
          <w:tcPr>
            <w:tcW w:type="dxa" w:w="1944"/>
          </w:tcPr>
          <w:p>
            <w:pPr>
              <w:spacing w:after="40" w:line="240" w:lineRule="auto"/>
            </w:pPr>
            <w:r>
              <w:rPr>
                <w:sz w:val="18"/>
              </w:rPr>
              <w:t>Establishes the current financial scale of on-hand inventory; used as portfolio benchmark and NIW impact baseline</w:t>
            </w:r>
          </w:p>
        </w:tc>
      </w:tr>
      <w:tr>
        <w:trPr>
          <w:cantSplit w:val="true"/>
        </w:trPr>
        <w:tc>
          <w:tcPr>
            <w:tcW w:type="dxa" w:w="1584"/>
            <w:shd w:val="clear" w:color="auto" w:fill="EAF0F7"/>
          </w:tcPr>
          <w:p>
            <w:pPr>
              <w:spacing w:after="40" w:line="240" w:lineRule="auto"/>
            </w:pPr>
            <w:r>
              <w:rPr>
                <w:b/>
                <w:sz w:val="18"/>
              </w:rPr>
              <w:t>2. Average Inventory per Active Unit</w:t>
            </w:r>
          </w:p>
        </w:tc>
        <w:tc>
          <w:tcPr>
            <w:tcW w:type="dxa" w:w="1944"/>
            <w:shd w:val="clear" w:color="auto" w:fill="EAF0F7"/>
          </w:tcPr>
          <w:p>
            <w:pPr>
              <w:spacing w:after="40" w:line="240" w:lineRule="auto"/>
            </w:pPr>
            <w:r>
              <w:rPr>
                <w:sz w:val="18"/>
              </w:rPr>
              <w:t>Mean on-hand inventory value per active unit in the latest reporting week</w:t>
            </w:r>
          </w:p>
        </w:tc>
        <w:tc>
          <w:tcPr>
            <w:tcW w:type="dxa" w:w="1728"/>
            <w:shd w:val="clear" w:color="auto" w:fill="EAF0F7"/>
          </w:tcPr>
          <w:p>
            <w:pPr>
              <w:spacing w:after="40" w:line="240" w:lineRule="auto"/>
            </w:pPr>
            <w:r>
              <w:rPr>
                <w:sz w:val="18"/>
              </w:rPr>
              <w:t>Total Portfolio Inventory ÷ Number of Active Units</w:t>
            </w:r>
          </w:p>
        </w:tc>
        <w:tc>
          <w:tcPr>
            <w:tcW w:type="dxa" w:w="2160"/>
            <w:shd w:val="clear" w:color="auto" w:fill="EAF0F7"/>
          </w:tcPr>
          <w:p>
            <w:pPr>
              <w:spacing w:after="40" w:line="240" w:lineRule="auto"/>
            </w:pPr>
            <w:r>
              <w:rPr>
                <w:sz w:val="18"/>
              </w:rPr>
              <w:t>$219,466.24 ÷ 11 = $19,951.48</w:t>
            </w:r>
          </w:p>
        </w:tc>
        <w:tc>
          <w:tcPr>
            <w:tcW w:type="dxa" w:w="1944"/>
            <w:shd w:val="clear" w:color="auto" w:fill="EAF0F7"/>
          </w:tcPr>
          <w:p>
            <w:pPr>
              <w:spacing w:after="40" w:line="240" w:lineRule="auto"/>
            </w:pPr>
            <w:r>
              <w:rPr>
                <w:sz w:val="18"/>
              </w:rPr>
              <w:t>Cross-unit comparability benchmark; identifies units carrying disproportionately high inventory relative to peers</w:t>
            </w:r>
          </w:p>
        </w:tc>
      </w:tr>
      <w:tr>
        <w:trPr>
          <w:cantSplit w:val="true"/>
        </w:trPr>
        <w:tc>
          <w:tcPr>
            <w:tcW w:type="dxa" w:w="1584"/>
          </w:tcPr>
          <w:p>
            <w:pPr>
              <w:spacing w:after="40" w:line="240" w:lineRule="auto"/>
            </w:pPr>
            <w:r>
              <w:rPr>
                <w:b/>
                <w:sz w:val="18"/>
              </w:rPr>
              <w:t>3. Inventory Growth Rate (Period-Over-Period)</w:t>
            </w:r>
          </w:p>
        </w:tc>
        <w:tc>
          <w:tcPr>
            <w:tcW w:type="dxa" w:w="1944"/>
          </w:tcPr>
          <w:p>
            <w:pPr>
              <w:spacing w:after="40" w:line="240" w:lineRule="auto"/>
            </w:pPr>
            <w:r>
              <w:rPr>
                <w:sz w:val="18"/>
              </w:rPr>
              <w:t>Percentage change in a unit's inventory total from the first to the last week of the reporting period</w:t>
            </w:r>
          </w:p>
        </w:tc>
        <w:tc>
          <w:tcPr>
            <w:tcW w:type="dxa" w:w="1728"/>
          </w:tcPr>
          <w:p>
            <w:pPr>
              <w:spacing w:after="40" w:line="240" w:lineRule="auto"/>
            </w:pPr>
            <w:r>
              <w:rPr>
                <w:sz w:val="18"/>
              </w:rPr>
              <w:t>(End Value − Start Value) ÷ Start Value × 100</w:t>
            </w:r>
          </w:p>
        </w:tc>
        <w:tc>
          <w:tcPr>
            <w:tcW w:type="dxa" w:w="2160"/>
          </w:tcPr>
          <w:p>
            <w:pPr>
              <w:spacing w:after="40" w:line="240" w:lineRule="auto"/>
            </w:pPr>
            <w:r>
              <w:rPr>
                <w:sz w:val="18"/>
              </w:rPr>
              <w:t>Grand Dining +50.25% ($24,832.87 → $37,311.63); Reinert To Go +48.0% ($7,308.22 → $10,819.42); Qdoba +57.3%; Panera +62.0%; Catering −1.16% ($29,737.73 → $29,393.10); Starbucks −5.24% ($30,651.52 → $29,045.65)</w:t>
            </w:r>
          </w:p>
        </w:tc>
        <w:tc>
          <w:tcPr>
            <w:tcW w:type="dxa" w:w="1944"/>
          </w:tcPr>
          <w:p>
            <w:pPr>
              <w:spacing w:after="40" w:line="240" w:lineRule="auto"/>
            </w:pPr>
            <w:r>
              <w:rPr>
                <w:sz w:val="18"/>
              </w:rPr>
              <w:t>Identifies units with sustained over-ordering or under-utilization; primary driver of Recommendation 1 (PAR Level Review)</w:t>
            </w:r>
          </w:p>
        </w:tc>
      </w:tr>
      <w:tr>
        <w:trPr>
          <w:cantSplit w:val="true"/>
        </w:trPr>
        <w:tc>
          <w:tcPr>
            <w:tcW w:type="dxa" w:w="1584"/>
            <w:shd w:val="clear" w:color="auto" w:fill="EAF0F7"/>
          </w:tcPr>
          <w:p>
            <w:pPr>
              <w:spacing w:after="40" w:line="240" w:lineRule="auto"/>
            </w:pPr>
            <w:r>
              <w:rPr>
                <w:b/>
                <w:sz w:val="18"/>
              </w:rPr>
              <w:t>4. Weekly Inventory Trend Slope</w:t>
            </w:r>
          </w:p>
        </w:tc>
        <w:tc>
          <w:tcPr>
            <w:tcW w:type="dxa" w:w="1944"/>
            <w:shd w:val="clear" w:color="auto" w:fill="EAF0F7"/>
          </w:tcPr>
          <w:p>
            <w:pPr>
              <w:spacing w:after="40" w:line="240" w:lineRule="auto"/>
            </w:pPr>
            <w:r>
              <w:rPr>
                <w:sz w:val="18"/>
              </w:rPr>
              <w:t>The linear rate of change in inventory value per week, computed via ordinary least-squares regression on the unit's weekly time series</w:t>
            </w:r>
          </w:p>
        </w:tc>
        <w:tc>
          <w:tcPr>
            <w:tcW w:type="dxa" w:w="1728"/>
            <w:shd w:val="clear" w:color="auto" w:fill="EAF0F7"/>
          </w:tcPr>
          <w:p>
            <w:pPr>
              <w:spacing w:after="40" w:line="240" w:lineRule="auto"/>
            </w:pPr>
            <w:r>
              <w:rPr>
                <w:sz w:val="18"/>
              </w:rPr>
              <w:t>OLS regression coefficient (β) of inventory value on week number</w:t>
            </w:r>
          </w:p>
        </w:tc>
        <w:tc>
          <w:tcPr>
            <w:tcW w:type="dxa" w:w="2160"/>
            <w:shd w:val="clear" w:color="auto" w:fill="EAF0F7"/>
          </w:tcPr>
          <w:p>
            <w:pPr>
              <w:spacing w:after="40" w:line="240" w:lineRule="auto"/>
            </w:pPr>
            <w:r>
              <w:rPr>
                <w:sz w:val="18"/>
              </w:rPr>
              <w:t>Grand Dining = +$307.67 per week (≈ $1,230 per month accumulation)</w:t>
            </w:r>
          </w:p>
        </w:tc>
        <w:tc>
          <w:tcPr>
            <w:tcW w:type="dxa" w:w="1944"/>
            <w:shd w:val="clear" w:color="auto" w:fill="EAF0F7"/>
          </w:tcPr>
          <w:p>
            <w:pPr>
              <w:spacing w:after="40" w:line="240" w:lineRule="auto"/>
            </w:pPr>
            <w:r>
              <w:rPr>
                <w:sz w:val="18"/>
              </w:rPr>
              <w:t>Quantifies the direction and pace of inventory drift; distinguishes seasonal variation from structural over-ordering</w:t>
            </w:r>
          </w:p>
        </w:tc>
      </w:tr>
      <w:tr>
        <w:trPr>
          <w:cantSplit w:val="true"/>
        </w:trPr>
        <w:tc>
          <w:tcPr>
            <w:tcW w:type="dxa" w:w="1584"/>
          </w:tcPr>
          <w:p>
            <w:pPr>
              <w:spacing w:after="40" w:line="240" w:lineRule="auto"/>
            </w:pPr>
            <w:r>
              <w:rPr>
                <w:b/>
                <w:sz w:val="18"/>
              </w:rPr>
              <w:t>5. Inventory Range (Min–Max)</w:t>
            </w:r>
          </w:p>
        </w:tc>
        <w:tc>
          <w:tcPr>
            <w:tcW w:type="dxa" w:w="1944"/>
          </w:tcPr>
          <w:p>
            <w:pPr>
              <w:spacing w:after="40" w:line="240" w:lineRule="auto"/>
            </w:pPr>
            <w:r>
              <w:rPr>
                <w:sz w:val="18"/>
              </w:rPr>
              <w:t>The spread between the lowest and highest recorded weekly inventory values for a unit across the full reporting period</w:t>
            </w:r>
          </w:p>
        </w:tc>
        <w:tc>
          <w:tcPr>
            <w:tcW w:type="dxa" w:w="1728"/>
          </w:tcPr>
          <w:p>
            <w:pPr>
              <w:spacing w:after="40" w:line="240" w:lineRule="auto"/>
            </w:pPr>
            <w:r>
              <w:rPr>
                <w:sz w:val="18"/>
              </w:rPr>
              <w:t>Max(Inventory) − Min(Inventory)</w:t>
            </w:r>
          </w:p>
        </w:tc>
        <w:tc>
          <w:tcPr>
            <w:tcW w:type="dxa" w:w="2160"/>
          </w:tcPr>
          <w:p>
            <w:pPr>
              <w:spacing w:after="40" w:line="240" w:lineRule="auto"/>
            </w:pPr>
            <w:r>
              <w:rPr>
                <w:sz w:val="18"/>
              </w:rPr>
              <w:t>Grand Dining: $47,299.91 − $21,700.53 = $25,599.38; Starbucks: $38,792.32 − $15,598.65 = $23,193.67; Panera: $77,772.81 − $12,201.80 = $65,571.01 (includes outlier)</w:t>
            </w:r>
          </w:p>
        </w:tc>
        <w:tc>
          <w:tcPr>
            <w:tcW w:type="dxa" w:w="1944"/>
          </w:tcPr>
          <w:p>
            <w:pPr>
              <w:spacing w:after="40" w:line="240" w:lineRule="auto"/>
            </w:pPr>
            <w:r>
              <w:rPr>
                <w:sz w:val="18"/>
              </w:rPr>
              <w:t>Indicates the operational variability in stock levels; wide ranges signal inconsistent ordering behavior</w:t>
            </w:r>
          </w:p>
        </w:tc>
      </w:tr>
      <w:tr>
        <w:trPr>
          <w:cantSplit w:val="true"/>
        </w:trPr>
        <w:tc>
          <w:tcPr>
            <w:tcW w:type="dxa" w:w="1584"/>
            <w:shd w:val="clear" w:color="auto" w:fill="EAF0F7"/>
          </w:tcPr>
          <w:p>
            <w:pPr>
              <w:spacing w:after="40" w:line="240" w:lineRule="auto"/>
            </w:pPr>
            <w:r>
              <w:rPr>
                <w:b/>
                <w:sz w:val="18"/>
              </w:rPr>
              <w:t>6. Standard Deviation of Weekly Inventory</w:t>
            </w:r>
          </w:p>
        </w:tc>
        <w:tc>
          <w:tcPr>
            <w:tcW w:type="dxa" w:w="1944"/>
            <w:shd w:val="clear" w:color="auto" w:fill="EAF0F7"/>
          </w:tcPr>
          <w:p>
            <w:pPr>
              <w:spacing w:after="40" w:line="240" w:lineRule="auto"/>
            </w:pPr>
            <w:r>
              <w:rPr>
                <w:sz w:val="18"/>
              </w:rPr>
              <w:t>The statistical dispersion of weekly inventory values around the unit mean; higher values indicate more volatile ordering behavior</w:t>
            </w:r>
          </w:p>
        </w:tc>
        <w:tc>
          <w:tcPr>
            <w:tcW w:type="dxa" w:w="1728"/>
            <w:shd w:val="clear" w:color="auto" w:fill="EAF0F7"/>
          </w:tcPr>
          <w:p>
            <w:pPr>
              <w:spacing w:after="40" w:line="240" w:lineRule="auto"/>
            </w:pPr>
            <w:r>
              <w:rPr>
                <w:sz w:val="18"/>
              </w:rPr>
              <w:t>σ = √[ Σ(xᵢ − x̄)² ÷ (n − 1) ]</w:t>
            </w:r>
          </w:p>
        </w:tc>
        <w:tc>
          <w:tcPr>
            <w:tcW w:type="dxa" w:w="2160"/>
            <w:shd w:val="clear" w:color="auto" w:fill="EAF0F7"/>
          </w:tcPr>
          <w:p>
            <w:pPr>
              <w:spacing w:after="40" w:line="240" w:lineRule="auto"/>
            </w:pPr>
            <w:r>
              <w:rPr>
                <w:sz w:val="18"/>
              </w:rPr>
              <w:t>Grand Dining $8,477.02; Panera $12,068.12; Starbucks $5,784.07; Catering $2,160.16; Subway $1,850.59; WOW Cafe $1,292.35</w:t>
            </w:r>
          </w:p>
        </w:tc>
        <w:tc>
          <w:tcPr>
            <w:tcW w:type="dxa" w:w="1944"/>
            <w:shd w:val="clear" w:color="auto" w:fill="EAF0F7"/>
          </w:tcPr>
          <w:p>
            <w:pPr>
              <w:spacing w:after="40" w:line="240" w:lineRule="auto"/>
            </w:pPr>
            <w:r>
              <w:rPr>
                <w:sz w:val="18"/>
              </w:rPr>
              <w:t>Used to rank units by ordering volatility (Figure 7); directs management attention to highest-variance units first</w:t>
            </w:r>
          </w:p>
        </w:tc>
      </w:tr>
      <w:tr>
        <w:trPr>
          <w:cantSplit w:val="true"/>
        </w:trPr>
        <w:tc>
          <w:tcPr>
            <w:tcW w:type="dxa" w:w="1584"/>
          </w:tcPr>
          <w:p>
            <w:pPr>
              <w:spacing w:after="40" w:line="240" w:lineRule="auto"/>
            </w:pPr>
            <w:r>
              <w:rPr>
                <w:b/>
                <w:sz w:val="18"/>
              </w:rPr>
              <w:t>7. Coefficient of Variation (CV)</w:t>
            </w:r>
          </w:p>
        </w:tc>
        <w:tc>
          <w:tcPr>
            <w:tcW w:type="dxa" w:w="1944"/>
          </w:tcPr>
          <w:p>
            <w:pPr>
              <w:spacing w:after="40" w:line="240" w:lineRule="auto"/>
            </w:pPr>
            <w:r>
              <w:rPr>
                <w:sz w:val="18"/>
              </w:rPr>
              <w:t>Standard deviation expressed as a proportion of the mean; normalizes volatility for cross-unit comparison regardless of absolute inventory size</w:t>
            </w:r>
          </w:p>
        </w:tc>
        <w:tc>
          <w:tcPr>
            <w:tcW w:type="dxa" w:w="1728"/>
          </w:tcPr>
          <w:p>
            <w:pPr>
              <w:spacing w:after="40" w:line="240" w:lineRule="auto"/>
            </w:pPr>
            <w:r>
              <w:rPr>
                <w:sz w:val="18"/>
              </w:rPr>
              <w:t>CV = Standard Deviation ÷ Mean</w:t>
            </w:r>
          </w:p>
        </w:tc>
        <w:tc>
          <w:tcPr>
            <w:tcW w:type="dxa" w:w="2160"/>
          </w:tcPr>
          <w:p>
            <w:pPr>
              <w:spacing w:after="40" w:line="240" w:lineRule="auto"/>
            </w:pPr>
            <w:r>
              <w:rPr>
                <w:sz w:val="18"/>
              </w:rPr>
              <w:t>Ameren Cafe 0.72 (most volatile relative to size); Panera 0.65; Reinert To Go 0.53; Fusz Simply To Go 0.43; Starbucks 0.27; Grand Dining 0.26; Subway 0.22; WOW Cafe 0.09; Catering 0.07 (most stable)</w:t>
            </w:r>
          </w:p>
        </w:tc>
        <w:tc>
          <w:tcPr>
            <w:tcW w:type="dxa" w:w="1944"/>
          </w:tcPr>
          <w:p>
            <w:pPr>
              <w:spacing w:after="40" w:line="240" w:lineRule="auto"/>
            </w:pPr>
            <w:r>
              <w:rPr>
                <w:sz w:val="18"/>
              </w:rPr>
              <w:t>Enables fair comparison between large and small units; CV &gt; 0.40 flags units requiring ordering-behavior investigation</w:t>
            </w:r>
          </w:p>
        </w:tc>
      </w:tr>
      <w:tr>
        <w:trPr>
          <w:cantSplit w:val="true"/>
        </w:trPr>
        <w:tc>
          <w:tcPr>
            <w:tcW w:type="dxa" w:w="1584"/>
            <w:shd w:val="clear" w:color="auto" w:fill="EAF0F7"/>
          </w:tcPr>
          <w:p>
            <w:pPr>
              <w:spacing w:after="40" w:line="240" w:lineRule="auto"/>
            </w:pPr>
            <w:r>
              <w:rPr>
                <w:b/>
                <w:sz w:val="18"/>
              </w:rPr>
              <w:t>8. Portfolio Weekly Mean Inventory</w:t>
            </w:r>
          </w:p>
        </w:tc>
        <w:tc>
          <w:tcPr>
            <w:tcW w:type="dxa" w:w="1944"/>
            <w:shd w:val="clear" w:color="auto" w:fill="EAF0F7"/>
          </w:tcPr>
          <w:p>
            <w:pPr>
              <w:spacing w:after="40" w:line="240" w:lineRule="auto"/>
            </w:pPr>
            <w:r>
              <w:rPr>
                <w:sz w:val="18"/>
              </w:rPr>
              <w:t>Average of total portfolio inventory across all weeks in the reporting period</w:t>
            </w:r>
          </w:p>
        </w:tc>
        <w:tc>
          <w:tcPr>
            <w:tcW w:type="dxa" w:w="1728"/>
            <w:shd w:val="clear" w:color="auto" w:fill="EAF0F7"/>
          </w:tcPr>
          <w:p>
            <w:pPr>
              <w:spacing w:after="40" w:line="240" w:lineRule="auto"/>
            </w:pPr>
            <w:r>
              <w:rPr>
                <w:sz w:val="18"/>
              </w:rPr>
              <w:t>Σ(Weekly Portfolio Total) ÷ Number of Weeks</w:t>
            </w:r>
          </w:p>
        </w:tc>
        <w:tc>
          <w:tcPr>
            <w:tcW w:type="dxa" w:w="2160"/>
            <w:shd w:val="clear" w:color="auto" w:fill="EAF0F7"/>
          </w:tcPr>
          <w:p>
            <w:pPr>
              <w:spacing w:after="40" w:line="240" w:lineRule="auto"/>
            </w:pPr>
            <w:r>
              <w:rPr>
                <w:sz w:val="18"/>
              </w:rPr>
              <w:t>$171,901.68 (across 33 report dates)</w:t>
            </w:r>
          </w:p>
        </w:tc>
        <w:tc>
          <w:tcPr>
            <w:tcW w:type="dxa" w:w="1944"/>
            <w:shd w:val="clear" w:color="auto" w:fill="EAF0F7"/>
          </w:tcPr>
          <w:p>
            <w:pPr>
              <w:spacing w:after="40" w:line="240" w:lineRule="auto"/>
            </w:pPr>
            <w:r>
              <w:rPr>
                <w:sz w:val="18"/>
              </w:rPr>
              <w:t>Baseline for trend analysis; summer trough ($126,289.65) and fall peak are measured against this mean</w:t>
            </w:r>
          </w:p>
        </w:tc>
      </w:tr>
      <w:tr>
        <w:trPr>
          <w:cantSplit w:val="true"/>
        </w:trPr>
        <w:tc>
          <w:tcPr>
            <w:tcW w:type="dxa" w:w="1584"/>
          </w:tcPr>
          <w:p>
            <w:pPr>
              <w:spacing w:after="40" w:line="240" w:lineRule="auto"/>
            </w:pPr>
            <w:r>
              <w:rPr>
                <w:b/>
                <w:sz w:val="18"/>
              </w:rPr>
              <w:t>9. Portfolio Inventory Peak and Trough</w:t>
            </w:r>
          </w:p>
        </w:tc>
        <w:tc>
          <w:tcPr>
            <w:tcW w:type="dxa" w:w="1944"/>
          </w:tcPr>
          <w:p>
            <w:pPr>
              <w:spacing w:after="40" w:line="240" w:lineRule="auto"/>
            </w:pPr>
            <w:r>
              <w:rPr>
                <w:sz w:val="18"/>
              </w:rPr>
              <w:t>The highest and lowest total portfolio inventory values recorded across the entire reporting period</w:t>
            </w:r>
          </w:p>
        </w:tc>
        <w:tc>
          <w:tcPr>
            <w:tcW w:type="dxa" w:w="1728"/>
          </w:tcPr>
          <w:p>
            <w:pPr>
              <w:spacing w:after="40" w:line="240" w:lineRule="auto"/>
            </w:pPr>
            <w:r>
              <w:rPr>
                <w:sz w:val="18"/>
              </w:rPr>
              <w:t>Max and Min of weekly portfolio totals</w:t>
            </w:r>
          </w:p>
        </w:tc>
        <w:tc>
          <w:tcPr>
            <w:tcW w:type="dxa" w:w="2160"/>
          </w:tcPr>
          <w:p>
            <w:pPr>
              <w:spacing w:after="40" w:line="240" w:lineRule="auto"/>
            </w:pPr>
            <w:r>
              <w:rPr>
                <w:sz w:val="18"/>
              </w:rPr>
              <w:t>Peak $263,943.40 (W/E 04/10/2026, inflated by Panera outlier); Low $126,289.65 (W/E 07/10/2026, summer session)</w:t>
            </w:r>
          </w:p>
        </w:tc>
        <w:tc>
          <w:tcPr>
            <w:tcW w:type="dxa" w:w="1944"/>
          </w:tcPr>
          <w:p>
            <w:pPr>
              <w:spacing w:after="40" w:line="240" w:lineRule="auto"/>
            </w:pPr>
            <w:r>
              <w:rPr>
                <w:sz w:val="18"/>
              </w:rPr>
              <w:t>Defines the seasonal operating envelope; summer trough validates the academic-calendar effect on inventory demand</w:t>
            </w:r>
          </w:p>
        </w:tc>
      </w:tr>
      <w:tr>
        <w:trPr>
          <w:cantSplit w:val="true"/>
        </w:trPr>
        <w:tc>
          <w:tcPr>
            <w:tcW w:type="dxa" w:w="1584"/>
            <w:shd w:val="clear" w:color="auto" w:fill="EAF0F7"/>
          </w:tcPr>
          <w:p>
            <w:pPr>
              <w:spacing w:after="40" w:line="240" w:lineRule="auto"/>
            </w:pPr>
            <w:r>
              <w:rPr>
                <w:b/>
                <w:sz w:val="18"/>
              </w:rPr>
              <w:t>10. Unit Inventory Share (%)</w:t>
            </w:r>
          </w:p>
        </w:tc>
        <w:tc>
          <w:tcPr>
            <w:tcW w:type="dxa" w:w="1944"/>
            <w:shd w:val="clear" w:color="auto" w:fill="EAF0F7"/>
          </w:tcPr>
          <w:p>
            <w:pPr>
              <w:spacing w:after="40" w:line="240" w:lineRule="auto"/>
            </w:pPr>
            <w:r>
              <w:rPr>
                <w:sz w:val="18"/>
              </w:rPr>
              <w:t>Each unit's on-hand inventory as a percentage of the total portfolio inventory for the same week</w:t>
            </w:r>
          </w:p>
        </w:tc>
        <w:tc>
          <w:tcPr>
            <w:tcW w:type="dxa" w:w="1728"/>
            <w:shd w:val="clear" w:color="auto" w:fill="EAF0F7"/>
          </w:tcPr>
          <w:p>
            <w:pPr>
              <w:spacing w:after="40" w:line="240" w:lineRule="auto"/>
            </w:pPr>
            <w:r>
              <w:rPr>
                <w:sz w:val="18"/>
              </w:rPr>
              <w:t>Unit Inventory ÷ Total Portfolio Inventory × 100</w:t>
            </w:r>
          </w:p>
        </w:tc>
        <w:tc>
          <w:tcPr>
            <w:tcW w:type="dxa" w:w="2160"/>
            <w:shd w:val="clear" w:color="auto" w:fill="EAF0F7"/>
          </w:tcPr>
          <w:p>
            <w:pPr>
              <w:spacing w:after="40" w:line="240" w:lineRule="auto"/>
            </w:pPr>
            <w:r>
              <w:rPr>
                <w:sz w:val="18"/>
              </w:rPr>
              <w:t>W/E 10/09: Grand Dining 17.0%; Catering 13.4%; Starbucks 13.2%; Panera 11.5%; Fusz Simply To Go 9.8%; BSC Simply To Go 8.9%; WOW Cafe 6.4%; Ameren Cafe 6.0%; Reinert To Go 4.9%; Qdoba 4.8%; Subway 4.2%</w:t>
            </w:r>
          </w:p>
        </w:tc>
        <w:tc>
          <w:tcPr>
            <w:tcW w:type="dxa" w:w="1944"/>
            <w:shd w:val="clear" w:color="auto" w:fill="EAF0F7"/>
          </w:tcPr>
          <w:p>
            <w:pPr>
              <w:spacing w:after="40" w:line="240" w:lineRule="auto"/>
            </w:pPr>
            <w:r>
              <w:rPr>
                <w:sz w:val="18"/>
              </w:rPr>
              <w:t>Portfolio composition snapshot; highlights disproportionate concentration (top 3 units hold 43.6% of inventory)</w:t>
            </w:r>
          </w:p>
        </w:tc>
      </w:tr>
    </w:tbl>
    <w:p>
      <w:pPr>
        <w:pStyle w:val="Heading1"/>
        <w:pageBreakBefore/>
      </w:pPr>
      <w:r>
        <w:t>Section 2 — Data Quality Indices</w:t>
      </w:r>
    </w:p>
    <w:tbl>
      <w:tblPr>
        <w:tblStyle w:val="TableGrid"/>
        <w:tblW w:type="auto" w:w="0"/>
        <w:jc w:val="center"/>
        <w:tblLayout w:type="fixed"/>
        <w:tblLook w:firstColumn="1" w:firstRow="1" w:lastColumn="0" w:lastRow="0" w:noHBand="0" w:noVBand="1" w:val="04A0"/>
      </w:tblPr>
      <w:tblGrid>
        <w:gridCol w:w="1584"/>
        <w:gridCol w:w="1944"/>
        <w:gridCol w:w="1728"/>
        <w:gridCol w:w="2160"/>
        <w:gridCol w:w="1944"/>
      </w:tblGrid>
      <w:tr>
        <w:trPr>
          <w:cantSplit/>
          <w:tblHeader w:val="true"/>
        </w:trPr>
        <w:tc>
          <w:tcPr>
            <w:tcW w:type="dxa" w:w="1584"/>
            <w:shd w:val="clear" w:color="auto" w:fill="1F3A5F"/>
          </w:tcPr>
          <w:p>
            <w:pPr>
              <w:spacing w:after="40" w:line="240" w:lineRule="auto"/>
            </w:pPr>
            <w:r/>
            <w:r>
              <w:rPr>
                <w:b/>
                <w:color w:val="FFFFFF"/>
                <w:sz w:val="19"/>
              </w:rPr>
              <w:t>Index Name</w:t>
            </w:r>
          </w:p>
        </w:tc>
        <w:tc>
          <w:tcPr>
            <w:tcW w:type="dxa" w:w="1944"/>
            <w:shd w:val="clear" w:color="auto" w:fill="1F3A5F"/>
          </w:tcPr>
          <w:p>
            <w:pPr>
              <w:spacing w:after="40" w:line="240" w:lineRule="auto"/>
            </w:pPr>
            <w:r/>
            <w:r>
              <w:rPr>
                <w:b/>
                <w:color w:val="FFFFFF"/>
                <w:sz w:val="19"/>
              </w:rPr>
              <w:t>Definition</w:t>
            </w:r>
          </w:p>
        </w:tc>
        <w:tc>
          <w:tcPr>
            <w:tcW w:type="dxa" w:w="1728"/>
            <w:shd w:val="clear" w:color="auto" w:fill="1F3A5F"/>
          </w:tcPr>
          <w:p>
            <w:pPr>
              <w:spacing w:after="40" w:line="240" w:lineRule="auto"/>
            </w:pPr>
            <w:r/>
            <w:r>
              <w:rPr>
                <w:b/>
                <w:color w:val="FFFFFF"/>
                <w:sz w:val="19"/>
              </w:rPr>
              <w:t>Formula / Derivation</w:t>
            </w:r>
          </w:p>
        </w:tc>
        <w:tc>
          <w:tcPr>
            <w:tcW w:type="dxa" w:w="2160"/>
            <w:shd w:val="clear" w:color="auto" w:fill="1F3A5F"/>
          </w:tcPr>
          <w:p>
            <w:pPr>
              <w:spacing w:after="40" w:line="240" w:lineRule="auto"/>
            </w:pPr>
            <w:r/>
            <w:r>
              <w:rPr>
                <w:b/>
                <w:color w:val="FFFFFF"/>
                <w:sz w:val="19"/>
              </w:rPr>
              <w:t>SLU Value(s)</w:t>
            </w:r>
          </w:p>
        </w:tc>
        <w:tc>
          <w:tcPr>
            <w:tcW w:type="dxa" w:w="1944"/>
            <w:shd w:val="clear" w:color="auto" w:fill="1F3A5F"/>
          </w:tcPr>
          <w:p>
            <w:pPr>
              <w:spacing w:after="40" w:line="240" w:lineRule="auto"/>
            </w:pPr>
            <w:r/>
            <w:r>
              <w:rPr>
                <w:b/>
                <w:color w:val="FFFFFF"/>
                <w:sz w:val="19"/>
              </w:rPr>
              <w:t>Purpose in Analysis</w:t>
            </w:r>
          </w:p>
        </w:tc>
      </w:tr>
      <w:tr>
        <w:trPr>
          <w:cantSplit w:val="true"/>
        </w:trPr>
        <w:tc>
          <w:tcPr>
            <w:tcW w:type="dxa" w:w="1584"/>
          </w:tcPr>
          <w:p>
            <w:pPr>
              <w:spacing w:after="40" w:line="240" w:lineRule="auto"/>
            </w:pPr>
            <w:r>
              <w:rPr>
                <w:b/>
                <w:sz w:val="18"/>
              </w:rPr>
              <w:t>11. Stale Count Rate</w:t>
            </w:r>
          </w:p>
        </w:tc>
        <w:tc>
          <w:tcPr>
            <w:tcW w:type="dxa" w:w="1944"/>
          </w:tcPr>
          <w:p>
            <w:pPr>
              <w:spacing w:after="40" w:line="240" w:lineRule="auto"/>
            </w:pPr>
            <w:r>
              <w:rPr>
                <w:sz w:val="18"/>
              </w:rPr>
              <w:t>The proportion of a unit's week-to-week transitions where the inventory total is identical to the prior week's value — a proxy for missed or carried-forward physical counts</w:t>
            </w:r>
          </w:p>
        </w:tc>
        <w:tc>
          <w:tcPr>
            <w:tcW w:type="dxa" w:w="1728"/>
          </w:tcPr>
          <w:p>
            <w:pPr>
              <w:spacing w:after="40" w:line="240" w:lineRule="auto"/>
            </w:pPr>
            <w:r>
              <w:rPr>
                <w:sz w:val="18"/>
              </w:rPr>
              <w:t>Number of weeks where Inventoryₜ = Inventoryₜ₋₁ ÷ Total Week-to-Week Transitions × 100</w:t>
            </w:r>
          </w:p>
        </w:tc>
        <w:tc>
          <w:tcPr>
            <w:tcW w:type="dxa" w:w="2160"/>
          </w:tcPr>
          <w:p>
            <w:pPr>
              <w:spacing w:after="40" w:line="240" w:lineRule="auto"/>
            </w:pPr>
            <w:r>
              <w:rPr>
                <w:sz w:val="18"/>
              </w:rPr>
              <w:t>Reinert To Go 56% (15 of 27 transitions, 28 weeks); Ameren Cafe 56% (15/27); Subway 48% (13/27); Grand Dining 26% (7/27); Fusz Simply To Go 26%; WOW Cafe 43% (3/7 measured transitions)</w:t>
            </w:r>
          </w:p>
        </w:tc>
        <w:tc>
          <w:tcPr>
            <w:tcW w:type="dxa" w:w="1944"/>
          </w:tcPr>
          <w:p>
            <w:pPr>
              <w:spacing w:after="40" w:line="240" w:lineRule="auto"/>
            </w:pPr>
            <w:r>
              <w:rPr>
                <w:sz w:val="18"/>
              </w:rPr>
              <w:t>Data-integrity diagnostic; high stale rates mean inventory records cannot be trusted for forecasting or financial analysis; primary driver of Recommendation 2</w:t>
            </w:r>
          </w:p>
        </w:tc>
      </w:tr>
      <w:tr>
        <w:trPr>
          <w:cantSplit w:val="true"/>
        </w:trPr>
        <w:tc>
          <w:tcPr>
            <w:tcW w:type="dxa" w:w="1584"/>
            <w:shd w:val="clear" w:color="auto" w:fill="EAF0F7"/>
          </w:tcPr>
          <w:p>
            <w:pPr>
              <w:spacing w:after="40" w:line="240" w:lineRule="auto"/>
            </w:pPr>
            <w:r>
              <w:rPr>
                <w:b/>
                <w:sz w:val="18"/>
              </w:rPr>
              <w:t>12. Validation Rate (Revenue Center Catalog)</w:t>
            </w:r>
          </w:p>
        </w:tc>
        <w:tc>
          <w:tcPr>
            <w:tcW w:type="dxa" w:w="1944"/>
            <w:shd w:val="clear" w:color="auto" w:fill="EAF0F7"/>
          </w:tcPr>
          <w:p>
            <w:pPr>
              <w:spacing w:after="40" w:line="240" w:lineRule="auto"/>
            </w:pPr>
            <w:r>
              <w:rPr>
                <w:sz w:val="18"/>
              </w:rPr>
              <w:t>Proportion of revenue center catalog records with confirmed Validated status (vs. Non-Validated or New)</w:t>
            </w:r>
          </w:p>
        </w:tc>
        <w:tc>
          <w:tcPr>
            <w:tcW w:type="dxa" w:w="1728"/>
            <w:shd w:val="clear" w:color="auto" w:fill="EAF0F7"/>
          </w:tcPr>
          <w:p>
            <w:pPr>
              <w:spacing w:after="40" w:line="240" w:lineRule="auto"/>
            </w:pPr>
            <w:r>
              <w:rPr>
                <w:sz w:val="18"/>
              </w:rPr>
              <w:t>Validated Records ÷ Total Records × 100</w:t>
            </w:r>
          </w:p>
        </w:tc>
        <w:tc>
          <w:tcPr>
            <w:tcW w:type="dxa" w:w="2160"/>
            <w:shd w:val="clear" w:color="auto" w:fill="EAF0F7"/>
          </w:tcPr>
          <w:p>
            <w:pPr>
              <w:spacing w:after="40" w:line="240" w:lineRule="auto"/>
            </w:pPr>
            <w:r>
              <w:rPr>
                <w:sz w:val="18"/>
              </w:rPr>
              <w:t>15,075 ÷ 15,145 = 99.5% validated; 36 Non-Validated; 34 New (unvalidated)</w:t>
            </w:r>
          </w:p>
        </w:tc>
        <w:tc>
          <w:tcPr>
            <w:tcW w:type="dxa" w:w="1944"/>
            <w:shd w:val="clear" w:color="auto" w:fill="EAF0F7"/>
          </w:tcPr>
          <w:p>
            <w:pPr>
              <w:spacing w:after="40" w:line="240" w:lineRule="auto"/>
            </w:pPr>
            <w:r>
              <w:rPr>
                <w:sz w:val="18"/>
              </w:rPr>
              <w:t>Catalog health indicator; non-validated items may appear on POS without confirmed pricing, creating revenue-leakage risk</w:t>
            </w:r>
          </w:p>
        </w:tc>
      </w:tr>
      <w:tr>
        <w:trPr>
          <w:cantSplit w:val="true"/>
        </w:trPr>
        <w:tc>
          <w:tcPr>
            <w:tcW w:type="dxa" w:w="1584"/>
          </w:tcPr>
          <w:p>
            <w:pPr>
              <w:spacing w:after="40" w:line="240" w:lineRule="auto"/>
            </w:pPr>
            <w:r>
              <w:rPr>
                <w:b/>
                <w:sz w:val="18"/>
              </w:rPr>
              <w:t>13. Button Active Rate</w:t>
            </w:r>
          </w:p>
        </w:tc>
        <w:tc>
          <w:tcPr>
            <w:tcW w:type="dxa" w:w="1944"/>
          </w:tcPr>
          <w:p>
            <w:pPr>
              <w:spacing w:after="40" w:line="240" w:lineRule="auto"/>
            </w:pPr>
            <w:r>
              <w:rPr>
                <w:sz w:val="18"/>
              </w:rPr>
              <w:t>Proportion of revenue center catalog records with Button Status = Active (vs. Inactive)</w:t>
            </w:r>
          </w:p>
        </w:tc>
        <w:tc>
          <w:tcPr>
            <w:tcW w:type="dxa" w:w="1728"/>
          </w:tcPr>
          <w:p>
            <w:pPr>
              <w:spacing w:after="40" w:line="240" w:lineRule="auto"/>
            </w:pPr>
            <w:r>
              <w:rPr>
                <w:sz w:val="18"/>
              </w:rPr>
              <w:t>Active Button Records ÷ Total Records × 100</w:t>
            </w:r>
          </w:p>
        </w:tc>
        <w:tc>
          <w:tcPr>
            <w:tcW w:type="dxa" w:w="2160"/>
          </w:tcPr>
          <w:p>
            <w:pPr>
              <w:spacing w:after="40" w:line="240" w:lineRule="auto"/>
            </w:pPr>
            <w:r>
              <w:rPr>
                <w:sz w:val="18"/>
              </w:rPr>
              <w:t>(15,145 − 14,479) ÷ 15,145 = 666 ÷ 15,145 = 4.4% active; 95.6% inactive</w:t>
            </w:r>
          </w:p>
        </w:tc>
        <w:tc>
          <w:tcPr>
            <w:tcW w:type="dxa" w:w="1944"/>
          </w:tcPr>
          <w:p>
            <w:pPr>
              <w:spacing w:after="40" w:line="240" w:lineRule="auto"/>
            </w:pPr>
            <w:r>
              <w:rPr>
                <w:sz w:val="18"/>
              </w:rPr>
              <w:t>POS catalog cleanliness metric; 95.6% inactive buttons indicates significant catalog bloat requiring rationalization</w:t>
            </w:r>
          </w:p>
        </w:tc>
      </w:tr>
      <w:tr>
        <w:trPr>
          <w:cantSplit w:val="true"/>
        </w:trPr>
        <w:tc>
          <w:tcPr>
            <w:tcW w:type="dxa" w:w="1584"/>
            <w:shd w:val="clear" w:color="auto" w:fill="EAF0F7"/>
          </w:tcPr>
          <w:p>
            <w:pPr>
              <w:spacing w:after="40" w:line="240" w:lineRule="auto"/>
            </w:pPr>
            <w:r>
              <w:rPr>
                <w:b/>
                <w:sz w:val="18"/>
              </w:rPr>
              <w:t>14. Catalog Duplication Factor</w:t>
            </w:r>
          </w:p>
        </w:tc>
        <w:tc>
          <w:tcPr>
            <w:tcW w:type="dxa" w:w="1944"/>
            <w:shd w:val="clear" w:color="auto" w:fill="EAF0F7"/>
          </w:tcPr>
          <w:p>
            <w:pPr>
              <w:spacing w:after="40" w:line="240" w:lineRule="auto"/>
            </w:pPr>
            <w:r>
              <w:rPr>
                <w:sz w:val="18"/>
              </w:rPr>
              <w:t>Ratio of total catalog records to unique product codes; values above 1.0 indicate the same product appearing across multiple revenue-center files</w:t>
            </w:r>
          </w:p>
        </w:tc>
        <w:tc>
          <w:tcPr>
            <w:tcW w:type="dxa" w:w="1728"/>
            <w:shd w:val="clear" w:color="auto" w:fill="EAF0F7"/>
          </w:tcPr>
          <w:p>
            <w:pPr>
              <w:spacing w:after="40" w:line="240" w:lineRule="auto"/>
            </w:pPr>
            <w:r>
              <w:rPr>
                <w:sz w:val="18"/>
              </w:rPr>
              <w:t>Total Records ÷ Unique Product Codes</w:t>
            </w:r>
          </w:p>
        </w:tc>
        <w:tc>
          <w:tcPr>
            <w:tcW w:type="dxa" w:w="2160"/>
            <w:shd w:val="clear" w:color="auto" w:fill="EAF0F7"/>
          </w:tcPr>
          <w:p>
            <w:pPr>
              <w:spacing w:after="40" w:line="240" w:lineRule="auto"/>
            </w:pPr>
            <w:r>
              <w:rPr>
                <w:sz w:val="18"/>
              </w:rPr>
              <w:t>15,145 ÷ 3,663 = 4.13× (each product appears across ~4 outlet files on average)</w:t>
            </w:r>
          </w:p>
        </w:tc>
        <w:tc>
          <w:tcPr>
            <w:tcW w:type="dxa" w:w="1944"/>
            <w:shd w:val="clear" w:color="auto" w:fill="EAF0F7"/>
          </w:tcPr>
          <w:p>
            <w:pPr>
              <w:spacing w:after="40" w:line="240" w:lineRule="auto"/>
            </w:pPr>
            <w:r>
              <w:rPr>
                <w:sz w:val="18"/>
              </w:rPr>
              <w:t>Measures catalog redundancy; high duplication complicates cross-outlet analytics and increases maintenance burden</w:t>
            </w:r>
          </w:p>
        </w:tc>
      </w:tr>
      <w:tr>
        <w:trPr>
          <w:cantSplit w:val="true"/>
        </w:trPr>
        <w:tc>
          <w:tcPr>
            <w:tcW w:type="dxa" w:w="1584"/>
          </w:tcPr>
          <w:p>
            <w:pPr>
              <w:spacing w:after="40" w:line="240" w:lineRule="auto"/>
            </w:pPr>
            <w:r>
              <w:rPr>
                <w:b/>
                <w:sz w:val="18"/>
              </w:rPr>
              <w:t>15. PAR Level Completion Rate</w:t>
            </w:r>
          </w:p>
        </w:tc>
        <w:tc>
          <w:tcPr>
            <w:tcW w:type="dxa" w:w="1944"/>
          </w:tcPr>
          <w:p>
            <w:pPr>
              <w:spacing w:after="40" w:line="240" w:lineRule="auto"/>
            </w:pPr>
            <w:r>
              <w:rPr>
                <w:sz w:val="18"/>
              </w:rPr>
              <w:t>Proportion of procurement template line items with a PAR (target stock) level defined</w:t>
            </w:r>
          </w:p>
        </w:tc>
        <w:tc>
          <w:tcPr>
            <w:tcW w:type="dxa" w:w="1728"/>
          </w:tcPr>
          <w:p>
            <w:pPr>
              <w:spacing w:after="40" w:line="240" w:lineRule="auto"/>
            </w:pPr>
            <w:r>
              <w:rPr>
                <w:sz w:val="18"/>
              </w:rPr>
              <w:t>Lines with PAR Value Filled ÷ Total Template Lines × 100</w:t>
            </w:r>
          </w:p>
        </w:tc>
        <w:tc>
          <w:tcPr>
            <w:tcW w:type="dxa" w:w="2160"/>
          </w:tcPr>
          <w:p>
            <w:pPr>
              <w:spacing w:after="40" w:line="240" w:lineRule="auto"/>
            </w:pPr>
            <w:r>
              <w:rPr>
                <w:sz w:val="18"/>
              </w:rPr>
              <w:t>0 ÷ 409 = 0% (both Produce and Sysco templates, Grand Hall)</w:t>
            </w:r>
          </w:p>
        </w:tc>
        <w:tc>
          <w:tcPr>
            <w:tcW w:type="dxa" w:w="1944"/>
          </w:tcPr>
          <w:p>
            <w:pPr>
              <w:spacing w:after="40" w:line="240" w:lineRule="auto"/>
            </w:pPr>
            <w:r>
              <w:rPr>
                <w:sz w:val="18"/>
              </w:rPr>
              <w:t>Most critical procurement index; 0% completion directly explains inventory accumulation and is the basis for Recommendation 1</w:t>
            </w:r>
          </w:p>
        </w:tc>
      </w:tr>
      <w:tr>
        <w:trPr>
          <w:cantSplit w:val="true"/>
        </w:trPr>
        <w:tc>
          <w:tcPr>
            <w:tcW w:type="dxa" w:w="1584"/>
            <w:shd w:val="clear" w:color="auto" w:fill="EAF0F7"/>
          </w:tcPr>
          <w:p>
            <w:pPr>
              <w:spacing w:after="40" w:line="240" w:lineRule="auto"/>
            </w:pPr>
            <w:r>
              <w:rPr>
                <w:b/>
                <w:sz w:val="18"/>
              </w:rPr>
              <w:t>16. Order Quantity Logging Rate</w:t>
            </w:r>
          </w:p>
        </w:tc>
        <w:tc>
          <w:tcPr>
            <w:tcW w:type="dxa" w:w="1944"/>
            <w:shd w:val="clear" w:color="auto" w:fill="EAF0F7"/>
          </w:tcPr>
          <w:p>
            <w:pPr>
              <w:spacing w:after="40" w:line="240" w:lineRule="auto"/>
            </w:pPr>
            <w:r>
              <w:rPr>
                <w:sz w:val="18"/>
              </w:rPr>
              <w:t>Proportion of Mon/Wed/Fri procurement template slots that have a recorded order quantity</w:t>
            </w:r>
          </w:p>
        </w:tc>
        <w:tc>
          <w:tcPr>
            <w:tcW w:type="dxa" w:w="1728"/>
            <w:shd w:val="clear" w:color="auto" w:fill="EAF0F7"/>
          </w:tcPr>
          <w:p>
            <w:pPr>
              <w:spacing w:after="40" w:line="240" w:lineRule="auto"/>
            </w:pPr>
            <w:r>
              <w:rPr>
                <w:sz w:val="18"/>
              </w:rPr>
              <w:t>Slots with Recorded Quantity ÷ Total Ordering Slots × 100</w:t>
            </w:r>
          </w:p>
        </w:tc>
        <w:tc>
          <w:tcPr>
            <w:tcW w:type="dxa" w:w="2160"/>
            <w:shd w:val="clear" w:color="auto" w:fill="EAF0F7"/>
          </w:tcPr>
          <w:p>
            <w:pPr>
              <w:spacing w:after="40" w:line="240" w:lineRule="auto"/>
            </w:pPr>
            <w:r>
              <w:rPr>
                <w:sz w:val="18"/>
              </w:rPr>
              <w:t>0 ÷ (409 × 3 ordering days = 1,227 slots) = 0%; no order quantities logged</w:t>
            </w:r>
          </w:p>
        </w:tc>
        <w:tc>
          <w:tcPr>
            <w:tcW w:type="dxa" w:w="1944"/>
            <w:shd w:val="clear" w:color="auto" w:fill="EAF0F7"/>
          </w:tcPr>
          <w:p>
            <w:pPr>
              <w:spacing w:after="40" w:line="240" w:lineRule="auto"/>
            </w:pPr>
            <w:r>
              <w:rPr>
                <w:sz w:val="18"/>
              </w:rPr>
              <w:t>Procurement traceability; without logged quantities, vendor performance, fill rates, and cost trends cannot be tracked</w:t>
            </w:r>
          </w:p>
        </w:tc>
      </w:tr>
    </w:tbl>
    <w:p>
      <w:pPr>
        <w:pStyle w:val="Heading1"/>
        <w:pageBreakBefore/>
      </w:pPr>
      <w:r>
        <w:t>Section 3 — Demand and Utilization Indices</w:t>
      </w:r>
    </w:p>
    <w:tbl>
      <w:tblPr>
        <w:tblStyle w:val="TableGrid"/>
        <w:tblW w:type="auto" w:w="0"/>
        <w:jc w:val="center"/>
        <w:tblLayout w:type="fixed"/>
        <w:tblLook w:firstColumn="1" w:firstRow="1" w:lastColumn="0" w:lastRow="0" w:noHBand="0" w:noVBand="1" w:val="04A0"/>
      </w:tblPr>
      <w:tblGrid>
        <w:gridCol w:w="1584"/>
        <w:gridCol w:w="1944"/>
        <w:gridCol w:w="1728"/>
        <w:gridCol w:w="2160"/>
        <w:gridCol w:w="1944"/>
      </w:tblGrid>
      <w:tr>
        <w:trPr>
          <w:cantSplit/>
          <w:tblHeader w:val="true"/>
        </w:trPr>
        <w:tc>
          <w:tcPr>
            <w:tcW w:type="dxa" w:w="1584"/>
            <w:shd w:val="clear" w:color="auto" w:fill="1F3A5F"/>
          </w:tcPr>
          <w:p>
            <w:pPr>
              <w:spacing w:after="40" w:line="240" w:lineRule="auto"/>
            </w:pPr>
            <w:r/>
            <w:r>
              <w:rPr>
                <w:b/>
                <w:color w:val="FFFFFF"/>
                <w:sz w:val="19"/>
              </w:rPr>
              <w:t>Index Name</w:t>
            </w:r>
          </w:p>
        </w:tc>
        <w:tc>
          <w:tcPr>
            <w:tcW w:type="dxa" w:w="1944"/>
            <w:shd w:val="clear" w:color="auto" w:fill="1F3A5F"/>
          </w:tcPr>
          <w:p>
            <w:pPr>
              <w:spacing w:after="40" w:line="240" w:lineRule="auto"/>
            </w:pPr>
            <w:r/>
            <w:r>
              <w:rPr>
                <w:b/>
                <w:color w:val="FFFFFF"/>
                <w:sz w:val="19"/>
              </w:rPr>
              <w:t>Definition</w:t>
            </w:r>
          </w:p>
        </w:tc>
        <w:tc>
          <w:tcPr>
            <w:tcW w:type="dxa" w:w="1728"/>
            <w:shd w:val="clear" w:color="auto" w:fill="1F3A5F"/>
          </w:tcPr>
          <w:p>
            <w:pPr>
              <w:spacing w:after="40" w:line="240" w:lineRule="auto"/>
            </w:pPr>
            <w:r/>
            <w:r>
              <w:rPr>
                <w:b/>
                <w:color w:val="FFFFFF"/>
                <w:sz w:val="19"/>
              </w:rPr>
              <w:t>Formula / Derivation</w:t>
            </w:r>
          </w:p>
        </w:tc>
        <w:tc>
          <w:tcPr>
            <w:tcW w:type="dxa" w:w="2160"/>
            <w:shd w:val="clear" w:color="auto" w:fill="1F3A5F"/>
          </w:tcPr>
          <w:p>
            <w:pPr>
              <w:spacing w:after="40" w:line="240" w:lineRule="auto"/>
            </w:pPr>
            <w:r/>
            <w:r>
              <w:rPr>
                <w:b/>
                <w:color w:val="FFFFFF"/>
                <w:sz w:val="19"/>
              </w:rPr>
              <w:t>SLU Value(s)</w:t>
            </w:r>
          </w:p>
        </w:tc>
        <w:tc>
          <w:tcPr>
            <w:tcW w:type="dxa" w:w="1944"/>
            <w:shd w:val="clear" w:color="auto" w:fill="1F3A5F"/>
          </w:tcPr>
          <w:p>
            <w:pPr>
              <w:spacing w:after="40" w:line="240" w:lineRule="auto"/>
            </w:pPr>
            <w:r/>
            <w:r>
              <w:rPr>
                <w:b/>
                <w:color w:val="FFFFFF"/>
                <w:sz w:val="19"/>
              </w:rPr>
              <w:t>Purpose in Analysis</w:t>
            </w:r>
          </w:p>
        </w:tc>
      </w:tr>
      <w:tr>
        <w:trPr>
          <w:cantSplit w:val="true"/>
        </w:trPr>
        <w:tc>
          <w:tcPr>
            <w:tcW w:type="dxa" w:w="1584"/>
          </w:tcPr>
          <w:p>
            <w:pPr>
              <w:spacing w:after="40" w:line="240" w:lineRule="auto"/>
            </w:pPr>
            <w:r>
              <w:rPr>
                <w:b/>
                <w:sz w:val="18"/>
              </w:rPr>
              <w:t>17. Items Sold per Meal Period</w:t>
            </w:r>
          </w:p>
        </w:tc>
        <w:tc>
          <w:tcPr>
            <w:tcW w:type="dxa" w:w="1944"/>
          </w:tcPr>
          <w:p>
            <w:pPr>
              <w:spacing w:after="40" w:line="240" w:lineRule="auto"/>
            </w:pPr>
            <w:r>
              <w:rPr>
                <w:sz w:val="18"/>
              </w:rPr>
              <w:t>Count of individual item transactions recorded in the POS system during each meal period</w:t>
            </w:r>
          </w:p>
        </w:tc>
        <w:tc>
          <w:tcPr>
            <w:tcW w:type="dxa" w:w="1728"/>
          </w:tcPr>
          <w:p>
            <w:pPr>
              <w:spacing w:after="40" w:line="240" w:lineRule="auto"/>
            </w:pPr>
            <w:r>
              <w:rPr>
                <w:sz w:val="18"/>
              </w:rPr>
              <w:t>Direct POS count from Day Parts Report</w:t>
            </w:r>
          </w:p>
        </w:tc>
        <w:tc>
          <w:tcPr>
            <w:tcW w:type="dxa" w:w="2160"/>
          </w:tcPr>
          <w:p>
            <w:pPr>
              <w:spacing w:after="40" w:line="240" w:lineRule="auto"/>
            </w:pPr>
            <w:r>
              <w:rPr>
                <w:sz w:val="18"/>
              </w:rPr>
              <w:t>Grand Hall, Oct 7, 2026: Breakfast 604; Lunch 941; Dinner 992; Daily Total 2,537</w:t>
            </w:r>
          </w:p>
        </w:tc>
        <w:tc>
          <w:tcPr>
            <w:tcW w:type="dxa" w:w="1944"/>
          </w:tcPr>
          <w:p>
            <w:pPr>
              <w:spacing w:after="40" w:line="240" w:lineRule="auto"/>
            </w:pPr>
            <w:r>
              <w:rPr>
                <w:sz w:val="18"/>
              </w:rPr>
              <w:t>Core utilization measure — the campus analog of patient census or daily patient visits; forms the demand side of the supply-demand forecast model</w:t>
            </w:r>
          </w:p>
        </w:tc>
      </w:tr>
      <w:tr>
        <w:trPr>
          <w:cantSplit w:val="true"/>
        </w:trPr>
        <w:tc>
          <w:tcPr>
            <w:tcW w:type="dxa" w:w="1584"/>
            <w:shd w:val="clear" w:color="auto" w:fill="EAF0F7"/>
          </w:tcPr>
          <w:p>
            <w:pPr>
              <w:spacing w:after="40" w:line="240" w:lineRule="auto"/>
            </w:pPr>
            <w:r>
              <w:rPr>
                <w:b/>
                <w:sz w:val="18"/>
              </w:rPr>
              <w:t>18. Average Check per Meal Period</w:t>
            </w:r>
          </w:p>
        </w:tc>
        <w:tc>
          <w:tcPr>
            <w:tcW w:type="dxa" w:w="1944"/>
            <w:shd w:val="clear" w:color="auto" w:fill="EAF0F7"/>
          </w:tcPr>
          <w:p>
            <w:pPr>
              <w:spacing w:after="40" w:line="240" w:lineRule="auto"/>
            </w:pPr>
            <w:r>
              <w:rPr>
                <w:sz w:val="18"/>
              </w:rPr>
              <w:t>Mean revenue generated per item sold within a meal period</w:t>
            </w:r>
          </w:p>
        </w:tc>
        <w:tc>
          <w:tcPr>
            <w:tcW w:type="dxa" w:w="1728"/>
            <w:shd w:val="clear" w:color="auto" w:fill="EAF0F7"/>
          </w:tcPr>
          <w:p>
            <w:pPr>
              <w:spacing w:after="40" w:line="240" w:lineRule="auto"/>
            </w:pPr>
            <w:r>
              <w:rPr>
                <w:sz w:val="18"/>
              </w:rPr>
              <w:t>Gross Revenue ÷ Items Sold</w:t>
            </w:r>
          </w:p>
        </w:tc>
        <w:tc>
          <w:tcPr>
            <w:tcW w:type="dxa" w:w="2160"/>
            <w:shd w:val="clear" w:color="auto" w:fill="EAF0F7"/>
          </w:tcPr>
          <w:p>
            <w:pPr>
              <w:spacing w:after="40" w:line="240" w:lineRule="auto"/>
            </w:pPr>
            <w:r>
              <w:rPr>
                <w:sz w:val="18"/>
              </w:rPr>
              <w:t>Breakfast $0.32 ($194.18 ÷ 604); Lunch $1.54 ($1,448.91 ÷ 941); Dinner $0.30 ($296.98 ÷ 992)</w:t>
            </w:r>
          </w:p>
        </w:tc>
        <w:tc>
          <w:tcPr>
            <w:tcW w:type="dxa" w:w="1944"/>
            <w:shd w:val="clear" w:color="auto" w:fill="EAF0F7"/>
          </w:tcPr>
          <w:p>
            <w:pPr>
              <w:spacing w:after="40" w:line="240" w:lineRule="auto"/>
            </w:pPr>
            <w:r>
              <w:rPr>
                <w:sz w:val="18"/>
              </w:rPr>
              <w:t>Distinguishes meal-plan-swipe transactions (near-zero cash revenue) from retail/cash transactions; explains the Lunch revenue premium despite lower volume than Dinner</w:t>
            </w:r>
          </w:p>
        </w:tc>
      </w:tr>
      <w:tr>
        <w:trPr>
          <w:cantSplit w:val="true"/>
        </w:trPr>
        <w:tc>
          <w:tcPr>
            <w:tcW w:type="dxa" w:w="1584"/>
          </w:tcPr>
          <w:p>
            <w:pPr>
              <w:spacing w:after="40" w:line="240" w:lineRule="auto"/>
            </w:pPr>
            <w:r>
              <w:rPr>
                <w:b/>
                <w:sz w:val="18"/>
              </w:rPr>
              <w:t>19. Meal Period Revenue Share</w:t>
            </w:r>
          </w:p>
        </w:tc>
        <w:tc>
          <w:tcPr>
            <w:tcW w:type="dxa" w:w="1944"/>
          </w:tcPr>
          <w:p>
            <w:pPr>
              <w:spacing w:after="40" w:line="240" w:lineRule="auto"/>
            </w:pPr>
            <w:r>
              <w:rPr>
                <w:sz w:val="18"/>
              </w:rPr>
              <w:t>Each meal period's gross revenue as a proportion of the daily total</w:t>
            </w:r>
          </w:p>
        </w:tc>
        <w:tc>
          <w:tcPr>
            <w:tcW w:type="dxa" w:w="1728"/>
          </w:tcPr>
          <w:p>
            <w:pPr>
              <w:spacing w:after="40" w:line="240" w:lineRule="auto"/>
            </w:pPr>
            <w:r>
              <w:rPr>
                <w:sz w:val="18"/>
              </w:rPr>
              <w:t>Period Gross Revenue ÷ Daily Total Gross Revenue × 100</w:t>
            </w:r>
          </w:p>
        </w:tc>
        <w:tc>
          <w:tcPr>
            <w:tcW w:type="dxa" w:w="2160"/>
          </w:tcPr>
          <w:p>
            <w:pPr>
              <w:spacing w:after="40" w:line="240" w:lineRule="auto"/>
            </w:pPr>
            <w:r>
              <w:rPr>
                <w:sz w:val="18"/>
              </w:rPr>
              <w:t>Breakfast 10.0% ($194.18); Lunch 74.7% ($1,448.91); Dinner 15.3% ($296.98); Daily total $1,940.07</w:t>
            </w:r>
          </w:p>
        </w:tc>
        <w:tc>
          <w:tcPr>
            <w:tcW w:type="dxa" w:w="1944"/>
          </w:tcPr>
          <w:p>
            <w:pPr>
              <w:spacing w:after="40" w:line="240" w:lineRule="auto"/>
            </w:pPr>
            <w:r>
              <w:rPr>
                <w:sz w:val="18"/>
              </w:rPr>
              <w:t>Reveals that Lunch drives 74.7% of daily revenue despite being only 37.1% of transaction volume; critical input for production planning and revenue forecasting</w:t>
            </w:r>
          </w:p>
        </w:tc>
      </w:tr>
      <w:tr>
        <w:trPr>
          <w:cantSplit w:val="true"/>
        </w:trPr>
        <w:tc>
          <w:tcPr>
            <w:tcW w:type="dxa" w:w="1584"/>
            <w:shd w:val="clear" w:color="auto" w:fill="EAF0F7"/>
          </w:tcPr>
          <w:p>
            <w:pPr>
              <w:spacing w:after="40" w:line="240" w:lineRule="auto"/>
            </w:pPr>
            <w:r>
              <w:rPr>
                <w:b/>
                <w:sz w:val="18"/>
              </w:rPr>
              <w:t>20. Demand Volume Distribution</w:t>
            </w:r>
          </w:p>
        </w:tc>
        <w:tc>
          <w:tcPr>
            <w:tcW w:type="dxa" w:w="1944"/>
            <w:shd w:val="clear" w:color="auto" w:fill="EAF0F7"/>
          </w:tcPr>
          <w:p>
            <w:pPr>
              <w:spacing w:after="40" w:line="240" w:lineRule="auto"/>
            </w:pPr>
            <w:r>
              <w:rPr>
                <w:sz w:val="18"/>
              </w:rPr>
              <w:t>Each meal period's transaction count as a proportion of daily total transactions</w:t>
            </w:r>
          </w:p>
        </w:tc>
        <w:tc>
          <w:tcPr>
            <w:tcW w:type="dxa" w:w="1728"/>
            <w:shd w:val="clear" w:color="auto" w:fill="EAF0F7"/>
          </w:tcPr>
          <w:p>
            <w:pPr>
              <w:spacing w:after="40" w:line="240" w:lineRule="auto"/>
            </w:pPr>
            <w:r>
              <w:rPr>
                <w:sz w:val="18"/>
              </w:rPr>
              <w:t>Period Items Sold ÷ Total Daily Items Sold × 100</w:t>
            </w:r>
          </w:p>
        </w:tc>
        <w:tc>
          <w:tcPr>
            <w:tcW w:type="dxa" w:w="2160"/>
            <w:shd w:val="clear" w:color="auto" w:fill="EAF0F7"/>
          </w:tcPr>
          <w:p>
            <w:pPr>
              <w:spacing w:after="40" w:line="240" w:lineRule="auto"/>
            </w:pPr>
            <w:r>
              <w:rPr>
                <w:sz w:val="18"/>
              </w:rPr>
              <w:t>Breakfast 23.8% (604); Lunch 37.1% (941); Dinner 39.1% (992)</w:t>
            </w:r>
          </w:p>
        </w:tc>
        <w:tc>
          <w:tcPr>
            <w:tcW w:type="dxa" w:w="1944"/>
            <w:shd w:val="clear" w:color="auto" w:fill="EAF0F7"/>
          </w:tcPr>
          <w:p>
            <w:pPr>
              <w:spacing w:after="40" w:line="240" w:lineRule="auto"/>
            </w:pPr>
            <w:r>
              <w:rPr>
                <w:sz w:val="18"/>
              </w:rPr>
              <w:t>Establishes the intraday demand curve; used to right-size staffing, kitchen production, and inventory drawdown by period</w:t>
            </w:r>
          </w:p>
        </w:tc>
      </w:tr>
      <w:tr>
        <w:trPr>
          <w:cantSplit w:val="true"/>
        </w:trPr>
        <w:tc>
          <w:tcPr>
            <w:tcW w:type="dxa" w:w="1584"/>
          </w:tcPr>
          <w:p>
            <w:pPr>
              <w:spacing w:after="40" w:line="240" w:lineRule="auto"/>
            </w:pPr>
            <w:r>
              <w:rPr>
                <w:b/>
                <w:sz w:val="18"/>
              </w:rPr>
              <w:t>21. Control Count Discrepancy</w:t>
            </w:r>
          </w:p>
        </w:tc>
        <w:tc>
          <w:tcPr>
            <w:tcW w:type="dxa" w:w="1944"/>
          </w:tcPr>
          <w:p>
            <w:pPr>
              <w:spacing w:after="40" w:line="240" w:lineRule="auto"/>
            </w:pPr>
            <w:r>
              <w:rPr>
                <w:sz w:val="18"/>
              </w:rPr>
              <w:t>Difference between POS-recorded items sold and the independent control count for the same period; flags potential transaction recording errors</w:t>
            </w:r>
          </w:p>
        </w:tc>
        <w:tc>
          <w:tcPr>
            <w:tcW w:type="dxa" w:w="1728"/>
          </w:tcPr>
          <w:p>
            <w:pPr>
              <w:spacing w:after="40" w:line="240" w:lineRule="auto"/>
            </w:pPr>
            <w:r>
              <w:rPr>
                <w:sz w:val="18"/>
              </w:rPr>
              <w:t>Items Sold − Control Count</w:t>
            </w:r>
          </w:p>
        </w:tc>
        <w:tc>
          <w:tcPr>
            <w:tcW w:type="dxa" w:w="2160"/>
          </w:tcPr>
          <w:p>
            <w:pPr>
              <w:spacing w:after="40" w:line="240" w:lineRule="auto"/>
            </w:pPr>
            <w:r>
              <w:rPr>
                <w:sz w:val="18"/>
              </w:rPr>
              <w:t>Breakfast 0 (604 − 604); Lunch +4 (941 − 937); Dinner 0 (992 − 992); Total +4 (2,537 − 2,533)</w:t>
            </w:r>
          </w:p>
        </w:tc>
        <w:tc>
          <w:tcPr>
            <w:tcW w:type="dxa" w:w="1944"/>
          </w:tcPr>
          <w:p>
            <w:pPr>
              <w:spacing w:after="40" w:line="240" w:lineRule="auto"/>
            </w:pPr>
            <w:r>
              <w:rPr>
                <w:sz w:val="18"/>
              </w:rPr>
              <w:t>Data integrity check on POS records; small discrepancies are normal; large or recurring discrepancies indicate recording issues</w:t>
            </w:r>
          </w:p>
        </w:tc>
      </w:tr>
    </w:tbl>
    <w:p>
      <w:pPr>
        <w:pStyle w:val="Heading1"/>
        <w:pageBreakBefore/>
      </w:pPr>
      <w:r>
        <w:t>Section 4 — Forecasting and Model Performance Indices (Target Metrics for Phase I)</w:t>
      </w:r>
    </w:p>
    <w:p>
      <w:r>
        <w:rPr>
          <w:b/>
        </w:rPr>
        <w:t xml:space="preserve">Note: </w:t>
      </w:r>
      <w:r>
        <w:rPr>
          <w:i/>
        </w:rPr>
        <w:t>The following indices are the target performance metrics for the predictive analytics system to be built in Phase I of the NIW project. Baselines will be established from historical data; post-deployment actuals will be compared against these baselines to quantify impact.</w:t>
      </w:r>
    </w:p>
    <w:tbl>
      <w:tblPr>
        <w:tblStyle w:val="TableGrid"/>
        <w:tblW w:type="auto" w:w="0"/>
        <w:jc w:val="center"/>
        <w:tblLayout w:type="fixed"/>
        <w:tblLook w:firstColumn="1" w:firstRow="1" w:lastColumn="0" w:lastRow="0" w:noHBand="0" w:noVBand="1" w:val="04A0"/>
      </w:tblPr>
      <w:tblGrid>
        <w:gridCol w:w="1584"/>
        <w:gridCol w:w="1944"/>
        <w:gridCol w:w="1728"/>
        <w:gridCol w:w="2160"/>
        <w:gridCol w:w="1944"/>
      </w:tblGrid>
      <w:tr>
        <w:trPr>
          <w:cantSplit/>
          <w:tblHeader w:val="true"/>
        </w:trPr>
        <w:tc>
          <w:tcPr>
            <w:tcW w:type="dxa" w:w="1584"/>
            <w:shd w:val="clear" w:color="auto" w:fill="1F3A5F"/>
          </w:tcPr>
          <w:p>
            <w:pPr>
              <w:spacing w:after="40" w:line="240" w:lineRule="auto"/>
            </w:pPr>
            <w:r/>
            <w:r>
              <w:rPr>
                <w:b/>
                <w:color w:val="FFFFFF"/>
                <w:sz w:val="19"/>
              </w:rPr>
              <w:t>Index Name</w:t>
            </w:r>
          </w:p>
        </w:tc>
        <w:tc>
          <w:tcPr>
            <w:tcW w:type="dxa" w:w="1944"/>
            <w:shd w:val="clear" w:color="auto" w:fill="1F3A5F"/>
          </w:tcPr>
          <w:p>
            <w:pPr>
              <w:spacing w:after="40" w:line="240" w:lineRule="auto"/>
            </w:pPr>
            <w:r/>
            <w:r>
              <w:rPr>
                <w:b/>
                <w:color w:val="FFFFFF"/>
                <w:sz w:val="19"/>
              </w:rPr>
              <w:t>Definition</w:t>
            </w:r>
          </w:p>
        </w:tc>
        <w:tc>
          <w:tcPr>
            <w:tcW w:type="dxa" w:w="1728"/>
            <w:shd w:val="clear" w:color="auto" w:fill="1F3A5F"/>
          </w:tcPr>
          <w:p>
            <w:pPr>
              <w:spacing w:after="40" w:line="240" w:lineRule="auto"/>
            </w:pPr>
            <w:r/>
            <w:r>
              <w:rPr>
                <w:b/>
                <w:color w:val="FFFFFF"/>
                <w:sz w:val="19"/>
              </w:rPr>
              <w:t>Formula / Derivation</w:t>
            </w:r>
          </w:p>
        </w:tc>
        <w:tc>
          <w:tcPr>
            <w:tcW w:type="dxa" w:w="2160"/>
            <w:shd w:val="clear" w:color="auto" w:fill="1F3A5F"/>
          </w:tcPr>
          <w:p>
            <w:pPr>
              <w:spacing w:after="40" w:line="240" w:lineRule="auto"/>
            </w:pPr>
            <w:r/>
            <w:r>
              <w:rPr>
                <w:b/>
                <w:color w:val="FFFFFF"/>
                <w:sz w:val="19"/>
              </w:rPr>
              <w:t>SLU Value(s)</w:t>
            </w:r>
          </w:p>
        </w:tc>
        <w:tc>
          <w:tcPr>
            <w:tcW w:type="dxa" w:w="1944"/>
            <w:shd w:val="clear" w:color="auto" w:fill="1F3A5F"/>
          </w:tcPr>
          <w:p>
            <w:pPr>
              <w:spacing w:after="40" w:line="240" w:lineRule="auto"/>
            </w:pPr>
            <w:r/>
            <w:r>
              <w:rPr>
                <w:b/>
                <w:color w:val="FFFFFF"/>
                <w:sz w:val="19"/>
              </w:rPr>
              <w:t>Purpose in Analysis</w:t>
            </w:r>
          </w:p>
        </w:tc>
      </w:tr>
      <w:tr>
        <w:trPr>
          <w:cantSplit w:val="true"/>
        </w:trPr>
        <w:tc>
          <w:tcPr>
            <w:tcW w:type="dxa" w:w="1584"/>
          </w:tcPr>
          <w:p>
            <w:pPr>
              <w:spacing w:after="40" w:line="240" w:lineRule="auto"/>
            </w:pPr>
            <w:r>
              <w:rPr>
                <w:b/>
                <w:sz w:val="18"/>
              </w:rPr>
              <w:t>22. Mean Absolute Percentage Error (MAPE)</w:t>
            </w:r>
          </w:p>
        </w:tc>
        <w:tc>
          <w:tcPr>
            <w:tcW w:type="dxa" w:w="1944"/>
          </w:tcPr>
          <w:p>
            <w:pPr>
              <w:spacing w:after="40" w:line="240" w:lineRule="auto"/>
            </w:pPr>
            <w:r>
              <w:rPr>
                <w:sz w:val="18"/>
              </w:rPr>
              <w:t>The average absolute percentage difference between forecast values and actual values; the primary accuracy metric for demand forecasting models</w:t>
            </w:r>
          </w:p>
        </w:tc>
        <w:tc>
          <w:tcPr>
            <w:tcW w:type="dxa" w:w="1728"/>
          </w:tcPr>
          <w:p>
            <w:pPr>
              <w:spacing w:after="40" w:line="240" w:lineRule="auto"/>
            </w:pPr>
            <w:r>
              <w:rPr>
                <w:sz w:val="18"/>
              </w:rPr>
              <w:t>MAPE = (1/n) × Σ |Actual − Forecast| ÷ Actual × 100</w:t>
            </w:r>
          </w:p>
        </w:tc>
        <w:tc>
          <w:tcPr>
            <w:tcW w:type="dxa" w:w="2160"/>
          </w:tcPr>
          <w:p>
            <w:pPr>
              <w:spacing w:after="40" w:line="240" w:lineRule="auto"/>
            </w:pPr>
            <w:r>
              <w:rPr>
                <w:sz w:val="18"/>
              </w:rPr>
              <w:t>Not yet computed (requires 24-month daily history); benchmark for institutional demand forecasting: MAPE &lt; 10% strong, &lt; 15% acceptable</w:t>
            </w:r>
          </w:p>
        </w:tc>
        <w:tc>
          <w:tcPr>
            <w:tcW w:type="dxa" w:w="1944"/>
          </w:tcPr>
          <w:p>
            <w:pPr>
              <w:spacing w:after="40" w:line="240" w:lineRule="auto"/>
            </w:pPr>
            <w:r>
              <w:rPr>
                <w:sz w:val="18"/>
              </w:rPr>
              <w:t>Primary NIW validation metric; quantifies how much more accurately the model forecasts demand versus the current manual ordering process</w:t>
            </w:r>
          </w:p>
        </w:tc>
      </w:tr>
      <w:tr>
        <w:trPr>
          <w:cantSplit w:val="true"/>
        </w:trPr>
        <w:tc>
          <w:tcPr>
            <w:tcW w:type="dxa" w:w="1584"/>
            <w:shd w:val="clear" w:color="auto" w:fill="EAF0F7"/>
          </w:tcPr>
          <w:p>
            <w:pPr>
              <w:spacing w:after="40" w:line="240" w:lineRule="auto"/>
            </w:pPr>
            <w:r>
              <w:rPr>
                <w:b/>
                <w:sz w:val="18"/>
              </w:rPr>
              <w:t>23. Root Mean Square Error (RMSE)</w:t>
            </w:r>
          </w:p>
        </w:tc>
        <w:tc>
          <w:tcPr>
            <w:tcW w:type="dxa" w:w="1944"/>
            <w:shd w:val="clear" w:color="auto" w:fill="EAF0F7"/>
          </w:tcPr>
          <w:p>
            <w:pPr>
              <w:spacing w:after="40" w:line="240" w:lineRule="auto"/>
            </w:pPr>
            <w:r>
              <w:rPr>
                <w:sz w:val="18"/>
              </w:rPr>
              <w:t>The square root of the mean squared forecast errors; gives higher weight to large errors than MAPE; used alongside MAPE for full error characterization</w:t>
            </w:r>
          </w:p>
        </w:tc>
        <w:tc>
          <w:tcPr>
            <w:tcW w:type="dxa" w:w="1728"/>
            <w:shd w:val="clear" w:color="auto" w:fill="EAF0F7"/>
          </w:tcPr>
          <w:p>
            <w:pPr>
              <w:spacing w:after="40" w:line="240" w:lineRule="auto"/>
            </w:pPr>
            <w:r>
              <w:rPr>
                <w:sz w:val="18"/>
              </w:rPr>
              <w:t>RMSE = √[ (1/n) × Σ (Actual − Forecast)² ]</w:t>
            </w:r>
          </w:p>
        </w:tc>
        <w:tc>
          <w:tcPr>
            <w:tcW w:type="dxa" w:w="2160"/>
            <w:shd w:val="clear" w:color="auto" w:fill="EAF0F7"/>
          </w:tcPr>
          <w:p>
            <w:pPr>
              <w:spacing w:after="40" w:line="240" w:lineRule="auto"/>
            </w:pPr>
            <w:r>
              <w:rPr>
                <w:sz w:val="18"/>
              </w:rPr>
              <w:t>To be computed post-model development (Stage 5 of NIW Phase I plan)</w:t>
            </w:r>
          </w:p>
        </w:tc>
        <w:tc>
          <w:tcPr>
            <w:tcW w:type="dxa" w:w="1944"/>
            <w:shd w:val="clear" w:color="auto" w:fill="EAF0F7"/>
          </w:tcPr>
          <w:p>
            <w:pPr>
              <w:spacing w:after="40" w:line="240" w:lineRule="auto"/>
            </w:pPr>
            <w:r>
              <w:rPr>
                <w:sz w:val="18"/>
              </w:rPr>
              <w:t>Secondary validation metric; particularly important for catching large mis-forecasts that MAPE can underweight</w:t>
            </w:r>
          </w:p>
        </w:tc>
      </w:tr>
      <w:tr>
        <w:trPr>
          <w:cantSplit w:val="true"/>
        </w:trPr>
        <w:tc>
          <w:tcPr>
            <w:tcW w:type="dxa" w:w="1584"/>
          </w:tcPr>
          <w:p>
            <w:pPr>
              <w:spacing w:after="40" w:line="240" w:lineRule="auto"/>
            </w:pPr>
            <w:r>
              <w:rPr>
                <w:b/>
                <w:sz w:val="18"/>
              </w:rPr>
              <w:t>24. Forecast Bias</w:t>
            </w:r>
          </w:p>
        </w:tc>
        <w:tc>
          <w:tcPr>
            <w:tcW w:type="dxa" w:w="1944"/>
          </w:tcPr>
          <w:p>
            <w:pPr>
              <w:spacing w:after="40" w:line="240" w:lineRule="auto"/>
            </w:pPr>
            <w:r>
              <w:rPr>
                <w:sz w:val="18"/>
              </w:rPr>
              <w:t>The mean signed difference between forecast and actual values; indicates whether the model systematically over-predicts or under-predicts demand</w:t>
            </w:r>
          </w:p>
        </w:tc>
        <w:tc>
          <w:tcPr>
            <w:tcW w:type="dxa" w:w="1728"/>
          </w:tcPr>
          <w:p>
            <w:pPr>
              <w:spacing w:after="40" w:line="240" w:lineRule="auto"/>
            </w:pPr>
            <w:r>
              <w:rPr>
                <w:sz w:val="18"/>
              </w:rPr>
              <w:t>Bias = (1/n) × Σ (Forecast − Actual)</w:t>
            </w:r>
          </w:p>
        </w:tc>
        <w:tc>
          <w:tcPr>
            <w:tcW w:type="dxa" w:w="2160"/>
          </w:tcPr>
          <w:p>
            <w:pPr>
              <w:spacing w:after="40" w:line="240" w:lineRule="auto"/>
            </w:pPr>
            <w:r>
              <w:rPr>
                <w:sz w:val="18"/>
              </w:rPr>
              <w:t>Target = 0 (unbiased); positive bias = systematic over-ordering; negative bias = stock-out risk</w:t>
            </w:r>
          </w:p>
        </w:tc>
        <w:tc>
          <w:tcPr>
            <w:tcW w:type="dxa" w:w="1944"/>
          </w:tcPr>
          <w:p>
            <w:pPr>
              <w:spacing w:after="40" w:line="240" w:lineRule="auto"/>
            </w:pPr>
            <w:r>
              <w:rPr>
                <w:sz w:val="18"/>
              </w:rPr>
              <w:t>Distinguishes random error from systematic directional error in forecasting; critical for procurement alignment</w:t>
            </w:r>
          </w:p>
        </w:tc>
      </w:tr>
      <w:tr>
        <w:trPr>
          <w:cantSplit w:val="true"/>
        </w:trPr>
        <w:tc>
          <w:tcPr>
            <w:tcW w:type="dxa" w:w="1584"/>
            <w:shd w:val="clear" w:color="auto" w:fill="EAF0F7"/>
          </w:tcPr>
          <w:p>
            <w:pPr>
              <w:spacing w:after="40" w:line="240" w:lineRule="auto"/>
            </w:pPr>
            <w:r>
              <w:rPr>
                <w:b/>
                <w:sz w:val="18"/>
              </w:rPr>
              <w:t>25. Inventory-to-Sales Ratio (ISR)</w:t>
            </w:r>
          </w:p>
        </w:tc>
        <w:tc>
          <w:tcPr>
            <w:tcW w:type="dxa" w:w="1944"/>
            <w:shd w:val="clear" w:color="auto" w:fill="EAF0F7"/>
          </w:tcPr>
          <w:p>
            <w:pPr>
              <w:spacing w:after="40" w:line="240" w:lineRule="auto"/>
            </w:pPr>
            <w:r>
              <w:rPr>
                <w:sz w:val="18"/>
              </w:rPr>
              <w:t>On-hand inventory value divided by weekly sales or revenue; indicates how many weeks of sales are covered by current stock</w:t>
            </w:r>
          </w:p>
        </w:tc>
        <w:tc>
          <w:tcPr>
            <w:tcW w:type="dxa" w:w="1728"/>
            <w:shd w:val="clear" w:color="auto" w:fill="EAF0F7"/>
          </w:tcPr>
          <w:p>
            <w:pPr>
              <w:spacing w:after="40" w:line="240" w:lineRule="auto"/>
            </w:pPr>
            <w:r>
              <w:rPr>
                <w:sz w:val="18"/>
              </w:rPr>
              <w:t>On-Hand Inventory ÷ Average Weekly Revenue</w:t>
            </w:r>
          </w:p>
        </w:tc>
        <w:tc>
          <w:tcPr>
            <w:tcW w:type="dxa" w:w="2160"/>
            <w:shd w:val="clear" w:color="auto" w:fill="EAF0F7"/>
          </w:tcPr>
          <w:p>
            <w:pPr>
              <w:spacing w:after="40" w:line="240" w:lineRule="auto"/>
            </w:pPr>
            <w:r>
              <w:rPr>
                <w:sz w:val="18"/>
              </w:rPr>
              <w:t>Illustrative — sales data pending full integration: Grand Dining inventory $37,311.63 ÷ weekly swipe-equivalent revenue; Starbucks $29,045.65 ÷ weekly sales (to be computed from POS history)</w:t>
            </w:r>
          </w:p>
        </w:tc>
        <w:tc>
          <w:tcPr>
            <w:tcW w:type="dxa" w:w="1944"/>
            <w:shd w:val="clear" w:color="auto" w:fill="EAF0F7"/>
          </w:tcPr>
          <w:p>
            <w:pPr>
              <w:spacing w:after="40" w:line="240" w:lineRule="auto"/>
            </w:pPr>
            <w:r>
              <w:rPr>
                <w:sz w:val="18"/>
              </w:rPr>
              <w:t>Operational efficiency metric; high ISR indicates over-stocking relative to demand; target ISR varies by category (perishables 0.5–1.0 weeks; dry goods 1–2 weeks)</w:t>
            </w:r>
          </w:p>
        </w:tc>
      </w:tr>
      <w:tr>
        <w:trPr>
          <w:cantSplit w:val="true"/>
        </w:trPr>
        <w:tc>
          <w:tcPr>
            <w:tcW w:type="dxa" w:w="1584"/>
          </w:tcPr>
          <w:p>
            <w:pPr>
              <w:spacing w:after="40" w:line="240" w:lineRule="auto"/>
            </w:pPr>
            <w:r>
              <w:rPr>
                <w:b/>
                <w:sz w:val="18"/>
              </w:rPr>
              <w:t>26. Stock-Out Rate</w:t>
            </w:r>
          </w:p>
        </w:tc>
        <w:tc>
          <w:tcPr>
            <w:tcW w:type="dxa" w:w="1944"/>
          </w:tcPr>
          <w:p>
            <w:pPr>
              <w:spacing w:after="40" w:line="240" w:lineRule="auto"/>
            </w:pPr>
            <w:r>
              <w:rPr>
                <w:sz w:val="18"/>
              </w:rPr>
              <w:t>The proportion of service periods (meal periods or ordering cycles) where one or more required items were unavailable at time of service</w:t>
            </w:r>
          </w:p>
        </w:tc>
        <w:tc>
          <w:tcPr>
            <w:tcW w:type="dxa" w:w="1728"/>
          </w:tcPr>
          <w:p>
            <w:pPr>
              <w:spacing w:after="40" w:line="240" w:lineRule="auto"/>
            </w:pPr>
            <w:r>
              <w:rPr>
                <w:sz w:val="18"/>
              </w:rPr>
              <w:t>Stock-Out Events ÷ Total Service Periods × 100</w:t>
            </w:r>
          </w:p>
        </w:tc>
        <w:tc>
          <w:tcPr>
            <w:tcW w:type="dxa" w:w="2160"/>
          </w:tcPr>
          <w:p>
            <w:pPr>
              <w:spacing w:after="40" w:line="240" w:lineRule="auto"/>
            </w:pPr>
            <w:r>
              <w:rPr>
                <w:sz w:val="18"/>
              </w:rPr>
              <w:t>Not currently tracked (no stock-out log maintained); establishing this baseline is a Recommendation 5 prerequisite</w:t>
            </w:r>
          </w:p>
        </w:tc>
        <w:tc>
          <w:tcPr>
            <w:tcW w:type="dxa" w:w="1944"/>
          </w:tcPr>
          <w:p>
            <w:pPr>
              <w:spacing w:after="40" w:line="240" w:lineRule="auto"/>
            </w:pPr>
            <w:r>
              <w:rPr>
                <w:sz w:val="18"/>
              </w:rPr>
              <w:t>Service reliability metric; post-deployment reduction in stock-out rate is a key NIW impact measure</w:t>
            </w:r>
          </w:p>
        </w:tc>
      </w:tr>
      <w:tr>
        <w:trPr>
          <w:cantSplit w:val="true"/>
        </w:trPr>
        <w:tc>
          <w:tcPr>
            <w:tcW w:type="dxa" w:w="1584"/>
            <w:shd w:val="clear" w:color="auto" w:fill="EAF0F7"/>
          </w:tcPr>
          <w:p>
            <w:pPr>
              <w:spacing w:after="40" w:line="240" w:lineRule="auto"/>
            </w:pPr>
            <w:r>
              <w:rPr>
                <w:b/>
                <w:sz w:val="18"/>
              </w:rPr>
              <w:t>27. Procurement Cost Variance</w:t>
            </w:r>
          </w:p>
        </w:tc>
        <w:tc>
          <w:tcPr>
            <w:tcW w:type="dxa" w:w="1944"/>
            <w:shd w:val="clear" w:color="auto" w:fill="EAF0F7"/>
          </w:tcPr>
          <w:p>
            <w:pPr>
              <w:spacing w:after="40" w:line="240" w:lineRule="auto"/>
            </w:pPr>
            <w:r>
              <w:rPr>
                <w:sz w:val="18"/>
              </w:rPr>
              <w:t>The difference between actual procurement spend and model-recommended procurement spend for a given ordering period</w:t>
            </w:r>
          </w:p>
        </w:tc>
        <w:tc>
          <w:tcPr>
            <w:tcW w:type="dxa" w:w="1728"/>
            <w:shd w:val="clear" w:color="auto" w:fill="EAF0F7"/>
          </w:tcPr>
          <w:p>
            <w:pPr>
              <w:spacing w:after="40" w:line="240" w:lineRule="auto"/>
            </w:pPr>
            <w:r>
              <w:rPr>
                <w:sz w:val="18"/>
              </w:rPr>
              <w:t>Actual Order Cost − Model-Recommended Order Cost</w:t>
            </w:r>
          </w:p>
        </w:tc>
        <w:tc>
          <w:tcPr>
            <w:tcW w:type="dxa" w:w="2160"/>
            <w:shd w:val="clear" w:color="auto" w:fill="EAF0F7"/>
          </w:tcPr>
          <w:p>
            <w:pPr>
              <w:spacing w:after="40" w:line="240" w:lineRule="auto"/>
            </w:pPr>
            <w:r>
              <w:rPr>
                <w:sz w:val="18"/>
              </w:rPr>
              <w:t>Cannot be computed until PAR levels are set and order quantities are logged (currently 0% completion); target post-implementation: 10–20% reduction in over-ordering cost</w:t>
            </w:r>
          </w:p>
        </w:tc>
        <w:tc>
          <w:tcPr>
            <w:tcW w:type="dxa" w:w="1944"/>
            <w:shd w:val="clear" w:color="auto" w:fill="EAF0F7"/>
          </w:tcPr>
          <w:p>
            <w:pPr>
              <w:spacing w:after="40" w:line="240" w:lineRule="auto"/>
            </w:pPr>
            <w:r>
              <w:rPr>
                <w:sz w:val="18"/>
              </w:rPr>
              <w:t>Financial impact metric; cumulative procurement cost savings are a primary NIW quantitative benefit measure</w:t>
            </w:r>
          </w:p>
        </w:tc>
      </w:tr>
    </w:tbl>
    <w:p>
      <w:pPr>
        <w:pStyle w:val="Heading1"/>
        <w:pageBreakBefore/>
      </w:pPr>
      <w:r>
        <w:t>Section 5 — Supply Chain Indices</w:t>
      </w:r>
    </w:p>
    <w:tbl>
      <w:tblPr>
        <w:tblStyle w:val="TableGrid"/>
        <w:tblW w:type="auto" w:w="0"/>
        <w:jc w:val="center"/>
        <w:tblLayout w:type="fixed"/>
        <w:tblLook w:firstColumn="1" w:firstRow="1" w:lastColumn="0" w:lastRow="0" w:noHBand="0" w:noVBand="1" w:val="04A0"/>
      </w:tblPr>
      <w:tblGrid>
        <w:gridCol w:w="1584"/>
        <w:gridCol w:w="1944"/>
        <w:gridCol w:w="1728"/>
        <w:gridCol w:w="2160"/>
        <w:gridCol w:w="1944"/>
      </w:tblGrid>
      <w:tr>
        <w:trPr>
          <w:cantSplit/>
          <w:tblHeader w:val="true"/>
        </w:trPr>
        <w:tc>
          <w:tcPr>
            <w:tcW w:type="dxa" w:w="1584"/>
            <w:shd w:val="clear" w:color="auto" w:fill="1F3A5F"/>
          </w:tcPr>
          <w:p>
            <w:pPr>
              <w:spacing w:after="40" w:line="240" w:lineRule="auto"/>
            </w:pPr>
            <w:r/>
            <w:r>
              <w:rPr>
                <w:b/>
                <w:color w:val="FFFFFF"/>
                <w:sz w:val="19"/>
              </w:rPr>
              <w:t>Index Name</w:t>
            </w:r>
          </w:p>
        </w:tc>
        <w:tc>
          <w:tcPr>
            <w:tcW w:type="dxa" w:w="1944"/>
            <w:shd w:val="clear" w:color="auto" w:fill="1F3A5F"/>
          </w:tcPr>
          <w:p>
            <w:pPr>
              <w:spacing w:after="40" w:line="240" w:lineRule="auto"/>
            </w:pPr>
            <w:r/>
            <w:r>
              <w:rPr>
                <w:b/>
                <w:color w:val="FFFFFF"/>
                <w:sz w:val="19"/>
              </w:rPr>
              <w:t>Definition</w:t>
            </w:r>
          </w:p>
        </w:tc>
        <w:tc>
          <w:tcPr>
            <w:tcW w:type="dxa" w:w="1728"/>
            <w:shd w:val="clear" w:color="auto" w:fill="1F3A5F"/>
          </w:tcPr>
          <w:p>
            <w:pPr>
              <w:spacing w:after="40" w:line="240" w:lineRule="auto"/>
            </w:pPr>
            <w:r/>
            <w:r>
              <w:rPr>
                <w:b/>
                <w:color w:val="FFFFFF"/>
                <w:sz w:val="19"/>
              </w:rPr>
              <w:t>Formula / Derivation</w:t>
            </w:r>
          </w:p>
        </w:tc>
        <w:tc>
          <w:tcPr>
            <w:tcW w:type="dxa" w:w="2160"/>
            <w:shd w:val="clear" w:color="auto" w:fill="1F3A5F"/>
          </w:tcPr>
          <w:p>
            <w:pPr>
              <w:spacing w:after="40" w:line="240" w:lineRule="auto"/>
            </w:pPr>
            <w:r/>
            <w:r>
              <w:rPr>
                <w:b/>
                <w:color w:val="FFFFFF"/>
                <w:sz w:val="19"/>
              </w:rPr>
              <w:t>SLU Value(s)</w:t>
            </w:r>
          </w:p>
        </w:tc>
        <w:tc>
          <w:tcPr>
            <w:tcW w:type="dxa" w:w="1944"/>
            <w:shd w:val="clear" w:color="auto" w:fill="1F3A5F"/>
          </w:tcPr>
          <w:p>
            <w:pPr>
              <w:spacing w:after="40" w:line="240" w:lineRule="auto"/>
            </w:pPr>
            <w:r/>
            <w:r>
              <w:rPr>
                <w:b/>
                <w:color w:val="FFFFFF"/>
                <w:sz w:val="19"/>
              </w:rPr>
              <w:t>Purpose in Analysis</w:t>
            </w:r>
          </w:p>
        </w:tc>
      </w:tr>
      <w:tr>
        <w:trPr>
          <w:cantSplit w:val="true"/>
        </w:trPr>
        <w:tc>
          <w:tcPr>
            <w:tcW w:type="dxa" w:w="1584"/>
          </w:tcPr>
          <w:p>
            <w:pPr>
              <w:spacing w:after="40" w:line="240" w:lineRule="auto"/>
            </w:pPr>
            <w:r>
              <w:rPr>
                <w:b/>
                <w:sz w:val="18"/>
              </w:rPr>
              <w:t>28. Vendor Concentration Index</w:t>
            </w:r>
          </w:p>
        </w:tc>
        <w:tc>
          <w:tcPr>
            <w:tcW w:type="dxa" w:w="1944"/>
          </w:tcPr>
          <w:p>
            <w:pPr>
              <w:spacing w:after="40" w:line="240" w:lineRule="auto"/>
            </w:pPr>
            <w:r>
              <w:rPr>
                <w:sz w:val="18"/>
              </w:rPr>
              <w:t>The number of distinct vendors supplying the operation; lower numbers indicate higher concentration risk</w:t>
            </w:r>
          </w:p>
        </w:tc>
        <w:tc>
          <w:tcPr>
            <w:tcW w:type="dxa" w:w="1728"/>
          </w:tcPr>
          <w:p>
            <w:pPr>
              <w:spacing w:after="40" w:line="240" w:lineRule="auto"/>
            </w:pPr>
            <w:r>
              <w:rPr>
                <w:sz w:val="18"/>
              </w:rPr>
              <w:t>Count of unique supply partners</w:t>
            </w:r>
          </w:p>
        </w:tc>
        <w:tc>
          <w:tcPr>
            <w:tcW w:type="dxa" w:w="2160"/>
          </w:tcPr>
          <w:p>
            <w:pPr>
              <w:spacing w:after="40" w:line="240" w:lineRule="auto"/>
            </w:pPr>
            <w:r>
              <w:rPr>
                <w:sz w:val="18"/>
              </w:rPr>
              <w:t>6 vendors (Ole Tyme Produce, Ecolab, Baker's Pride, Sysco, Fortune Fish, Prairie Farms); Sysco supplies all groceries, canned goods, dry goods, and meats — single-vendor concentration for the majority of food categories</w:t>
            </w:r>
          </w:p>
        </w:tc>
        <w:tc>
          <w:tcPr>
            <w:tcW w:type="dxa" w:w="1944"/>
          </w:tcPr>
          <w:p>
            <w:pPr>
              <w:spacing w:after="40" w:line="240" w:lineRule="auto"/>
            </w:pPr>
            <w:r>
              <w:rPr>
                <w:sz w:val="18"/>
              </w:rPr>
              <w:t>Supply-chain resilience assessment; high dependence on a single vendor (Sysco) creates disruption risk if that vendor experiences supply interruptions</w:t>
            </w:r>
          </w:p>
        </w:tc>
      </w:tr>
      <w:tr>
        <w:trPr>
          <w:cantSplit w:val="true"/>
        </w:trPr>
        <w:tc>
          <w:tcPr>
            <w:tcW w:type="dxa" w:w="1584"/>
            <w:shd w:val="clear" w:color="auto" w:fill="EAF0F7"/>
          </w:tcPr>
          <w:p>
            <w:pPr>
              <w:spacing w:after="40" w:line="240" w:lineRule="auto"/>
            </w:pPr>
            <w:r>
              <w:rPr>
                <w:b/>
                <w:sz w:val="18"/>
              </w:rPr>
              <w:t>29. Procurement Template Coverage Rate</w:t>
            </w:r>
          </w:p>
        </w:tc>
        <w:tc>
          <w:tcPr>
            <w:tcW w:type="dxa" w:w="1944"/>
            <w:shd w:val="clear" w:color="auto" w:fill="EAF0F7"/>
          </w:tcPr>
          <w:p>
            <w:pPr>
              <w:spacing w:after="40" w:line="240" w:lineRule="auto"/>
            </w:pPr>
            <w:r>
              <w:rPr>
                <w:sz w:val="18"/>
              </w:rPr>
              <w:t>Proportion of active menu items/ingredients that appear in formal procurement templates</w:t>
            </w:r>
          </w:p>
        </w:tc>
        <w:tc>
          <w:tcPr>
            <w:tcW w:type="dxa" w:w="1728"/>
            <w:shd w:val="clear" w:color="auto" w:fill="EAF0F7"/>
          </w:tcPr>
          <w:p>
            <w:pPr>
              <w:spacing w:after="40" w:line="240" w:lineRule="auto"/>
            </w:pPr>
            <w:r>
              <w:rPr>
                <w:sz w:val="18"/>
              </w:rPr>
              <w:t>Items in Templates ÷ Total Active Menu Items × 100</w:t>
            </w:r>
          </w:p>
        </w:tc>
        <w:tc>
          <w:tcPr>
            <w:tcW w:type="dxa" w:w="2160"/>
            <w:shd w:val="clear" w:color="auto" w:fill="EAF0F7"/>
          </w:tcPr>
          <w:p>
            <w:pPr>
              <w:spacing w:after="40" w:line="240" w:lineRule="auto"/>
            </w:pPr>
            <w:r>
              <w:rPr>
                <w:sz w:val="18"/>
              </w:rPr>
              <w:t>409 items in templates vs. 3,663 unique catalog codes ≈ 11% of catalog by count (templates cover primary operational items, not all catalog SKUs)</w:t>
            </w:r>
          </w:p>
        </w:tc>
        <w:tc>
          <w:tcPr>
            <w:tcW w:type="dxa" w:w="1944"/>
            <w:shd w:val="clear" w:color="auto" w:fill="EAF0F7"/>
          </w:tcPr>
          <w:p>
            <w:pPr>
              <w:spacing w:after="40" w:line="240" w:lineRule="auto"/>
            </w:pPr>
            <w:r>
              <w:rPr>
                <w:sz w:val="18"/>
              </w:rPr>
              <w:t>Identifies gaps between items ordered and items tracked in formal procurement records</w:t>
            </w:r>
          </w:p>
        </w:tc>
      </w:tr>
    </w:tbl>
    <w:p>
      <w:pPr>
        <w:pStyle w:val="Heading1"/>
        <w:pageBreakBefore/>
      </w:pPr>
      <w:r>
        <w:t>Section 6 — Summary Index Table</w:t>
      </w:r>
    </w:p>
    <w:p>
      <w:r>
        <w:t>The table below consolidates all 29 indices for quick reference, listing each index's category and its single most important SLU-specific value.</w:t>
      </w:r>
    </w:p>
    <w:tbl>
      <w:tblPr>
        <w:tblStyle w:val="TableGrid"/>
        <w:tblW w:type="auto" w:w="0"/>
        <w:jc w:val="center"/>
        <w:tblLayout w:type="fixed"/>
        <w:tblLook w:firstColumn="1" w:firstRow="1" w:lastColumn="0" w:lastRow="0" w:noHBand="0" w:noVBand="1" w:val="04A0"/>
      </w:tblPr>
      <w:tblGrid>
        <w:gridCol w:w="1007"/>
        <w:gridCol w:w="3168"/>
        <w:gridCol w:w="2304"/>
        <w:gridCol w:w="2880"/>
      </w:tblGrid>
      <w:tr>
        <w:trPr>
          <w:cantSplit/>
          <w:tblHeader w:val="true"/>
        </w:trPr>
        <w:tc>
          <w:tcPr>
            <w:tcW w:type="dxa" w:w="1008"/>
            <w:shd w:val="clear" w:color="auto" w:fill="1F3A5F"/>
          </w:tcPr>
          <w:p>
            <w:pPr>
              <w:spacing w:after="40" w:line="240" w:lineRule="auto"/>
            </w:pPr>
            <w:r/>
            <w:r>
              <w:rPr>
                <w:b/>
                <w:color w:val="FFFFFF"/>
                <w:sz w:val="20"/>
              </w:rPr>
              <w:t>Index #</w:t>
            </w:r>
          </w:p>
        </w:tc>
        <w:tc>
          <w:tcPr>
            <w:tcW w:type="dxa" w:w="3168"/>
            <w:shd w:val="clear" w:color="auto" w:fill="1F3A5F"/>
          </w:tcPr>
          <w:p>
            <w:pPr>
              <w:spacing w:after="40" w:line="240" w:lineRule="auto"/>
            </w:pPr>
            <w:r/>
            <w:r>
              <w:rPr>
                <w:b/>
                <w:color w:val="FFFFFF"/>
                <w:sz w:val="20"/>
              </w:rPr>
              <w:t>Index Name</w:t>
            </w:r>
          </w:p>
        </w:tc>
        <w:tc>
          <w:tcPr>
            <w:tcW w:type="dxa" w:w="2304"/>
            <w:shd w:val="clear" w:color="auto" w:fill="1F3A5F"/>
          </w:tcPr>
          <w:p>
            <w:pPr>
              <w:spacing w:after="40" w:line="240" w:lineRule="auto"/>
            </w:pPr>
            <w:r/>
            <w:r>
              <w:rPr>
                <w:b/>
                <w:color w:val="FFFFFF"/>
                <w:sz w:val="20"/>
              </w:rPr>
              <w:t>Category</w:t>
            </w:r>
          </w:p>
        </w:tc>
        <w:tc>
          <w:tcPr>
            <w:tcW w:type="dxa" w:w="2880"/>
            <w:shd w:val="clear" w:color="auto" w:fill="1F3A5F"/>
          </w:tcPr>
          <w:p>
            <w:pPr>
              <w:spacing w:after="40" w:line="240" w:lineRule="auto"/>
            </w:pPr>
            <w:r/>
            <w:r>
              <w:rPr>
                <w:b/>
                <w:color w:val="FFFFFF"/>
                <w:sz w:val="20"/>
              </w:rPr>
              <w:t>Key SLU Value</w:t>
            </w:r>
          </w:p>
        </w:tc>
      </w:tr>
      <w:tr>
        <w:trPr>
          <w:cantSplit w:val="true"/>
        </w:trPr>
        <w:tc>
          <w:tcPr>
            <w:tcW w:type="dxa" w:w="1008"/>
          </w:tcPr>
          <w:p>
            <w:pPr>
              <w:spacing w:after="40" w:line="240" w:lineRule="auto"/>
            </w:pPr>
            <w:r>
              <w:rPr>
                <w:b/>
                <w:sz w:val="19"/>
              </w:rPr>
              <w:t>1</w:t>
            </w:r>
          </w:p>
        </w:tc>
        <w:tc>
          <w:tcPr>
            <w:tcW w:type="dxa" w:w="3168"/>
          </w:tcPr>
          <w:p>
            <w:pPr>
              <w:spacing w:after="40" w:line="240" w:lineRule="auto"/>
            </w:pPr>
            <w:r>
              <w:rPr>
                <w:sz w:val="19"/>
              </w:rPr>
              <w:t>Total Portfolio Inventory (Latest Week)</w:t>
            </w:r>
          </w:p>
        </w:tc>
        <w:tc>
          <w:tcPr>
            <w:tcW w:type="dxa" w:w="2304"/>
          </w:tcPr>
          <w:p>
            <w:pPr>
              <w:spacing w:after="40" w:line="240" w:lineRule="auto"/>
            </w:pPr>
            <w:r>
              <w:rPr>
                <w:sz w:val="19"/>
              </w:rPr>
              <w:t>Inventory Performance</w:t>
            </w:r>
          </w:p>
        </w:tc>
        <w:tc>
          <w:tcPr>
            <w:tcW w:type="dxa" w:w="2880"/>
          </w:tcPr>
          <w:p>
            <w:pPr>
              <w:spacing w:after="40" w:line="240" w:lineRule="auto"/>
            </w:pPr>
            <w:r>
              <w:rPr>
                <w:sz w:val="19"/>
              </w:rPr>
              <w:t>$219,466.24 (11 units, W/E 10/09/2026)</w:t>
            </w:r>
          </w:p>
        </w:tc>
      </w:tr>
      <w:tr>
        <w:trPr>
          <w:cantSplit w:val="true"/>
        </w:trPr>
        <w:tc>
          <w:tcPr>
            <w:tcW w:type="dxa" w:w="1008"/>
            <w:shd w:val="clear" w:color="auto" w:fill="EAF0F7"/>
          </w:tcPr>
          <w:p>
            <w:pPr>
              <w:spacing w:after="40" w:line="240" w:lineRule="auto"/>
            </w:pPr>
            <w:r>
              <w:rPr>
                <w:b/>
                <w:sz w:val="19"/>
              </w:rPr>
              <w:t>2</w:t>
            </w:r>
          </w:p>
        </w:tc>
        <w:tc>
          <w:tcPr>
            <w:tcW w:type="dxa" w:w="3168"/>
            <w:shd w:val="clear" w:color="auto" w:fill="EAF0F7"/>
          </w:tcPr>
          <w:p>
            <w:pPr>
              <w:spacing w:after="40" w:line="240" w:lineRule="auto"/>
            </w:pPr>
            <w:r>
              <w:rPr>
                <w:sz w:val="19"/>
              </w:rPr>
              <w:t>Average Inventory per Active Unit</w:t>
            </w:r>
          </w:p>
        </w:tc>
        <w:tc>
          <w:tcPr>
            <w:tcW w:type="dxa" w:w="2304"/>
            <w:shd w:val="clear" w:color="auto" w:fill="EAF0F7"/>
          </w:tcPr>
          <w:p>
            <w:pPr>
              <w:spacing w:after="40" w:line="240" w:lineRule="auto"/>
            </w:pPr>
            <w:r>
              <w:rPr>
                <w:sz w:val="19"/>
              </w:rPr>
              <w:t>Inventory Performance</w:t>
            </w:r>
          </w:p>
        </w:tc>
        <w:tc>
          <w:tcPr>
            <w:tcW w:type="dxa" w:w="2880"/>
            <w:shd w:val="clear" w:color="auto" w:fill="EAF0F7"/>
          </w:tcPr>
          <w:p>
            <w:pPr>
              <w:spacing w:after="40" w:line="240" w:lineRule="auto"/>
            </w:pPr>
            <w:r>
              <w:rPr>
                <w:sz w:val="19"/>
              </w:rPr>
              <w:t>$19,951.48 per unit</w:t>
            </w:r>
          </w:p>
        </w:tc>
      </w:tr>
      <w:tr>
        <w:trPr>
          <w:cantSplit w:val="true"/>
        </w:trPr>
        <w:tc>
          <w:tcPr>
            <w:tcW w:type="dxa" w:w="1008"/>
          </w:tcPr>
          <w:p>
            <w:pPr>
              <w:spacing w:after="40" w:line="240" w:lineRule="auto"/>
            </w:pPr>
            <w:r>
              <w:rPr>
                <w:b/>
                <w:sz w:val="19"/>
              </w:rPr>
              <w:t>3</w:t>
            </w:r>
          </w:p>
        </w:tc>
        <w:tc>
          <w:tcPr>
            <w:tcW w:type="dxa" w:w="3168"/>
          </w:tcPr>
          <w:p>
            <w:pPr>
              <w:spacing w:after="40" w:line="240" w:lineRule="auto"/>
            </w:pPr>
            <w:r>
              <w:rPr>
                <w:sz w:val="19"/>
              </w:rPr>
              <w:t>Inventory Growth Rate (Period-Over-Period)</w:t>
            </w:r>
          </w:p>
        </w:tc>
        <w:tc>
          <w:tcPr>
            <w:tcW w:type="dxa" w:w="2304"/>
          </w:tcPr>
          <w:p>
            <w:pPr>
              <w:spacing w:after="40" w:line="240" w:lineRule="auto"/>
            </w:pPr>
            <w:r>
              <w:rPr>
                <w:sz w:val="19"/>
              </w:rPr>
              <w:t>Inventory Performance</w:t>
            </w:r>
          </w:p>
        </w:tc>
        <w:tc>
          <w:tcPr>
            <w:tcW w:type="dxa" w:w="2880"/>
          </w:tcPr>
          <w:p>
            <w:pPr>
              <w:spacing w:after="40" w:line="240" w:lineRule="auto"/>
            </w:pPr>
            <w:r>
              <w:rPr>
                <w:sz w:val="19"/>
              </w:rPr>
              <w:t>Grand Dining +50.25%</w:t>
            </w:r>
          </w:p>
        </w:tc>
      </w:tr>
      <w:tr>
        <w:trPr>
          <w:cantSplit w:val="true"/>
        </w:trPr>
        <w:tc>
          <w:tcPr>
            <w:tcW w:type="dxa" w:w="1008"/>
            <w:shd w:val="clear" w:color="auto" w:fill="EAF0F7"/>
          </w:tcPr>
          <w:p>
            <w:pPr>
              <w:spacing w:after="40" w:line="240" w:lineRule="auto"/>
            </w:pPr>
            <w:r>
              <w:rPr>
                <w:b/>
                <w:sz w:val="19"/>
              </w:rPr>
              <w:t>4</w:t>
            </w:r>
          </w:p>
        </w:tc>
        <w:tc>
          <w:tcPr>
            <w:tcW w:type="dxa" w:w="3168"/>
            <w:shd w:val="clear" w:color="auto" w:fill="EAF0F7"/>
          </w:tcPr>
          <w:p>
            <w:pPr>
              <w:spacing w:after="40" w:line="240" w:lineRule="auto"/>
            </w:pPr>
            <w:r>
              <w:rPr>
                <w:sz w:val="19"/>
              </w:rPr>
              <w:t>Weekly Inventory Trend Slope</w:t>
            </w:r>
          </w:p>
        </w:tc>
        <w:tc>
          <w:tcPr>
            <w:tcW w:type="dxa" w:w="2304"/>
            <w:shd w:val="clear" w:color="auto" w:fill="EAF0F7"/>
          </w:tcPr>
          <w:p>
            <w:pPr>
              <w:spacing w:after="40" w:line="240" w:lineRule="auto"/>
            </w:pPr>
            <w:r>
              <w:rPr>
                <w:sz w:val="19"/>
              </w:rPr>
              <w:t>Inventory Performance</w:t>
            </w:r>
          </w:p>
        </w:tc>
        <w:tc>
          <w:tcPr>
            <w:tcW w:type="dxa" w:w="2880"/>
            <w:shd w:val="clear" w:color="auto" w:fill="EAF0F7"/>
          </w:tcPr>
          <w:p>
            <w:pPr>
              <w:spacing w:after="40" w:line="240" w:lineRule="auto"/>
            </w:pPr>
            <w:r>
              <w:rPr>
                <w:sz w:val="19"/>
              </w:rPr>
              <w:t>Grand Dining +$307.67/week</w:t>
            </w:r>
          </w:p>
        </w:tc>
      </w:tr>
      <w:tr>
        <w:trPr>
          <w:cantSplit w:val="true"/>
        </w:trPr>
        <w:tc>
          <w:tcPr>
            <w:tcW w:type="dxa" w:w="1008"/>
          </w:tcPr>
          <w:p>
            <w:pPr>
              <w:spacing w:after="40" w:line="240" w:lineRule="auto"/>
            </w:pPr>
            <w:r>
              <w:rPr>
                <w:b/>
                <w:sz w:val="19"/>
              </w:rPr>
              <w:t>5</w:t>
            </w:r>
          </w:p>
        </w:tc>
        <w:tc>
          <w:tcPr>
            <w:tcW w:type="dxa" w:w="3168"/>
          </w:tcPr>
          <w:p>
            <w:pPr>
              <w:spacing w:after="40" w:line="240" w:lineRule="auto"/>
            </w:pPr>
            <w:r>
              <w:rPr>
                <w:sz w:val="19"/>
              </w:rPr>
              <w:t>Inventory Range (Min–Max)</w:t>
            </w:r>
          </w:p>
        </w:tc>
        <w:tc>
          <w:tcPr>
            <w:tcW w:type="dxa" w:w="2304"/>
          </w:tcPr>
          <w:p>
            <w:pPr>
              <w:spacing w:after="40" w:line="240" w:lineRule="auto"/>
            </w:pPr>
            <w:r>
              <w:rPr>
                <w:sz w:val="19"/>
              </w:rPr>
              <w:t>Inventory Performance</w:t>
            </w:r>
          </w:p>
        </w:tc>
        <w:tc>
          <w:tcPr>
            <w:tcW w:type="dxa" w:w="2880"/>
          </w:tcPr>
          <w:p>
            <w:pPr>
              <w:spacing w:after="40" w:line="240" w:lineRule="auto"/>
            </w:pPr>
            <w:r>
              <w:rPr>
                <w:sz w:val="19"/>
              </w:rPr>
              <w:t>Grand Dining $25,599.38</w:t>
            </w:r>
          </w:p>
        </w:tc>
      </w:tr>
      <w:tr>
        <w:trPr>
          <w:cantSplit w:val="true"/>
        </w:trPr>
        <w:tc>
          <w:tcPr>
            <w:tcW w:type="dxa" w:w="1008"/>
            <w:shd w:val="clear" w:color="auto" w:fill="EAF0F7"/>
          </w:tcPr>
          <w:p>
            <w:pPr>
              <w:spacing w:after="40" w:line="240" w:lineRule="auto"/>
            </w:pPr>
            <w:r>
              <w:rPr>
                <w:b/>
                <w:sz w:val="19"/>
              </w:rPr>
              <w:t>6</w:t>
            </w:r>
          </w:p>
        </w:tc>
        <w:tc>
          <w:tcPr>
            <w:tcW w:type="dxa" w:w="3168"/>
            <w:shd w:val="clear" w:color="auto" w:fill="EAF0F7"/>
          </w:tcPr>
          <w:p>
            <w:pPr>
              <w:spacing w:after="40" w:line="240" w:lineRule="auto"/>
            </w:pPr>
            <w:r>
              <w:rPr>
                <w:sz w:val="19"/>
              </w:rPr>
              <w:t>Standard Deviation of Weekly Inventory</w:t>
            </w:r>
          </w:p>
        </w:tc>
        <w:tc>
          <w:tcPr>
            <w:tcW w:type="dxa" w:w="2304"/>
            <w:shd w:val="clear" w:color="auto" w:fill="EAF0F7"/>
          </w:tcPr>
          <w:p>
            <w:pPr>
              <w:spacing w:after="40" w:line="240" w:lineRule="auto"/>
            </w:pPr>
            <w:r>
              <w:rPr>
                <w:sz w:val="19"/>
              </w:rPr>
              <w:t>Inventory Performance</w:t>
            </w:r>
          </w:p>
        </w:tc>
        <w:tc>
          <w:tcPr>
            <w:tcW w:type="dxa" w:w="2880"/>
            <w:shd w:val="clear" w:color="auto" w:fill="EAF0F7"/>
          </w:tcPr>
          <w:p>
            <w:pPr>
              <w:spacing w:after="40" w:line="240" w:lineRule="auto"/>
            </w:pPr>
            <w:r>
              <w:rPr>
                <w:sz w:val="19"/>
              </w:rPr>
              <w:t>Panera $12,068.12 (highest)</w:t>
            </w:r>
          </w:p>
        </w:tc>
      </w:tr>
      <w:tr>
        <w:trPr>
          <w:cantSplit w:val="true"/>
        </w:trPr>
        <w:tc>
          <w:tcPr>
            <w:tcW w:type="dxa" w:w="1008"/>
          </w:tcPr>
          <w:p>
            <w:pPr>
              <w:spacing w:after="40" w:line="240" w:lineRule="auto"/>
            </w:pPr>
            <w:r>
              <w:rPr>
                <w:b/>
                <w:sz w:val="19"/>
              </w:rPr>
              <w:t>7</w:t>
            </w:r>
          </w:p>
        </w:tc>
        <w:tc>
          <w:tcPr>
            <w:tcW w:type="dxa" w:w="3168"/>
          </w:tcPr>
          <w:p>
            <w:pPr>
              <w:spacing w:after="40" w:line="240" w:lineRule="auto"/>
            </w:pPr>
            <w:r>
              <w:rPr>
                <w:sz w:val="19"/>
              </w:rPr>
              <w:t>Coefficient of Variation (CV)</w:t>
            </w:r>
          </w:p>
        </w:tc>
        <w:tc>
          <w:tcPr>
            <w:tcW w:type="dxa" w:w="2304"/>
          </w:tcPr>
          <w:p>
            <w:pPr>
              <w:spacing w:after="40" w:line="240" w:lineRule="auto"/>
            </w:pPr>
            <w:r>
              <w:rPr>
                <w:sz w:val="19"/>
              </w:rPr>
              <w:t>Inventory Performance</w:t>
            </w:r>
          </w:p>
        </w:tc>
        <w:tc>
          <w:tcPr>
            <w:tcW w:type="dxa" w:w="2880"/>
          </w:tcPr>
          <w:p>
            <w:pPr>
              <w:spacing w:after="40" w:line="240" w:lineRule="auto"/>
            </w:pPr>
            <w:r>
              <w:rPr>
                <w:sz w:val="19"/>
              </w:rPr>
              <w:t>Ameren Cafe 0.72; Catering 0.07</w:t>
            </w:r>
          </w:p>
        </w:tc>
      </w:tr>
      <w:tr>
        <w:trPr>
          <w:cantSplit w:val="true"/>
        </w:trPr>
        <w:tc>
          <w:tcPr>
            <w:tcW w:type="dxa" w:w="1008"/>
            <w:shd w:val="clear" w:color="auto" w:fill="EAF0F7"/>
          </w:tcPr>
          <w:p>
            <w:pPr>
              <w:spacing w:after="40" w:line="240" w:lineRule="auto"/>
            </w:pPr>
            <w:r>
              <w:rPr>
                <w:b/>
                <w:sz w:val="19"/>
              </w:rPr>
              <w:t>8</w:t>
            </w:r>
          </w:p>
        </w:tc>
        <w:tc>
          <w:tcPr>
            <w:tcW w:type="dxa" w:w="3168"/>
            <w:shd w:val="clear" w:color="auto" w:fill="EAF0F7"/>
          </w:tcPr>
          <w:p>
            <w:pPr>
              <w:spacing w:after="40" w:line="240" w:lineRule="auto"/>
            </w:pPr>
            <w:r>
              <w:rPr>
                <w:sz w:val="19"/>
              </w:rPr>
              <w:t>Portfolio Weekly Mean Inventory</w:t>
            </w:r>
          </w:p>
        </w:tc>
        <w:tc>
          <w:tcPr>
            <w:tcW w:type="dxa" w:w="2304"/>
            <w:shd w:val="clear" w:color="auto" w:fill="EAF0F7"/>
          </w:tcPr>
          <w:p>
            <w:pPr>
              <w:spacing w:after="40" w:line="240" w:lineRule="auto"/>
            </w:pPr>
            <w:r>
              <w:rPr>
                <w:sz w:val="19"/>
              </w:rPr>
              <w:t>Inventory Performance</w:t>
            </w:r>
          </w:p>
        </w:tc>
        <w:tc>
          <w:tcPr>
            <w:tcW w:type="dxa" w:w="2880"/>
            <w:shd w:val="clear" w:color="auto" w:fill="EAF0F7"/>
          </w:tcPr>
          <w:p>
            <w:pPr>
              <w:spacing w:after="40" w:line="240" w:lineRule="auto"/>
            </w:pPr>
            <w:r>
              <w:rPr>
                <w:sz w:val="19"/>
              </w:rPr>
              <w:t>$171,901.68</w:t>
            </w:r>
          </w:p>
        </w:tc>
      </w:tr>
      <w:tr>
        <w:trPr>
          <w:cantSplit w:val="true"/>
        </w:trPr>
        <w:tc>
          <w:tcPr>
            <w:tcW w:type="dxa" w:w="1008"/>
          </w:tcPr>
          <w:p>
            <w:pPr>
              <w:spacing w:after="40" w:line="240" w:lineRule="auto"/>
            </w:pPr>
            <w:r>
              <w:rPr>
                <w:b/>
                <w:sz w:val="19"/>
              </w:rPr>
              <w:t>9</w:t>
            </w:r>
          </w:p>
        </w:tc>
        <w:tc>
          <w:tcPr>
            <w:tcW w:type="dxa" w:w="3168"/>
          </w:tcPr>
          <w:p>
            <w:pPr>
              <w:spacing w:after="40" w:line="240" w:lineRule="auto"/>
            </w:pPr>
            <w:r>
              <w:rPr>
                <w:sz w:val="19"/>
              </w:rPr>
              <w:t>Portfolio Inventory Peak and Trough</w:t>
            </w:r>
          </w:p>
        </w:tc>
        <w:tc>
          <w:tcPr>
            <w:tcW w:type="dxa" w:w="2304"/>
          </w:tcPr>
          <w:p>
            <w:pPr>
              <w:spacing w:after="40" w:line="240" w:lineRule="auto"/>
            </w:pPr>
            <w:r>
              <w:rPr>
                <w:sz w:val="19"/>
              </w:rPr>
              <w:t>Inventory Performance</w:t>
            </w:r>
          </w:p>
        </w:tc>
        <w:tc>
          <w:tcPr>
            <w:tcW w:type="dxa" w:w="2880"/>
          </w:tcPr>
          <w:p>
            <w:pPr>
              <w:spacing w:after="40" w:line="240" w:lineRule="auto"/>
            </w:pPr>
            <w:r>
              <w:rPr>
                <w:sz w:val="19"/>
              </w:rPr>
              <w:t>Peak $263,943.40; Low $126,289.65</w:t>
            </w:r>
          </w:p>
        </w:tc>
      </w:tr>
      <w:tr>
        <w:trPr>
          <w:cantSplit w:val="true"/>
        </w:trPr>
        <w:tc>
          <w:tcPr>
            <w:tcW w:type="dxa" w:w="1008"/>
            <w:shd w:val="clear" w:color="auto" w:fill="EAF0F7"/>
          </w:tcPr>
          <w:p>
            <w:pPr>
              <w:spacing w:after="40" w:line="240" w:lineRule="auto"/>
            </w:pPr>
            <w:r>
              <w:rPr>
                <w:b/>
                <w:sz w:val="19"/>
              </w:rPr>
              <w:t>10</w:t>
            </w:r>
          </w:p>
        </w:tc>
        <w:tc>
          <w:tcPr>
            <w:tcW w:type="dxa" w:w="3168"/>
            <w:shd w:val="clear" w:color="auto" w:fill="EAF0F7"/>
          </w:tcPr>
          <w:p>
            <w:pPr>
              <w:spacing w:after="40" w:line="240" w:lineRule="auto"/>
            </w:pPr>
            <w:r>
              <w:rPr>
                <w:sz w:val="19"/>
              </w:rPr>
              <w:t>Unit Inventory Share (%)</w:t>
            </w:r>
          </w:p>
        </w:tc>
        <w:tc>
          <w:tcPr>
            <w:tcW w:type="dxa" w:w="2304"/>
            <w:shd w:val="clear" w:color="auto" w:fill="EAF0F7"/>
          </w:tcPr>
          <w:p>
            <w:pPr>
              <w:spacing w:after="40" w:line="240" w:lineRule="auto"/>
            </w:pPr>
            <w:r>
              <w:rPr>
                <w:sz w:val="19"/>
              </w:rPr>
              <w:t>Inventory Performance</w:t>
            </w:r>
          </w:p>
        </w:tc>
        <w:tc>
          <w:tcPr>
            <w:tcW w:type="dxa" w:w="2880"/>
            <w:shd w:val="clear" w:color="auto" w:fill="EAF0F7"/>
          </w:tcPr>
          <w:p>
            <w:pPr>
              <w:spacing w:after="40" w:line="240" w:lineRule="auto"/>
            </w:pPr>
            <w:r>
              <w:rPr>
                <w:sz w:val="19"/>
              </w:rPr>
              <w:t>Top 3 units = 43.6%</w:t>
            </w:r>
          </w:p>
        </w:tc>
      </w:tr>
      <w:tr>
        <w:trPr>
          <w:cantSplit w:val="true"/>
        </w:trPr>
        <w:tc>
          <w:tcPr>
            <w:tcW w:type="dxa" w:w="1008"/>
          </w:tcPr>
          <w:p>
            <w:pPr>
              <w:spacing w:after="40" w:line="240" w:lineRule="auto"/>
            </w:pPr>
            <w:r>
              <w:rPr>
                <w:b/>
                <w:sz w:val="19"/>
              </w:rPr>
              <w:t>11</w:t>
            </w:r>
          </w:p>
        </w:tc>
        <w:tc>
          <w:tcPr>
            <w:tcW w:type="dxa" w:w="3168"/>
          </w:tcPr>
          <w:p>
            <w:pPr>
              <w:spacing w:after="40" w:line="240" w:lineRule="auto"/>
            </w:pPr>
            <w:r>
              <w:rPr>
                <w:sz w:val="19"/>
              </w:rPr>
              <w:t>Stale Count Rate</w:t>
            </w:r>
          </w:p>
        </w:tc>
        <w:tc>
          <w:tcPr>
            <w:tcW w:type="dxa" w:w="2304"/>
          </w:tcPr>
          <w:p>
            <w:pPr>
              <w:spacing w:after="40" w:line="240" w:lineRule="auto"/>
            </w:pPr>
            <w:r>
              <w:rPr>
                <w:sz w:val="19"/>
              </w:rPr>
              <w:t>Data Quality</w:t>
            </w:r>
          </w:p>
        </w:tc>
        <w:tc>
          <w:tcPr>
            <w:tcW w:type="dxa" w:w="2880"/>
          </w:tcPr>
          <w:p>
            <w:pPr>
              <w:spacing w:after="40" w:line="240" w:lineRule="auto"/>
            </w:pPr>
            <w:r>
              <w:rPr>
                <w:sz w:val="19"/>
              </w:rPr>
              <w:t>Reinert To Go &amp; Ameren Cafe 56%</w:t>
            </w:r>
          </w:p>
        </w:tc>
      </w:tr>
      <w:tr>
        <w:trPr>
          <w:cantSplit w:val="true"/>
        </w:trPr>
        <w:tc>
          <w:tcPr>
            <w:tcW w:type="dxa" w:w="1008"/>
            <w:shd w:val="clear" w:color="auto" w:fill="EAF0F7"/>
          </w:tcPr>
          <w:p>
            <w:pPr>
              <w:spacing w:after="40" w:line="240" w:lineRule="auto"/>
            </w:pPr>
            <w:r>
              <w:rPr>
                <w:b/>
                <w:sz w:val="19"/>
              </w:rPr>
              <w:t>12</w:t>
            </w:r>
          </w:p>
        </w:tc>
        <w:tc>
          <w:tcPr>
            <w:tcW w:type="dxa" w:w="3168"/>
            <w:shd w:val="clear" w:color="auto" w:fill="EAF0F7"/>
          </w:tcPr>
          <w:p>
            <w:pPr>
              <w:spacing w:after="40" w:line="240" w:lineRule="auto"/>
            </w:pPr>
            <w:r>
              <w:rPr>
                <w:sz w:val="19"/>
              </w:rPr>
              <w:t>Validation Rate (Revenue Center Catalog)</w:t>
            </w:r>
          </w:p>
        </w:tc>
        <w:tc>
          <w:tcPr>
            <w:tcW w:type="dxa" w:w="2304"/>
            <w:shd w:val="clear" w:color="auto" w:fill="EAF0F7"/>
          </w:tcPr>
          <w:p>
            <w:pPr>
              <w:spacing w:after="40" w:line="240" w:lineRule="auto"/>
            </w:pPr>
            <w:r>
              <w:rPr>
                <w:sz w:val="19"/>
              </w:rPr>
              <w:t>Data Quality</w:t>
            </w:r>
          </w:p>
        </w:tc>
        <w:tc>
          <w:tcPr>
            <w:tcW w:type="dxa" w:w="2880"/>
            <w:shd w:val="clear" w:color="auto" w:fill="EAF0F7"/>
          </w:tcPr>
          <w:p>
            <w:pPr>
              <w:spacing w:after="40" w:line="240" w:lineRule="auto"/>
            </w:pPr>
            <w:r>
              <w:rPr>
                <w:sz w:val="19"/>
              </w:rPr>
              <w:t>99.5% (70 records unvalidated)</w:t>
            </w:r>
          </w:p>
        </w:tc>
      </w:tr>
      <w:tr>
        <w:trPr>
          <w:cantSplit w:val="true"/>
        </w:trPr>
        <w:tc>
          <w:tcPr>
            <w:tcW w:type="dxa" w:w="1008"/>
          </w:tcPr>
          <w:p>
            <w:pPr>
              <w:spacing w:after="40" w:line="240" w:lineRule="auto"/>
            </w:pPr>
            <w:r>
              <w:rPr>
                <w:b/>
                <w:sz w:val="19"/>
              </w:rPr>
              <w:t>13</w:t>
            </w:r>
          </w:p>
        </w:tc>
        <w:tc>
          <w:tcPr>
            <w:tcW w:type="dxa" w:w="3168"/>
          </w:tcPr>
          <w:p>
            <w:pPr>
              <w:spacing w:after="40" w:line="240" w:lineRule="auto"/>
            </w:pPr>
            <w:r>
              <w:rPr>
                <w:sz w:val="19"/>
              </w:rPr>
              <w:t>Button Active Rate</w:t>
            </w:r>
          </w:p>
        </w:tc>
        <w:tc>
          <w:tcPr>
            <w:tcW w:type="dxa" w:w="2304"/>
          </w:tcPr>
          <w:p>
            <w:pPr>
              <w:spacing w:after="40" w:line="240" w:lineRule="auto"/>
            </w:pPr>
            <w:r>
              <w:rPr>
                <w:sz w:val="19"/>
              </w:rPr>
              <w:t>Data Quality</w:t>
            </w:r>
          </w:p>
        </w:tc>
        <w:tc>
          <w:tcPr>
            <w:tcW w:type="dxa" w:w="2880"/>
          </w:tcPr>
          <w:p>
            <w:pPr>
              <w:spacing w:after="40" w:line="240" w:lineRule="auto"/>
            </w:pPr>
            <w:r>
              <w:rPr>
                <w:sz w:val="19"/>
              </w:rPr>
              <w:t>4.4% active / 95.6% inactive</w:t>
            </w:r>
          </w:p>
        </w:tc>
      </w:tr>
      <w:tr>
        <w:trPr>
          <w:cantSplit w:val="true"/>
        </w:trPr>
        <w:tc>
          <w:tcPr>
            <w:tcW w:type="dxa" w:w="1008"/>
            <w:shd w:val="clear" w:color="auto" w:fill="EAF0F7"/>
          </w:tcPr>
          <w:p>
            <w:pPr>
              <w:spacing w:after="40" w:line="240" w:lineRule="auto"/>
            </w:pPr>
            <w:r>
              <w:rPr>
                <w:b/>
                <w:sz w:val="19"/>
              </w:rPr>
              <w:t>14</w:t>
            </w:r>
          </w:p>
        </w:tc>
        <w:tc>
          <w:tcPr>
            <w:tcW w:type="dxa" w:w="3168"/>
            <w:shd w:val="clear" w:color="auto" w:fill="EAF0F7"/>
          </w:tcPr>
          <w:p>
            <w:pPr>
              <w:spacing w:after="40" w:line="240" w:lineRule="auto"/>
            </w:pPr>
            <w:r>
              <w:rPr>
                <w:sz w:val="19"/>
              </w:rPr>
              <w:t>Catalog Duplication Factor</w:t>
            </w:r>
          </w:p>
        </w:tc>
        <w:tc>
          <w:tcPr>
            <w:tcW w:type="dxa" w:w="2304"/>
            <w:shd w:val="clear" w:color="auto" w:fill="EAF0F7"/>
          </w:tcPr>
          <w:p>
            <w:pPr>
              <w:spacing w:after="40" w:line="240" w:lineRule="auto"/>
            </w:pPr>
            <w:r>
              <w:rPr>
                <w:sz w:val="19"/>
              </w:rPr>
              <w:t>Data Quality</w:t>
            </w:r>
          </w:p>
        </w:tc>
        <w:tc>
          <w:tcPr>
            <w:tcW w:type="dxa" w:w="2880"/>
            <w:shd w:val="clear" w:color="auto" w:fill="EAF0F7"/>
          </w:tcPr>
          <w:p>
            <w:pPr>
              <w:spacing w:after="40" w:line="240" w:lineRule="auto"/>
            </w:pPr>
            <w:r>
              <w:rPr>
                <w:sz w:val="19"/>
              </w:rPr>
              <w:t>4.13×</w:t>
            </w:r>
          </w:p>
        </w:tc>
      </w:tr>
      <w:tr>
        <w:trPr>
          <w:cantSplit w:val="true"/>
        </w:trPr>
        <w:tc>
          <w:tcPr>
            <w:tcW w:type="dxa" w:w="1008"/>
          </w:tcPr>
          <w:p>
            <w:pPr>
              <w:spacing w:after="40" w:line="240" w:lineRule="auto"/>
            </w:pPr>
            <w:r>
              <w:rPr>
                <w:b/>
                <w:sz w:val="19"/>
              </w:rPr>
              <w:t>15</w:t>
            </w:r>
          </w:p>
        </w:tc>
        <w:tc>
          <w:tcPr>
            <w:tcW w:type="dxa" w:w="3168"/>
          </w:tcPr>
          <w:p>
            <w:pPr>
              <w:spacing w:after="40" w:line="240" w:lineRule="auto"/>
            </w:pPr>
            <w:r>
              <w:rPr>
                <w:sz w:val="19"/>
              </w:rPr>
              <w:t>PAR Level Completion Rate</w:t>
            </w:r>
          </w:p>
        </w:tc>
        <w:tc>
          <w:tcPr>
            <w:tcW w:type="dxa" w:w="2304"/>
          </w:tcPr>
          <w:p>
            <w:pPr>
              <w:spacing w:after="40" w:line="240" w:lineRule="auto"/>
            </w:pPr>
            <w:r>
              <w:rPr>
                <w:sz w:val="19"/>
              </w:rPr>
              <w:t>Data Quality</w:t>
            </w:r>
          </w:p>
        </w:tc>
        <w:tc>
          <w:tcPr>
            <w:tcW w:type="dxa" w:w="2880"/>
          </w:tcPr>
          <w:p>
            <w:pPr>
              <w:spacing w:after="40" w:line="240" w:lineRule="auto"/>
            </w:pPr>
            <w:r>
              <w:rPr>
                <w:sz w:val="19"/>
              </w:rPr>
              <w:t>0% (0 of 409)</w:t>
            </w:r>
          </w:p>
        </w:tc>
      </w:tr>
      <w:tr>
        <w:trPr>
          <w:cantSplit w:val="true"/>
        </w:trPr>
        <w:tc>
          <w:tcPr>
            <w:tcW w:type="dxa" w:w="1008"/>
            <w:shd w:val="clear" w:color="auto" w:fill="EAF0F7"/>
          </w:tcPr>
          <w:p>
            <w:pPr>
              <w:spacing w:after="40" w:line="240" w:lineRule="auto"/>
            </w:pPr>
            <w:r>
              <w:rPr>
                <w:b/>
                <w:sz w:val="19"/>
              </w:rPr>
              <w:t>16</w:t>
            </w:r>
          </w:p>
        </w:tc>
        <w:tc>
          <w:tcPr>
            <w:tcW w:type="dxa" w:w="3168"/>
            <w:shd w:val="clear" w:color="auto" w:fill="EAF0F7"/>
          </w:tcPr>
          <w:p>
            <w:pPr>
              <w:spacing w:after="40" w:line="240" w:lineRule="auto"/>
            </w:pPr>
            <w:r>
              <w:rPr>
                <w:sz w:val="19"/>
              </w:rPr>
              <w:t>Order Quantity Logging Rate</w:t>
            </w:r>
          </w:p>
        </w:tc>
        <w:tc>
          <w:tcPr>
            <w:tcW w:type="dxa" w:w="2304"/>
            <w:shd w:val="clear" w:color="auto" w:fill="EAF0F7"/>
          </w:tcPr>
          <w:p>
            <w:pPr>
              <w:spacing w:after="40" w:line="240" w:lineRule="auto"/>
            </w:pPr>
            <w:r>
              <w:rPr>
                <w:sz w:val="19"/>
              </w:rPr>
              <w:t>Data Quality</w:t>
            </w:r>
          </w:p>
        </w:tc>
        <w:tc>
          <w:tcPr>
            <w:tcW w:type="dxa" w:w="2880"/>
            <w:shd w:val="clear" w:color="auto" w:fill="EAF0F7"/>
          </w:tcPr>
          <w:p>
            <w:pPr>
              <w:spacing w:after="40" w:line="240" w:lineRule="auto"/>
            </w:pPr>
            <w:r>
              <w:rPr>
                <w:sz w:val="19"/>
              </w:rPr>
              <w:t>0% (0 of 1,227 slots)</w:t>
            </w:r>
          </w:p>
        </w:tc>
      </w:tr>
      <w:tr>
        <w:trPr>
          <w:cantSplit w:val="true"/>
        </w:trPr>
        <w:tc>
          <w:tcPr>
            <w:tcW w:type="dxa" w:w="1008"/>
          </w:tcPr>
          <w:p>
            <w:pPr>
              <w:spacing w:after="40" w:line="240" w:lineRule="auto"/>
            </w:pPr>
            <w:r>
              <w:rPr>
                <w:b/>
                <w:sz w:val="19"/>
              </w:rPr>
              <w:t>17</w:t>
            </w:r>
          </w:p>
        </w:tc>
        <w:tc>
          <w:tcPr>
            <w:tcW w:type="dxa" w:w="3168"/>
          </w:tcPr>
          <w:p>
            <w:pPr>
              <w:spacing w:after="40" w:line="240" w:lineRule="auto"/>
            </w:pPr>
            <w:r>
              <w:rPr>
                <w:sz w:val="19"/>
              </w:rPr>
              <w:t>Items Sold per Meal Period</w:t>
            </w:r>
          </w:p>
        </w:tc>
        <w:tc>
          <w:tcPr>
            <w:tcW w:type="dxa" w:w="2304"/>
          </w:tcPr>
          <w:p>
            <w:pPr>
              <w:spacing w:after="40" w:line="240" w:lineRule="auto"/>
            </w:pPr>
            <w:r>
              <w:rPr>
                <w:sz w:val="19"/>
              </w:rPr>
              <w:t>Demand &amp; Utilization</w:t>
            </w:r>
          </w:p>
        </w:tc>
        <w:tc>
          <w:tcPr>
            <w:tcW w:type="dxa" w:w="2880"/>
          </w:tcPr>
          <w:p>
            <w:pPr>
              <w:spacing w:after="40" w:line="240" w:lineRule="auto"/>
            </w:pPr>
            <w:r>
              <w:rPr>
                <w:sz w:val="19"/>
              </w:rPr>
              <w:t>2,537 items/day (Grand Hall)</w:t>
            </w:r>
          </w:p>
        </w:tc>
      </w:tr>
      <w:tr>
        <w:trPr>
          <w:cantSplit w:val="true"/>
        </w:trPr>
        <w:tc>
          <w:tcPr>
            <w:tcW w:type="dxa" w:w="1008"/>
            <w:shd w:val="clear" w:color="auto" w:fill="EAF0F7"/>
          </w:tcPr>
          <w:p>
            <w:pPr>
              <w:spacing w:after="40" w:line="240" w:lineRule="auto"/>
            </w:pPr>
            <w:r>
              <w:rPr>
                <w:b/>
                <w:sz w:val="19"/>
              </w:rPr>
              <w:t>18</w:t>
            </w:r>
          </w:p>
        </w:tc>
        <w:tc>
          <w:tcPr>
            <w:tcW w:type="dxa" w:w="3168"/>
            <w:shd w:val="clear" w:color="auto" w:fill="EAF0F7"/>
          </w:tcPr>
          <w:p>
            <w:pPr>
              <w:spacing w:after="40" w:line="240" w:lineRule="auto"/>
            </w:pPr>
            <w:r>
              <w:rPr>
                <w:sz w:val="19"/>
              </w:rPr>
              <w:t>Average Check per Meal Period</w:t>
            </w:r>
          </w:p>
        </w:tc>
        <w:tc>
          <w:tcPr>
            <w:tcW w:type="dxa" w:w="2304"/>
            <w:shd w:val="clear" w:color="auto" w:fill="EAF0F7"/>
          </w:tcPr>
          <w:p>
            <w:pPr>
              <w:spacing w:after="40" w:line="240" w:lineRule="auto"/>
            </w:pPr>
            <w:r>
              <w:rPr>
                <w:sz w:val="19"/>
              </w:rPr>
              <w:t>Demand &amp; Utilization</w:t>
            </w:r>
          </w:p>
        </w:tc>
        <w:tc>
          <w:tcPr>
            <w:tcW w:type="dxa" w:w="2880"/>
            <w:shd w:val="clear" w:color="auto" w:fill="EAF0F7"/>
          </w:tcPr>
          <w:p>
            <w:pPr>
              <w:spacing w:after="40" w:line="240" w:lineRule="auto"/>
            </w:pPr>
            <w:r>
              <w:rPr>
                <w:sz w:val="19"/>
              </w:rPr>
              <w:t>Lunch $1.54 vs. Dinner $0.30</w:t>
            </w:r>
          </w:p>
        </w:tc>
      </w:tr>
      <w:tr>
        <w:trPr>
          <w:cantSplit w:val="true"/>
        </w:trPr>
        <w:tc>
          <w:tcPr>
            <w:tcW w:type="dxa" w:w="1008"/>
          </w:tcPr>
          <w:p>
            <w:pPr>
              <w:spacing w:after="40" w:line="240" w:lineRule="auto"/>
            </w:pPr>
            <w:r>
              <w:rPr>
                <w:b/>
                <w:sz w:val="19"/>
              </w:rPr>
              <w:t>19</w:t>
            </w:r>
          </w:p>
        </w:tc>
        <w:tc>
          <w:tcPr>
            <w:tcW w:type="dxa" w:w="3168"/>
          </w:tcPr>
          <w:p>
            <w:pPr>
              <w:spacing w:after="40" w:line="240" w:lineRule="auto"/>
            </w:pPr>
            <w:r>
              <w:rPr>
                <w:sz w:val="19"/>
              </w:rPr>
              <w:t>Meal Period Revenue Share</w:t>
            </w:r>
          </w:p>
        </w:tc>
        <w:tc>
          <w:tcPr>
            <w:tcW w:type="dxa" w:w="2304"/>
          </w:tcPr>
          <w:p>
            <w:pPr>
              <w:spacing w:after="40" w:line="240" w:lineRule="auto"/>
            </w:pPr>
            <w:r>
              <w:rPr>
                <w:sz w:val="19"/>
              </w:rPr>
              <w:t>Demand &amp; Utilization</w:t>
            </w:r>
          </w:p>
        </w:tc>
        <w:tc>
          <w:tcPr>
            <w:tcW w:type="dxa" w:w="2880"/>
          </w:tcPr>
          <w:p>
            <w:pPr>
              <w:spacing w:after="40" w:line="240" w:lineRule="auto"/>
            </w:pPr>
            <w:r>
              <w:rPr>
                <w:sz w:val="19"/>
              </w:rPr>
              <w:t>Lunch 74.7% of revenue</w:t>
            </w:r>
          </w:p>
        </w:tc>
      </w:tr>
      <w:tr>
        <w:trPr>
          <w:cantSplit w:val="true"/>
        </w:trPr>
        <w:tc>
          <w:tcPr>
            <w:tcW w:type="dxa" w:w="1008"/>
            <w:shd w:val="clear" w:color="auto" w:fill="EAF0F7"/>
          </w:tcPr>
          <w:p>
            <w:pPr>
              <w:spacing w:after="40" w:line="240" w:lineRule="auto"/>
            </w:pPr>
            <w:r>
              <w:rPr>
                <w:b/>
                <w:sz w:val="19"/>
              </w:rPr>
              <w:t>20</w:t>
            </w:r>
          </w:p>
        </w:tc>
        <w:tc>
          <w:tcPr>
            <w:tcW w:type="dxa" w:w="3168"/>
            <w:shd w:val="clear" w:color="auto" w:fill="EAF0F7"/>
          </w:tcPr>
          <w:p>
            <w:pPr>
              <w:spacing w:after="40" w:line="240" w:lineRule="auto"/>
            </w:pPr>
            <w:r>
              <w:rPr>
                <w:sz w:val="19"/>
              </w:rPr>
              <w:t>Demand Volume Distribution</w:t>
            </w:r>
          </w:p>
        </w:tc>
        <w:tc>
          <w:tcPr>
            <w:tcW w:type="dxa" w:w="2304"/>
            <w:shd w:val="clear" w:color="auto" w:fill="EAF0F7"/>
          </w:tcPr>
          <w:p>
            <w:pPr>
              <w:spacing w:after="40" w:line="240" w:lineRule="auto"/>
            </w:pPr>
            <w:r>
              <w:rPr>
                <w:sz w:val="19"/>
              </w:rPr>
              <w:t>Demand &amp; Utilization</w:t>
            </w:r>
          </w:p>
        </w:tc>
        <w:tc>
          <w:tcPr>
            <w:tcW w:type="dxa" w:w="2880"/>
            <w:shd w:val="clear" w:color="auto" w:fill="EAF0F7"/>
          </w:tcPr>
          <w:p>
            <w:pPr>
              <w:spacing w:after="40" w:line="240" w:lineRule="auto"/>
            </w:pPr>
            <w:r>
              <w:rPr>
                <w:sz w:val="19"/>
              </w:rPr>
              <w:t>Dinner 39.1% of volume</w:t>
            </w:r>
          </w:p>
        </w:tc>
      </w:tr>
      <w:tr>
        <w:trPr>
          <w:cantSplit w:val="true"/>
        </w:trPr>
        <w:tc>
          <w:tcPr>
            <w:tcW w:type="dxa" w:w="1008"/>
          </w:tcPr>
          <w:p>
            <w:pPr>
              <w:spacing w:after="40" w:line="240" w:lineRule="auto"/>
            </w:pPr>
            <w:r>
              <w:rPr>
                <w:b/>
                <w:sz w:val="19"/>
              </w:rPr>
              <w:t>21</w:t>
            </w:r>
          </w:p>
        </w:tc>
        <w:tc>
          <w:tcPr>
            <w:tcW w:type="dxa" w:w="3168"/>
          </w:tcPr>
          <w:p>
            <w:pPr>
              <w:spacing w:after="40" w:line="240" w:lineRule="auto"/>
            </w:pPr>
            <w:r>
              <w:rPr>
                <w:sz w:val="19"/>
              </w:rPr>
              <w:t>Control Count Discrepancy</w:t>
            </w:r>
          </w:p>
        </w:tc>
        <w:tc>
          <w:tcPr>
            <w:tcW w:type="dxa" w:w="2304"/>
          </w:tcPr>
          <w:p>
            <w:pPr>
              <w:spacing w:after="40" w:line="240" w:lineRule="auto"/>
            </w:pPr>
            <w:r>
              <w:rPr>
                <w:sz w:val="19"/>
              </w:rPr>
              <w:t>Demand &amp; Utilization</w:t>
            </w:r>
          </w:p>
        </w:tc>
        <w:tc>
          <w:tcPr>
            <w:tcW w:type="dxa" w:w="2880"/>
          </w:tcPr>
          <w:p>
            <w:pPr>
              <w:spacing w:after="40" w:line="240" w:lineRule="auto"/>
            </w:pPr>
            <w:r>
              <w:rPr>
                <w:sz w:val="19"/>
              </w:rPr>
              <w:t>+4 items (Lunch only)</w:t>
            </w:r>
          </w:p>
        </w:tc>
      </w:tr>
      <w:tr>
        <w:trPr>
          <w:cantSplit w:val="true"/>
        </w:trPr>
        <w:tc>
          <w:tcPr>
            <w:tcW w:type="dxa" w:w="1008"/>
            <w:shd w:val="clear" w:color="auto" w:fill="EAF0F7"/>
          </w:tcPr>
          <w:p>
            <w:pPr>
              <w:spacing w:after="40" w:line="240" w:lineRule="auto"/>
            </w:pPr>
            <w:r>
              <w:rPr>
                <w:b/>
                <w:sz w:val="19"/>
              </w:rPr>
              <w:t>22</w:t>
            </w:r>
          </w:p>
        </w:tc>
        <w:tc>
          <w:tcPr>
            <w:tcW w:type="dxa" w:w="3168"/>
            <w:shd w:val="clear" w:color="auto" w:fill="EAF0F7"/>
          </w:tcPr>
          <w:p>
            <w:pPr>
              <w:spacing w:after="40" w:line="240" w:lineRule="auto"/>
            </w:pPr>
            <w:r>
              <w:rPr>
                <w:sz w:val="19"/>
              </w:rPr>
              <w:t>Mean Absolute Percentage Error (MAPE)</w:t>
            </w:r>
          </w:p>
        </w:tc>
        <w:tc>
          <w:tcPr>
            <w:tcW w:type="dxa" w:w="2304"/>
            <w:shd w:val="clear" w:color="auto" w:fill="EAF0F7"/>
          </w:tcPr>
          <w:p>
            <w:pPr>
              <w:spacing w:after="40" w:line="240" w:lineRule="auto"/>
            </w:pPr>
            <w:r>
              <w:rPr>
                <w:sz w:val="19"/>
              </w:rPr>
              <w:t>Forecasting &amp; Model Performance</w:t>
            </w:r>
          </w:p>
        </w:tc>
        <w:tc>
          <w:tcPr>
            <w:tcW w:type="dxa" w:w="2880"/>
            <w:shd w:val="clear" w:color="auto" w:fill="EAF0F7"/>
          </w:tcPr>
          <w:p>
            <w:pPr>
              <w:spacing w:after="40" w:line="240" w:lineRule="auto"/>
            </w:pPr>
            <w:r>
              <w:rPr>
                <w:sz w:val="19"/>
              </w:rPr>
              <w:t>Target &lt; 10% (strong); &lt; 15% (acceptable)</w:t>
            </w:r>
          </w:p>
        </w:tc>
      </w:tr>
      <w:tr>
        <w:trPr>
          <w:cantSplit w:val="true"/>
        </w:trPr>
        <w:tc>
          <w:tcPr>
            <w:tcW w:type="dxa" w:w="1008"/>
          </w:tcPr>
          <w:p>
            <w:pPr>
              <w:spacing w:after="40" w:line="240" w:lineRule="auto"/>
            </w:pPr>
            <w:r>
              <w:rPr>
                <w:b/>
                <w:sz w:val="19"/>
              </w:rPr>
              <w:t>23</w:t>
            </w:r>
          </w:p>
        </w:tc>
        <w:tc>
          <w:tcPr>
            <w:tcW w:type="dxa" w:w="3168"/>
          </w:tcPr>
          <w:p>
            <w:pPr>
              <w:spacing w:after="40" w:line="240" w:lineRule="auto"/>
            </w:pPr>
            <w:r>
              <w:rPr>
                <w:sz w:val="19"/>
              </w:rPr>
              <w:t>Root Mean Square Error (RMSE)</w:t>
            </w:r>
          </w:p>
        </w:tc>
        <w:tc>
          <w:tcPr>
            <w:tcW w:type="dxa" w:w="2304"/>
          </w:tcPr>
          <w:p>
            <w:pPr>
              <w:spacing w:after="40" w:line="240" w:lineRule="auto"/>
            </w:pPr>
            <w:r>
              <w:rPr>
                <w:sz w:val="19"/>
              </w:rPr>
              <w:t>Forecasting &amp; Model Performance</w:t>
            </w:r>
          </w:p>
        </w:tc>
        <w:tc>
          <w:tcPr>
            <w:tcW w:type="dxa" w:w="2880"/>
          </w:tcPr>
          <w:p>
            <w:pPr>
              <w:spacing w:after="40" w:line="240" w:lineRule="auto"/>
            </w:pPr>
            <w:r>
              <w:rPr>
                <w:sz w:val="19"/>
              </w:rPr>
              <w:t>Pending (Phase I, Stage 5)</w:t>
            </w:r>
          </w:p>
        </w:tc>
      </w:tr>
      <w:tr>
        <w:trPr>
          <w:cantSplit w:val="true"/>
        </w:trPr>
        <w:tc>
          <w:tcPr>
            <w:tcW w:type="dxa" w:w="1008"/>
            <w:shd w:val="clear" w:color="auto" w:fill="EAF0F7"/>
          </w:tcPr>
          <w:p>
            <w:pPr>
              <w:spacing w:after="40" w:line="240" w:lineRule="auto"/>
            </w:pPr>
            <w:r>
              <w:rPr>
                <w:b/>
                <w:sz w:val="19"/>
              </w:rPr>
              <w:t>24</w:t>
            </w:r>
          </w:p>
        </w:tc>
        <w:tc>
          <w:tcPr>
            <w:tcW w:type="dxa" w:w="3168"/>
            <w:shd w:val="clear" w:color="auto" w:fill="EAF0F7"/>
          </w:tcPr>
          <w:p>
            <w:pPr>
              <w:spacing w:after="40" w:line="240" w:lineRule="auto"/>
            </w:pPr>
            <w:r>
              <w:rPr>
                <w:sz w:val="19"/>
              </w:rPr>
              <w:t>Forecast Bias</w:t>
            </w:r>
          </w:p>
        </w:tc>
        <w:tc>
          <w:tcPr>
            <w:tcW w:type="dxa" w:w="2304"/>
            <w:shd w:val="clear" w:color="auto" w:fill="EAF0F7"/>
          </w:tcPr>
          <w:p>
            <w:pPr>
              <w:spacing w:after="40" w:line="240" w:lineRule="auto"/>
            </w:pPr>
            <w:r>
              <w:rPr>
                <w:sz w:val="19"/>
              </w:rPr>
              <w:t>Forecasting &amp; Model Performance</w:t>
            </w:r>
          </w:p>
        </w:tc>
        <w:tc>
          <w:tcPr>
            <w:tcW w:type="dxa" w:w="2880"/>
            <w:shd w:val="clear" w:color="auto" w:fill="EAF0F7"/>
          </w:tcPr>
          <w:p>
            <w:pPr>
              <w:spacing w:after="40" w:line="240" w:lineRule="auto"/>
            </w:pPr>
            <w:r>
              <w:rPr>
                <w:sz w:val="19"/>
              </w:rPr>
              <w:t>Target = 0</w:t>
            </w:r>
          </w:p>
        </w:tc>
      </w:tr>
      <w:tr>
        <w:trPr>
          <w:cantSplit w:val="true"/>
        </w:trPr>
        <w:tc>
          <w:tcPr>
            <w:tcW w:type="dxa" w:w="1008"/>
          </w:tcPr>
          <w:p>
            <w:pPr>
              <w:spacing w:after="40" w:line="240" w:lineRule="auto"/>
            </w:pPr>
            <w:r>
              <w:rPr>
                <w:b/>
                <w:sz w:val="19"/>
              </w:rPr>
              <w:t>25</w:t>
            </w:r>
          </w:p>
        </w:tc>
        <w:tc>
          <w:tcPr>
            <w:tcW w:type="dxa" w:w="3168"/>
          </w:tcPr>
          <w:p>
            <w:pPr>
              <w:spacing w:after="40" w:line="240" w:lineRule="auto"/>
            </w:pPr>
            <w:r>
              <w:rPr>
                <w:sz w:val="19"/>
              </w:rPr>
              <w:t>Inventory-to-Sales Ratio (ISR)</w:t>
            </w:r>
          </w:p>
        </w:tc>
        <w:tc>
          <w:tcPr>
            <w:tcW w:type="dxa" w:w="2304"/>
          </w:tcPr>
          <w:p>
            <w:pPr>
              <w:spacing w:after="40" w:line="240" w:lineRule="auto"/>
            </w:pPr>
            <w:r>
              <w:rPr>
                <w:sz w:val="19"/>
              </w:rPr>
              <w:t>Forecasting &amp; Model Performance</w:t>
            </w:r>
          </w:p>
        </w:tc>
        <w:tc>
          <w:tcPr>
            <w:tcW w:type="dxa" w:w="2880"/>
          </w:tcPr>
          <w:p>
            <w:pPr>
              <w:spacing w:after="40" w:line="240" w:lineRule="auto"/>
            </w:pPr>
            <w:r>
              <w:rPr>
                <w:sz w:val="19"/>
              </w:rPr>
              <w:t>Pending POS integration</w:t>
            </w:r>
          </w:p>
        </w:tc>
      </w:tr>
      <w:tr>
        <w:trPr>
          <w:cantSplit w:val="true"/>
        </w:trPr>
        <w:tc>
          <w:tcPr>
            <w:tcW w:type="dxa" w:w="1008"/>
            <w:shd w:val="clear" w:color="auto" w:fill="EAF0F7"/>
          </w:tcPr>
          <w:p>
            <w:pPr>
              <w:spacing w:after="40" w:line="240" w:lineRule="auto"/>
            </w:pPr>
            <w:r>
              <w:rPr>
                <w:b/>
                <w:sz w:val="19"/>
              </w:rPr>
              <w:t>26</w:t>
            </w:r>
          </w:p>
        </w:tc>
        <w:tc>
          <w:tcPr>
            <w:tcW w:type="dxa" w:w="3168"/>
            <w:shd w:val="clear" w:color="auto" w:fill="EAF0F7"/>
          </w:tcPr>
          <w:p>
            <w:pPr>
              <w:spacing w:after="40" w:line="240" w:lineRule="auto"/>
            </w:pPr>
            <w:r>
              <w:rPr>
                <w:sz w:val="19"/>
              </w:rPr>
              <w:t>Stock-Out Rate</w:t>
            </w:r>
          </w:p>
        </w:tc>
        <w:tc>
          <w:tcPr>
            <w:tcW w:type="dxa" w:w="2304"/>
            <w:shd w:val="clear" w:color="auto" w:fill="EAF0F7"/>
          </w:tcPr>
          <w:p>
            <w:pPr>
              <w:spacing w:after="40" w:line="240" w:lineRule="auto"/>
            </w:pPr>
            <w:r>
              <w:rPr>
                <w:sz w:val="19"/>
              </w:rPr>
              <w:t>Forecasting &amp; Model Performance</w:t>
            </w:r>
          </w:p>
        </w:tc>
        <w:tc>
          <w:tcPr>
            <w:tcW w:type="dxa" w:w="2880"/>
            <w:shd w:val="clear" w:color="auto" w:fill="EAF0F7"/>
          </w:tcPr>
          <w:p>
            <w:pPr>
              <w:spacing w:after="40" w:line="240" w:lineRule="auto"/>
            </w:pPr>
            <w:r>
              <w:rPr>
                <w:sz w:val="19"/>
              </w:rPr>
              <w:t>Not tracked (baseline needed)</w:t>
            </w:r>
          </w:p>
        </w:tc>
      </w:tr>
      <w:tr>
        <w:trPr>
          <w:cantSplit w:val="true"/>
        </w:trPr>
        <w:tc>
          <w:tcPr>
            <w:tcW w:type="dxa" w:w="1008"/>
          </w:tcPr>
          <w:p>
            <w:pPr>
              <w:spacing w:after="40" w:line="240" w:lineRule="auto"/>
            </w:pPr>
            <w:r>
              <w:rPr>
                <w:b/>
                <w:sz w:val="19"/>
              </w:rPr>
              <w:t>27</w:t>
            </w:r>
          </w:p>
        </w:tc>
        <w:tc>
          <w:tcPr>
            <w:tcW w:type="dxa" w:w="3168"/>
          </w:tcPr>
          <w:p>
            <w:pPr>
              <w:spacing w:after="40" w:line="240" w:lineRule="auto"/>
            </w:pPr>
            <w:r>
              <w:rPr>
                <w:sz w:val="19"/>
              </w:rPr>
              <w:t>Procurement Cost Variance</w:t>
            </w:r>
          </w:p>
        </w:tc>
        <w:tc>
          <w:tcPr>
            <w:tcW w:type="dxa" w:w="2304"/>
          </w:tcPr>
          <w:p>
            <w:pPr>
              <w:spacing w:after="40" w:line="240" w:lineRule="auto"/>
            </w:pPr>
            <w:r>
              <w:rPr>
                <w:sz w:val="19"/>
              </w:rPr>
              <w:t>Forecasting &amp; Model Performance</w:t>
            </w:r>
          </w:p>
        </w:tc>
        <w:tc>
          <w:tcPr>
            <w:tcW w:type="dxa" w:w="2880"/>
          </w:tcPr>
          <w:p>
            <w:pPr>
              <w:spacing w:after="40" w:line="240" w:lineRule="auto"/>
            </w:pPr>
            <w:r>
              <w:rPr>
                <w:sz w:val="19"/>
              </w:rPr>
              <w:t>Target 10–20% over-order cost reduction</w:t>
            </w:r>
          </w:p>
        </w:tc>
      </w:tr>
      <w:tr>
        <w:trPr>
          <w:cantSplit w:val="true"/>
        </w:trPr>
        <w:tc>
          <w:tcPr>
            <w:tcW w:type="dxa" w:w="1008"/>
            <w:shd w:val="clear" w:color="auto" w:fill="EAF0F7"/>
          </w:tcPr>
          <w:p>
            <w:pPr>
              <w:spacing w:after="40" w:line="240" w:lineRule="auto"/>
            </w:pPr>
            <w:r>
              <w:rPr>
                <w:b/>
                <w:sz w:val="19"/>
              </w:rPr>
              <w:t>28</w:t>
            </w:r>
          </w:p>
        </w:tc>
        <w:tc>
          <w:tcPr>
            <w:tcW w:type="dxa" w:w="3168"/>
            <w:shd w:val="clear" w:color="auto" w:fill="EAF0F7"/>
          </w:tcPr>
          <w:p>
            <w:pPr>
              <w:spacing w:after="40" w:line="240" w:lineRule="auto"/>
            </w:pPr>
            <w:r>
              <w:rPr>
                <w:sz w:val="19"/>
              </w:rPr>
              <w:t>Vendor Concentration Index</w:t>
            </w:r>
          </w:p>
        </w:tc>
        <w:tc>
          <w:tcPr>
            <w:tcW w:type="dxa" w:w="2304"/>
            <w:shd w:val="clear" w:color="auto" w:fill="EAF0F7"/>
          </w:tcPr>
          <w:p>
            <w:pPr>
              <w:spacing w:after="40" w:line="240" w:lineRule="auto"/>
            </w:pPr>
            <w:r>
              <w:rPr>
                <w:sz w:val="19"/>
              </w:rPr>
              <w:t>Supply Chain</w:t>
            </w:r>
          </w:p>
        </w:tc>
        <w:tc>
          <w:tcPr>
            <w:tcW w:type="dxa" w:w="2880"/>
            <w:shd w:val="clear" w:color="auto" w:fill="EAF0F7"/>
          </w:tcPr>
          <w:p>
            <w:pPr>
              <w:spacing w:after="40" w:line="240" w:lineRule="auto"/>
            </w:pPr>
            <w:r>
              <w:rPr>
                <w:sz w:val="19"/>
              </w:rPr>
              <w:t>6 vendors; Sysco dominant</w:t>
            </w:r>
          </w:p>
        </w:tc>
      </w:tr>
      <w:tr>
        <w:trPr>
          <w:cantSplit w:val="true"/>
        </w:trPr>
        <w:tc>
          <w:tcPr>
            <w:tcW w:type="dxa" w:w="1008"/>
          </w:tcPr>
          <w:p>
            <w:pPr>
              <w:spacing w:after="40" w:line="240" w:lineRule="auto"/>
            </w:pPr>
            <w:r>
              <w:rPr>
                <w:b/>
                <w:sz w:val="19"/>
              </w:rPr>
              <w:t>29</w:t>
            </w:r>
          </w:p>
        </w:tc>
        <w:tc>
          <w:tcPr>
            <w:tcW w:type="dxa" w:w="3168"/>
          </w:tcPr>
          <w:p>
            <w:pPr>
              <w:spacing w:after="40" w:line="240" w:lineRule="auto"/>
            </w:pPr>
            <w:r>
              <w:rPr>
                <w:sz w:val="19"/>
              </w:rPr>
              <w:t>Procurement Template Coverage Rate</w:t>
            </w:r>
          </w:p>
        </w:tc>
        <w:tc>
          <w:tcPr>
            <w:tcW w:type="dxa" w:w="2304"/>
          </w:tcPr>
          <w:p>
            <w:pPr>
              <w:spacing w:after="40" w:line="240" w:lineRule="auto"/>
            </w:pPr>
            <w:r>
              <w:rPr>
                <w:sz w:val="19"/>
              </w:rPr>
              <w:t>Supply Chain</w:t>
            </w:r>
          </w:p>
        </w:tc>
        <w:tc>
          <w:tcPr>
            <w:tcW w:type="dxa" w:w="2880"/>
          </w:tcPr>
          <w:p>
            <w:pPr>
              <w:spacing w:after="40" w:line="240" w:lineRule="auto"/>
            </w:pPr>
            <w:r>
              <w:rPr>
                <w:sz w:val="19"/>
              </w:rPr>
              <w:t>≈ 11% (409 of 3,663)</w:t>
            </w:r>
          </w:p>
        </w:tc>
      </w:tr>
    </w:tbl>
    <w:p>
      <w:pPr>
        <w:pStyle w:val="Heading1"/>
      </w:pPr>
      <w:r>
        <w:t>Appendix — Index Categories Legend</w:t>
      </w:r>
    </w:p>
    <w:p>
      <w:pPr>
        <w:ind w:left="360"/>
      </w:pPr>
      <w:r>
        <w:rPr>
          <w:b/>
          <w:color w:val="1F3A5F"/>
        </w:rPr>
        <w:t xml:space="preserve">Inventory Performance: </w:t>
      </w:r>
      <w:r>
        <w:t>Measures the scale, trend, and efficiency of on-hand stock across units.</w:t>
      </w:r>
    </w:p>
    <w:p>
      <w:pPr>
        <w:ind w:left="360"/>
      </w:pPr>
      <w:r>
        <w:rPr>
          <w:b/>
          <w:color w:val="1F3A5F"/>
        </w:rPr>
        <w:t xml:space="preserve">Data Quality: </w:t>
      </w:r>
      <w:r>
        <w:t>Measures the reliability and completeness of the underlying data records.</w:t>
      </w:r>
    </w:p>
    <w:p>
      <w:pPr>
        <w:ind w:left="360"/>
      </w:pPr>
      <w:r>
        <w:rPr>
          <w:b/>
          <w:color w:val="1F3A5F"/>
        </w:rPr>
        <w:t xml:space="preserve">Demand &amp; Utilization: </w:t>
      </w:r>
      <w:r>
        <w:t>Measures the rate and pattern of service consumption (campus analog of patient utilization).</w:t>
      </w:r>
    </w:p>
    <w:p>
      <w:pPr>
        <w:ind w:left="360"/>
      </w:pPr>
      <w:r>
        <w:rPr>
          <w:b/>
          <w:color w:val="1F3A5F"/>
        </w:rPr>
        <w:t xml:space="preserve">Forecasting &amp; Model Performance: </w:t>
      </w:r>
      <w:r>
        <w:t>Target metrics for evaluating the predictive analytics system once built.</w:t>
      </w:r>
    </w:p>
    <w:p>
      <w:pPr>
        <w:ind w:left="360"/>
      </w:pPr>
      <w:r>
        <w:rPr>
          <w:b/>
          <w:color w:val="1F3A5F"/>
        </w:rPr>
        <w:t xml:space="preserve">Supply Chain: </w:t>
      </w:r>
      <w:r>
        <w:t>Measures the structural characteristics of the procurement and vendor network.</w:t>
      </w:r>
    </w:p>
    <w:p>
      <w:r>
        <w:rPr>
          <w:i/>
          <w:sz w:val="20"/>
        </w:rPr>
        <w:t>Data notes: Stale Count Rates are computed over week-to-week transitions (27 transitions across 28 weekly records per unit). Growth rates for Catering and Starbucks are calculated directly from the start and end subsection totals in the INRHTSUM report. SLU has no receiving logs and no waste logs; indices that would depend on them (e.g., fill rate, waste rate) are therefore excluded from this framework until such records are established.</w:t>
      </w:r>
    </w:p>
    <w:p>
      <w:r>
        <w:t>Together, these 29 indices constitute the full quantitative framework for the Sodexo SLU Dining Phase I analytics project. Baselines recorded now — before predictive models are deployed — become the before-and-after comparison that demonstrates measurable improvement and substantiates the NIW petition's claim of national benefit.</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1F3A5F"/>
        <w:sz w:val="18"/>
      </w:rPr>
      <w:t>Key Analytical Indices — Sodexo SLU Dining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6" w:space="4" w:color="1F3A5F"/>
      </w:pBdr>
    </w:pPr>
    <w:rPr>
      <w:rFonts w:ascii="Calibri" w:hAnsi="Calibri" w:cs="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cs="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