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000" w:after="120"/>
        <w:rPr/>
      </w:pPr>
      <w:r>
        <w:rPr/>
      </w:r>
    </w:p>
    <w:p>
      <w:pPr>
        <w:pStyle w:val="Title"/>
        <w:rPr/>
      </w:pPr>
      <w:r>
        <w:rPr/>
        <w:t>Sodexo SLU Dining × NIW Proposed Endeavor</w:t>
      </w:r>
    </w:p>
    <w:p>
      <w:pPr>
        <w:pStyle w:val="Subtitle"/>
        <w:spacing w:before="0" w:after="600"/>
        <w:rPr/>
      </w:pPr>
      <w:r>
        <w:rPr/>
        <w:t>Comprehensive Analysis, Strategic Recommendations &amp; Improvement Roadmap</w:t>
      </w:r>
    </w:p>
    <w:p>
      <w:pPr>
        <w:pStyle w:val="Normal"/>
        <w:rPr/>
      </w:pPr>
      <w:r>
        <w:rPr>
          <w:b/>
          <w:color w:val="1A1A1A"/>
          <w:sz w:val="22"/>
        </w:rPr>
        <w:t>Prepared for: Data Analyst, Sodexo – Saint Louis University Dining Services</w:t>
      </w:r>
    </w:p>
    <w:p>
      <w:pPr>
        <w:pStyle w:val="Normal"/>
        <w:rPr/>
      </w:pPr>
      <w:r>
        <w:rPr>
          <w:b w:val="false"/>
          <w:color w:val="1A1A1A"/>
          <w:sz w:val="22"/>
        </w:rPr>
        <w:t>Date: October 2026</w:t>
      </w:r>
    </w:p>
    <w:p>
      <w:pPr>
        <w:pStyle w:val="Normal"/>
        <w:pageBreakBefore w:val="false"/>
        <w:rPr/>
      </w:pPr>
      <w:r>
        <w:rPr>
          <w:b w:val="false"/>
          <w:color w:val="595959"/>
          <w:sz w:val="19"/>
        </w:rPr>
        <w:t>Basis: Grand Hall Day Parts Report (Oct 7, 2026); Grand Hall Produce and Sysco Order templates; 10 Revenue Center Active-Items exports and the SLU Pricing Export (June 26, 2026); Food Section and Supplies documents; Sodexo SLU NIW Revised Blueprint; author’s data notes (files.txt)</w:t>
      </w:r>
      <w:r>
        <w:br w:type="page"/>
      </w:r>
    </w:p>
    <w:p>
      <w:pPr>
        <w:pStyle w:val="Normal"/>
        <w:spacing w:before="0" w:after="120"/>
        <w:rPr/>
      </w:pPr>
      <w:r>
        <w:rPr>
          <w:b/>
          <w:color w:val="1F3864"/>
          <w:sz w:val="34"/>
        </w:rPr>
        <w:t>Table of 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"1-3" \u \h</w:instrText>
          </w:r>
          <w:r>
            <w:rPr>
              <w:rStyle w:val="IndexLink"/>
            </w:rPr>
            <w:fldChar w:fldCharType="separate"/>
          </w:r>
          <w:hyperlink w:anchor="__RefHeading___Toc1491_2060744472" w:tooltip="1. Executive Summary">
            <w:r>
              <w:rPr>
                <w:rStyle w:val="IndexLink"/>
              </w:rPr>
              <w:t>1. Executive Summary</w:t>
              <w:tab/>
              <w:t>4</w:t>
            </w:r>
          </w:hyperlink>
        </w:p>
        <w:p>
          <w:pPr>
            <w:pStyle w:val="TOC1"/>
            <w:tabs>
              <w:tab w:val="clear" w:pos="9360"/>
              <w:tab w:val="right" w:pos="9359" w:leader="dot"/>
            </w:tabs>
            <w:rPr/>
          </w:pPr>
          <w:hyperlink w:anchor="__RefHeading___Toc1493_2060744472" w:tooltip="2. Data Inventory: What the Author Has Gathered">
            <w:r>
              <w:rPr>
                <w:rStyle w:val="IndexLink"/>
              </w:rPr>
              <w:t>2. Data Inventory: What the Author Has Gathered</w:t>
              <w:tab/>
              <w:t>5</w:t>
            </w:r>
          </w:hyperlink>
        </w:p>
        <w:p>
          <w:pPr>
            <w:pStyle w:val="TOC2"/>
            <w:tabs>
              <w:tab w:val="clear" w:pos="9077"/>
              <w:tab w:val="right" w:pos="9359" w:leader="dot"/>
            </w:tabs>
            <w:rPr/>
          </w:pPr>
          <w:hyperlink w:anchor="__RefHeading___Toc1495_2060744472" w:tooltip="2.1 Day Parts / Utilization Data (Grand Hall, October 7, 2026)">
            <w:r>
              <w:rPr>
                <w:rStyle w:val="IndexLink"/>
              </w:rPr>
              <w:t>2.1 Day Parts / Utilization Data (Grand Hall, October 7, 2026)</w:t>
              <w:tab/>
              <w:t>5</w:t>
            </w:r>
          </w:hyperlink>
        </w:p>
        <w:p>
          <w:pPr>
            <w:pStyle w:val="TOC2"/>
            <w:tabs>
              <w:tab w:val="clear" w:pos="9077"/>
              <w:tab w:val="right" w:pos="9359" w:leader="dot"/>
            </w:tabs>
            <w:rPr/>
          </w:pPr>
          <w:hyperlink w:anchor="__RefHeading___Toc1497_2060744472" w:tooltip="2.2 Procurement / Order Data (Grand Hall Produce Order and Sysco Order)">
            <w:r>
              <w:rPr>
                <w:rStyle w:val="IndexLink"/>
              </w:rPr>
              <w:t>2.2 Procurement / Order Data (Grand Hall Produce Order and Sysco Order)</w:t>
              <w:tab/>
              <w:t>5</w:t>
            </w:r>
          </w:hyperlink>
        </w:p>
        <w:p>
          <w:pPr>
            <w:pStyle w:val="TOC2"/>
            <w:tabs>
              <w:tab w:val="clear" w:pos="9077"/>
              <w:tab w:val="right" w:pos="9359" w:leader="dot"/>
            </w:tabs>
            <w:rPr/>
          </w:pPr>
          <w:hyperlink w:anchor="__RefHeading___Toc1499_2060744472" w:tooltip="2.3 Revenue Center and Menu Catalog (10 Active-Items Files and Pricing Export)">
            <w:r>
              <w:rPr>
                <w:rStyle w:val="IndexLink"/>
              </w:rPr>
              <w:t>2.3 Revenue Center and Menu Catalog (10 Active-Items Files and Pricing Export)</w:t>
              <w:tab/>
              <w:t>6</w:t>
            </w:r>
          </w:hyperlink>
        </w:p>
        <w:p>
          <w:pPr>
            <w:pStyle w:val="TOC2"/>
            <w:tabs>
              <w:tab w:val="clear" w:pos="9077"/>
              <w:tab w:val="right" w:pos="9359" w:leader="dot"/>
            </w:tabs>
            <w:rPr/>
          </w:pPr>
          <w:hyperlink w:anchor="__RefHeading___Toc1501_2060744472" w:tooltip="2.4 Food Section / Menu Structure (Food section.docx)">
            <w:r>
              <w:rPr>
                <w:rStyle w:val="IndexLink"/>
              </w:rPr>
              <w:t>2.4 Food Section / Menu Structure (Food section.docx)</w:t>
              <w:tab/>
              <w:t>7</w:t>
            </w:r>
          </w:hyperlink>
        </w:p>
        <w:p>
          <w:pPr>
            <w:pStyle w:val="TOC2"/>
            <w:tabs>
              <w:tab w:val="clear" w:pos="9077"/>
              <w:tab w:val="right" w:pos="9359" w:leader="dot"/>
            </w:tabs>
            <w:rPr/>
          </w:pPr>
          <w:hyperlink w:anchor="__RefHeading___Toc1503_2060744472" w:tooltip="2.5 Supply Chain Partners (Supplies to SLU Dining.docx)">
            <w:r>
              <w:rPr>
                <w:rStyle w:val="IndexLink"/>
              </w:rPr>
              <w:t>2.5 Supply Chain Partners (Supplies to SLU Dining.docx)</w:t>
              <w:tab/>
              <w:t>8</w:t>
            </w:r>
          </w:hyperlink>
        </w:p>
        <w:p>
          <w:pPr>
            <w:pStyle w:val="TOC2"/>
            <w:tabs>
              <w:tab w:val="clear" w:pos="9077"/>
              <w:tab w:val="right" w:pos="9359" w:leader="dot"/>
            </w:tabs>
            <w:rPr/>
          </w:pPr>
          <w:hyperlink w:anchor="__RefHeading___Toc1505_2060744472" w:tooltip="2.6 NIW Blueprint (Sodexo_SLU_NIW_Revised_Blueprint.docx)">
            <w:r>
              <w:rPr>
                <w:rStyle w:val="IndexLink"/>
              </w:rPr>
              <w:t>2.6 NIW Blueprint (Sodexo_SLU_NIW_Revised_Blueprint.docx)</w:t>
              <w:tab/>
              <w:t>8</w:t>
            </w:r>
          </w:hyperlink>
        </w:p>
        <w:p>
          <w:pPr>
            <w:pStyle w:val="TOC2"/>
            <w:tabs>
              <w:tab w:val="clear" w:pos="9077"/>
              <w:tab w:val="right" w:pos="9359" w:leader="dot"/>
            </w:tabs>
            <w:rPr/>
          </w:pPr>
          <w:hyperlink w:anchor="__RefHeading___Toc2091_835317165" w:tooltip="2.7 Inventory Data (Sodexo Inventory Summary History Report)">
            <w:r>
              <w:rPr>
                <w:rStyle w:val="IndexLink"/>
              </w:rPr>
              <w:t>2.7 Inventory Data (Sodexo Inventory Summary History Report)</w:t>
              <w:tab/>
              <w:t>8</w:t>
            </w:r>
          </w:hyperlink>
        </w:p>
        <w:p>
          <w:pPr>
            <w:pStyle w:val="TOC3"/>
            <w:tabs>
              <w:tab w:val="clear" w:pos="8793"/>
              <w:tab w:val="right" w:pos="9359" w:leader="dot"/>
            </w:tabs>
            <w:rPr/>
          </w:pPr>
          <w:hyperlink w:anchor="__RefHeading___Toc2093_835317165" w:tooltip="Current Inventory Totals by Unit (Week Ending 10/09/2026)">
            <w:r>
              <w:rPr>
                <w:rStyle w:val="IndexLink"/>
              </w:rPr>
              <w:t>Current Inventory Totals by Unit (Week Ending 10/09/2026)</w:t>
              <w:tab/>
              <w:t>8</w:t>
            </w:r>
          </w:hyperlink>
        </w:p>
        <w:p>
          <w:pPr>
            <w:pStyle w:val="TOC3"/>
            <w:tabs>
              <w:tab w:val="clear" w:pos="8793"/>
              <w:tab w:val="right" w:pos="9359" w:leader="dot"/>
            </w:tabs>
            <w:rPr/>
          </w:pPr>
          <w:hyperlink w:anchor="__RefHeading___Toc2095_835317165" w:tooltip="Grand Dining Inventory Trend (Six-Month Comparison)">
            <w:r>
              <w:rPr>
                <w:rStyle w:val="IndexLink"/>
              </w:rPr>
              <w:t>Grand Dining Inventory Trend (Six-Month Comparison)</w:t>
              <w:tab/>
              <w:t>9</w:t>
            </w:r>
          </w:hyperlink>
        </w:p>
        <w:p>
          <w:pPr>
            <w:pStyle w:val="TOC3"/>
            <w:tabs>
              <w:tab w:val="clear" w:pos="8793"/>
              <w:tab w:val="right" w:pos="9359" w:leader="dot"/>
            </w:tabs>
            <w:rPr/>
          </w:pPr>
          <w:hyperlink w:anchor="__RefHeading___Toc2097_835317165" w:tooltip="Inventory Categories Tracked (Grand Dining — 6011 Food Group)">
            <w:r>
              <w:rPr>
                <w:rStyle w:val="IndexLink"/>
              </w:rPr>
              <w:t>Inventory Categories Tracked (Grand Dining — 6011 Food Group)</w:t>
              <w:tab/>
              <w:t>9</w:t>
            </w:r>
          </w:hyperlink>
        </w:p>
        <w:p>
          <w:pPr>
            <w:pStyle w:val="TOC2"/>
            <w:tabs>
              <w:tab w:val="clear" w:pos="9077"/>
              <w:tab w:val="right" w:pos="9359" w:leader="dot"/>
            </w:tabs>
            <w:rPr/>
          </w:pPr>
          <w:hyperlink w:anchor="__RefHeading___Toc1507_2060744472" w:tooltip="2.8 Overall Data Summary">
            <w:r>
              <w:rPr>
                <w:rStyle w:val="IndexLink"/>
              </w:rPr>
              <w:t>2.8 Overall Data Summary</w:t>
              <w:tab/>
              <w:t>9</w:t>
            </w:r>
          </w:hyperlink>
        </w:p>
        <w:p>
          <w:pPr>
            <w:pStyle w:val="TOC1"/>
            <w:tabs>
              <w:tab w:val="clear" w:pos="9360"/>
              <w:tab w:val="right" w:pos="9359" w:leader="dot"/>
            </w:tabs>
            <w:rPr/>
          </w:pPr>
          <w:hyperlink w:anchor="__RefHeading___Toc1509_2060744472" w:tooltip="3. How the Author Can Still Achieve the NIW Project from This Data">
            <w:r>
              <w:rPr>
                <w:rStyle w:val="IndexLink"/>
              </w:rPr>
              <w:t>3. How the Author Can Still Achieve the NIW Project from This Data</w:t>
              <w:tab/>
              <w:t>10</w:t>
            </w:r>
          </w:hyperlink>
        </w:p>
        <w:p>
          <w:pPr>
            <w:pStyle w:val="TOC2"/>
            <w:tabs>
              <w:tab w:val="clear" w:pos="9077"/>
              <w:tab w:val="right" w:pos="9359" w:leader="dot"/>
            </w:tabs>
            <w:rPr/>
          </w:pPr>
          <w:hyperlink w:anchor="__RefHeading___Toc1511_2060744472" w:tooltip="3.1 Data Sufficiency Assessment">
            <w:r>
              <w:rPr>
                <w:rStyle w:val="IndexLink"/>
              </w:rPr>
              <w:t>3.1 Data Sufficiency Assessment</w:t>
              <w:tab/>
              <w:t>10</w:t>
            </w:r>
          </w:hyperlink>
        </w:p>
        <w:p>
          <w:pPr>
            <w:pStyle w:val="TOC3"/>
            <w:tabs>
              <w:tab w:val="clear" w:pos="8793"/>
              <w:tab w:val="right" w:pos="9359" w:leader="dot"/>
            </w:tabs>
            <w:rPr/>
          </w:pPr>
          <w:hyperlink w:anchor="__RefHeading___Toc1513_2060744472" w:tooltip="What the data already proves">
            <w:r>
              <w:rPr>
                <w:rStyle w:val="IndexLink"/>
              </w:rPr>
              <w:t>What the data already proves</w:t>
              <w:tab/>
              <w:t>10</w:t>
            </w:r>
          </w:hyperlink>
        </w:p>
        <w:p>
          <w:pPr>
            <w:pStyle w:val="TOC3"/>
            <w:tabs>
              <w:tab w:val="clear" w:pos="8793"/>
              <w:tab w:val="right" w:pos="9359" w:leader="dot"/>
            </w:tabs>
            <w:rPr/>
          </w:pPr>
          <w:hyperlink w:anchor="__RefHeading___Toc1515_2060744472" w:tooltip="The NIW mapping: five domains, what exists, what to collect">
            <w:r>
              <w:rPr>
                <w:rStyle w:val="IndexLink"/>
              </w:rPr>
              <w:t>The NIW mapping: five domains, what exists, what to collect</w:t>
              <w:tab/>
              <w:t>10</w:t>
            </w:r>
          </w:hyperlink>
        </w:p>
        <w:p>
          <w:pPr>
            <w:pStyle w:val="TOC2"/>
            <w:tabs>
              <w:tab w:val="clear" w:pos="9077"/>
              <w:tab w:val="right" w:pos="9359" w:leader="dot"/>
            </w:tabs>
            <w:rPr/>
          </w:pPr>
          <w:hyperlink w:anchor="__RefHeading___Toc1517_2060744472" w:tooltip="3.2 Immediate Action Plan (Next 90 Days)">
            <w:r>
              <w:rPr>
                <w:rStyle w:val="IndexLink"/>
              </w:rPr>
              <w:t>3.2 Immediate Action Plan (Next 90 Days)</w:t>
              <w:tab/>
              <w:t>11</w:t>
            </w:r>
          </w:hyperlink>
        </w:p>
        <w:p>
          <w:pPr>
            <w:pStyle w:val="TOC2"/>
            <w:tabs>
              <w:tab w:val="clear" w:pos="9077"/>
              <w:tab w:val="right" w:pos="9359" w:leader="dot"/>
            </w:tabs>
            <w:rPr/>
          </w:pPr>
          <w:hyperlink w:anchor="__RefHeading___Toc1519_2060744472" w:tooltip="3.3 The Bridge to Health Institutions">
            <w:r>
              <w:rPr>
                <w:rStyle w:val="IndexLink"/>
              </w:rPr>
              <w:t>3.3 The Bridge to Health Institutions</w:t>
              <w:tab/>
              <w:t>12</w:t>
            </w:r>
          </w:hyperlink>
        </w:p>
        <w:p>
          <w:pPr>
            <w:pStyle w:val="TOC1"/>
            <w:tabs>
              <w:tab w:val="clear" w:pos="9360"/>
              <w:tab w:val="right" w:pos="9359" w:leader="dot"/>
            </w:tabs>
            <w:rPr/>
          </w:pPr>
          <w:hyperlink w:anchor="__RefHeading___Toc1521_2060744472" w:tooltip="4. Organizational Implementation Recommendations">
            <w:r>
              <w:rPr>
                <w:rStyle w:val="IndexLink"/>
              </w:rPr>
              <w:t>4. Organizational Implementation Recommendations</w:t>
              <w:tab/>
              <w:t>13</w:t>
            </w:r>
          </w:hyperlink>
        </w:p>
        <w:p>
          <w:pPr>
            <w:pStyle w:val="TOC2"/>
            <w:tabs>
              <w:tab w:val="clear" w:pos="9077"/>
              <w:tab w:val="right" w:pos="9359" w:leader="dot"/>
            </w:tabs>
            <w:rPr/>
          </w:pPr>
          <w:hyperlink w:anchor="__RefHeading___Toc1523_2060744472" w:tooltip="4.1 Recommendations for Sodexo (District and National Level)">
            <w:r>
              <w:rPr>
                <w:rStyle w:val="IndexLink"/>
              </w:rPr>
              <w:t>4.1 Recommendations for Sodexo (District and National Level)</w:t>
              <w:tab/>
              <w:t>13</w:t>
            </w:r>
          </w:hyperlink>
        </w:p>
        <w:p>
          <w:pPr>
            <w:pStyle w:val="TOC2"/>
            <w:tabs>
              <w:tab w:val="clear" w:pos="9077"/>
              <w:tab w:val="right" w:pos="9359" w:leader="dot"/>
            </w:tabs>
            <w:rPr/>
          </w:pPr>
          <w:hyperlink w:anchor="__RefHeading___Toc1525_2060744472" w:tooltip="4.2 Recommendations for SLU (the Client Institution)">
            <w:r>
              <w:rPr>
                <w:rStyle w:val="IndexLink"/>
              </w:rPr>
              <w:t>4.2 Recommendations for SLU (the Client Institution)</w:t>
              <w:tab/>
              <w:t>13</w:t>
            </w:r>
          </w:hyperlink>
        </w:p>
        <w:p>
          <w:pPr>
            <w:pStyle w:val="TOC2"/>
            <w:tabs>
              <w:tab w:val="clear" w:pos="9077"/>
              <w:tab w:val="right" w:pos="9359" w:leader="dot"/>
            </w:tabs>
            <w:rPr/>
          </w:pPr>
          <w:hyperlink w:anchor="__RefHeading___Toc1527_2060744472" w:tooltip="4.3 Recommendations for the Author’s Professional Development">
            <w:r>
              <w:rPr>
                <w:rStyle w:val="IndexLink"/>
              </w:rPr>
              <w:t>4.3 Recommendations for the Author’s Professional Development</w:t>
              <w:tab/>
              <w:t>14</w:t>
            </w:r>
          </w:hyperlink>
        </w:p>
        <w:p>
          <w:pPr>
            <w:pStyle w:val="TOC2"/>
            <w:tabs>
              <w:tab w:val="clear" w:pos="9077"/>
              <w:tab w:val="right" w:pos="9359" w:leader="dot"/>
            </w:tabs>
            <w:rPr/>
          </w:pPr>
          <w:hyperlink w:anchor="__RefHeading___Toc2099_835317165" w:tooltip="4.4 Data-Grounded Operational Recommendations">
            <w:r>
              <w:rPr>
                <w:rStyle w:val="IndexLink"/>
              </w:rPr>
              <w:t>4.4 Data-Grounded Operational Recommendations</w:t>
              <w:tab/>
              <w:t>14</w:t>
            </w:r>
          </w:hyperlink>
        </w:p>
        <w:p>
          <w:pPr>
            <w:pStyle w:val="TOC1"/>
            <w:tabs>
              <w:tab w:val="clear" w:pos="9360"/>
              <w:tab w:val="right" w:pos="9359" w:leader="dot"/>
            </w:tabs>
            <w:rPr/>
          </w:pPr>
          <w:hyperlink w:anchor="__RefHeading___Toc1529_2060744472" w:tooltip="5. What Sodexo at SLU Can Improve">
            <w:r>
              <w:rPr>
                <w:rStyle w:val="IndexLink"/>
              </w:rPr>
              <w:t>5. What Sodexo at SLU Can Improve</w:t>
              <w:tab/>
              <w:t>15</w:t>
            </w:r>
          </w:hyperlink>
        </w:p>
        <w:p>
          <w:pPr>
            <w:pStyle w:val="TOC2"/>
            <w:tabs>
              <w:tab w:val="clear" w:pos="9077"/>
              <w:tab w:val="right" w:pos="9359" w:leader="dot"/>
            </w:tabs>
            <w:rPr/>
          </w:pPr>
          <w:hyperlink w:anchor="__RefHeading___Toc1531_2060744472" w:tooltip="5.1 Data and Analytics Gaps">
            <w:r>
              <w:rPr>
                <w:rStyle w:val="IndexLink"/>
              </w:rPr>
              <w:t>5.1 Data and Analytics Gaps</w:t>
              <w:tab/>
              <w:t>15</w:t>
            </w:r>
          </w:hyperlink>
        </w:p>
        <w:p>
          <w:pPr>
            <w:pStyle w:val="TOC2"/>
            <w:tabs>
              <w:tab w:val="clear" w:pos="9077"/>
              <w:tab w:val="right" w:pos="9359" w:leader="dot"/>
            </w:tabs>
            <w:rPr/>
          </w:pPr>
          <w:hyperlink w:anchor="__RefHeading___Toc1533_2060744472" w:tooltip="5.2 Operational Gaps">
            <w:r>
              <w:rPr>
                <w:rStyle w:val="IndexLink"/>
              </w:rPr>
              <w:t>5.2 Operational Gaps</w:t>
              <w:tab/>
              <w:t>15</w:t>
            </w:r>
          </w:hyperlink>
        </w:p>
        <w:p>
          <w:pPr>
            <w:pStyle w:val="TOC2"/>
            <w:tabs>
              <w:tab w:val="clear" w:pos="9077"/>
              <w:tab w:val="right" w:pos="9359" w:leader="dot"/>
            </w:tabs>
            <w:rPr/>
          </w:pPr>
          <w:hyperlink w:anchor="__RefHeading___Toc1535_2060744472" w:tooltip="5.3 Service and Menu Improvements">
            <w:r>
              <w:rPr>
                <w:rStyle w:val="IndexLink"/>
              </w:rPr>
              <w:t>5.3 Service and Menu Improvements</w:t>
              <w:tab/>
              <w:t>16</w:t>
            </w:r>
          </w:hyperlink>
        </w:p>
        <w:p>
          <w:pPr>
            <w:pStyle w:val="TOC1"/>
            <w:tabs>
              <w:tab w:val="clear" w:pos="9360"/>
              <w:tab w:val="right" w:pos="9359" w:leader="dot"/>
            </w:tabs>
            <w:rPr/>
          </w:pPr>
          <w:hyperlink w:anchor="__RefHeading___Toc1537_2060744472" w:tooltip="6. The NIW Narrative: How This All Connects">
            <w:r>
              <w:rPr>
                <w:rStyle w:val="IndexLink"/>
              </w:rPr>
              <w:t>6. The NIW Narrative: How This All Connects</w:t>
              <w:tab/>
              <w:t>17</w:t>
            </w:r>
          </w:hyperlink>
        </w:p>
        <w:p>
          <w:pPr>
            <w:pStyle w:val="TOC1"/>
            <w:tabs>
              <w:tab w:val="clear" w:pos="9360"/>
              <w:tab w:val="right" w:pos="9359" w:leader="dot"/>
            </w:tabs>
            <w:rPr/>
          </w:pPr>
          <w:hyperlink w:anchor="__RefHeading___Toc1539_2060744472" w:tooltip="7. Conclusion and Next Steps">
            <w:r>
              <w:rPr>
                <w:rStyle w:val="IndexLink"/>
              </w:rPr>
              <w:t>7. Conclusion and Next Steps</w:t>
              <w:tab/>
              <w:t>18</w:t>
            </w:r>
          </w:hyperlink>
        </w:p>
        <w:p>
          <w:pPr>
            <w:pStyle w:val="TOC2"/>
            <w:tabs>
              <w:tab w:val="clear" w:pos="9077"/>
              <w:tab w:val="right" w:pos="9359" w:leader="dot"/>
            </w:tabs>
            <w:rPr/>
          </w:pPr>
          <w:hyperlink w:anchor="__RefHeading___Toc1541_2060744472" w:tooltip="7.1 The Five Most Critical Immediate Actions">
            <w:r>
              <w:rPr>
                <w:rStyle w:val="IndexLink"/>
              </w:rPr>
              <w:t>7.1 The Five Most Critical Immediate Actions</w:t>
              <w:tab/>
              <w:t>18</w:t>
            </w:r>
          </w:hyperlink>
        </w:p>
        <w:p>
          <w:pPr>
            <w:pStyle w:val="TOC2"/>
            <w:tabs>
              <w:tab w:val="clear" w:pos="9077"/>
              <w:tab w:val="right" w:pos="9359" w:leader="dot"/>
            </w:tabs>
            <w:rPr/>
          </w:pPr>
          <w:hyperlink w:anchor="__RefHeading___Toc1543_2060744472" w:tooltip="7.2 Restating the NIW Bridge">
            <w:r>
              <w:rPr>
                <w:rStyle w:val="IndexLink"/>
              </w:rPr>
              <w:t>7.2 Restating the NIW Bridge</w:t>
              <w:tab/>
              <w:t>18</w:t>
            </w:r>
          </w:hyperlink>
        </w:p>
        <w:p>
          <w:pPr>
            <w:pStyle w:val="TOC2"/>
            <w:tabs>
              <w:tab w:val="clear" w:pos="9077"/>
              <w:tab w:val="right" w:pos="9359" w:leader="dot"/>
            </w:tabs>
            <w:rPr/>
          </w:pPr>
          <w:hyperlink w:anchor="__RefHeading___Toc1545_2060744472" w:tooltip="7.3 Closing Assessment">
            <w:r>
              <w:rPr>
                <w:rStyle w:val="IndexLink"/>
              </w:rPr>
              <w:t>7.3 Closing Assessment</w:t>
              <w:tab/>
              <w:t>18</w:t>
            </w:r>
          </w:hyperlink>
          <w:r>
            <w:rPr>
              <w:rStyle w:val="IndexLink"/>
            </w:rPr>
            <w:fldChar w:fldCharType="end"/>
          </w:r>
        </w:p>
      </w:sdtContent>
    </w:sdt>
    <w:p>
      <w:pPr>
        <w:pStyle w:val="Heading1"/>
        <w:rPr/>
      </w:pPr>
      <w:r>
        <w:br w:type="page"/>
      </w:r>
      <w:bookmarkStart w:id="0" w:name="__RefHeading___Toc1491_2060744472"/>
      <w:bookmarkEnd w:id="0"/>
      <w:r>
        <w:rPr/>
        <w:t>1. Executive Summary</w:t>
      </w:r>
    </w:p>
    <w:p>
      <w:pPr>
        <w:pStyle w:val="Normal"/>
        <w:rPr/>
      </w:pPr>
      <w:r>
        <w:rPr>
          <w:b w:val="false"/>
        </w:rPr>
        <w:t xml:space="preserve">The author’s proposed endeavor for the EB-2 National Interest Waiver (NIW) is to </w:t>
      </w:r>
      <w:r>
        <w:rPr>
          <w:b/>
        </w:rPr>
        <w:t>develop, validate, deploy, and publicly disseminate an integrated predictive analytics system that enables U.S. health institutions to combine clinical, procurement, inventory, utilization, and population-health data to forecast chronic-disease burden, clinical demand, and medical-supply needs.</w:t>
      </w:r>
      <w:r>
        <w:rPr>
          <w:b w:val="false"/>
        </w:rPr>
        <w:t xml:space="preserve"> This report examines whether the data the author has gathered in their current role, Data Analyst at Sodexo – Saint Louis University (SLU) Dining Services, can credibly support that endeavor, and what the author, Sodexo, and SLU should do next.</w:t>
      </w:r>
    </w:p>
    <w:p>
      <w:pPr>
        <w:pStyle w:val="Normal"/>
        <w:rPr/>
      </w:pPr>
      <w:r>
        <w:rPr>
          <w:b w:val="false"/>
        </w:rPr>
        <w:t xml:space="preserve">The Revised Blueprint positions Sodexo SLU Dining as the </w:t>
      </w:r>
      <w:r>
        <w:rPr>
          <w:b/>
        </w:rPr>
        <w:t>Phase I proof-of-concept</w:t>
      </w:r>
      <w:r>
        <w:rPr>
          <w:b w:val="false"/>
        </w:rPr>
        <w:t>. It is a bounded institutional population that consumes a service at measurable rates and is supplied through a multi-vendor procurement chain managed against perishable inventory. That is the same structural problem a hospital faces. The Blueprint states plainly that no hospital or clinical patient data is involved at this stage. The bridge to health institutions is methodological: the same forecasting architecture, the same multi-domain data integration, and the same validation framework carry over unchanged, and only the source systems differ.</w:t>
      </w:r>
    </w:p>
    <w:p>
      <w:pPr>
        <w:pStyle w:val="Normal"/>
        <w:rPr/>
      </w:pPr>
      <w:r>
        <w:rPr>
          <w:b w:val="false"/>
        </w:rPr>
        <w:t xml:space="preserve">This report answers three questions. First, </w:t>
      </w:r>
      <w:r>
        <w:rPr>
          <w:b/>
        </w:rPr>
        <w:t>how the available data supports achieving the NIW project</w:t>
      </w:r>
      <w:r>
        <w:rPr>
          <w:b w:val="false"/>
        </w:rPr>
        <w:t xml:space="preserve">: Sections 2 and 3 inventory each file and map it to the five NIW data domains. Second, </w:t>
      </w:r>
      <w:r>
        <w:rPr>
          <w:b/>
        </w:rPr>
        <w:t>what the organizations involved should do to implement the system</w:t>
      </w:r>
      <w:r>
        <w:rPr>
          <w:b w:val="false"/>
        </w:rPr>
        <w:t xml:space="preserve">: Section 4 sets out recommendations for Sodexo, for SLU, and for the author’s own professional development. Third, </w:t>
      </w:r>
      <w:r>
        <w:rPr>
          <w:b/>
        </w:rPr>
        <w:t>where Sodexo at SLU can improve</w:t>
      </w:r>
      <w:r>
        <w:rPr>
          <w:b w:val="false"/>
        </w:rPr>
        <w:t>: Section 5 lists fourteen concrete operational, data, and menu improvements, each tied to evidence in the files. Sections 6 and 7 bring the findings together into an NIW narrative and a prioritized action plan.</w:t>
      </w:r>
    </w:p>
    <w:p>
      <w:pPr>
        <w:pStyle w:val="Normal"/>
        <w:rPr/>
      </w:pPr>
      <w:r>
        <w:rPr>
          <w:b/>
        </w:rPr>
        <w:t>Key finding.</w:t>
      </w:r>
      <w:r>
        <w:rPr>
          <w:b w:val="false"/>
        </w:rPr>
        <w:t xml:space="preserve"> The data gathered is sufficient to begin Phase I, and it maps directly to all five NIW data domains: utilization, procurement, inventory, population, and clinical/nutritional. The domains are not equally mature. The item catalog is strong (15,145 revenue-center records and 1,133 priced menu rows across 14 service outlets). Utilization data is real but covers only one day so far. Procurement data exists as a complete 409-line ordering template whose PAR and order-quantity columns are still empty. Population data has not yet been obtained. Each gap can be closed with a specific, low-cost action within 90 days, and closing it produces documented evidence of the endeavor in execution.</w:t>
      </w:r>
    </w:p>
    <w:tbl>
      <w:tblPr>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360"/>
      </w:tblGrid>
      <w:tr>
        <w:trPr>
          <w:cantSplit/>
        </w:trPr>
        <w:tc>
          <w:tcPr>
            <w:tcW w:w="9360" w:type="dxa"/>
            <w:tcBorders/>
            <w:shd w:color="auto" w:fill="EAF0F8" w:val="clear"/>
          </w:tcPr>
          <w:p>
            <w:pPr>
              <w:pStyle w:val="Normal"/>
              <w:spacing w:before="80" w:after="80"/>
              <w:rPr/>
            </w:pPr>
            <w:r>
              <w:rPr>
                <w:i/>
                <w:sz w:val="21"/>
              </w:rPr>
              <w:t>A data-integrity note on the Day Parts figures. The Oct 7, 2026 report shows 2,537 items sold (# Sold: Breakfast 604, Lunch 941, Dinner 992) and a control count of 2,533. The figure $1,940.07 is total gross revenue including taxes, not a transaction count. This report uses the corrected figures throughout so that every statistic traces exactly to the source file.</w:t>
            </w:r>
          </w:p>
        </w:tc>
      </w:tr>
    </w:tbl>
    <w:p>
      <w:pPr>
        <w:pStyle w:val="Normal"/>
        <w:spacing w:before="0" w:after="0"/>
        <w:rPr/>
      </w:pPr>
      <w:r>
        <w:rPr/>
      </w:r>
    </w:p>
    <w:p>
      <w:pPr>
        <w:pStyle w:val="Heading1"/>
        <w:rPr/>
      </w:pPr>
      <w:bookmarkStart w:id="1" w:name="__RefHeading___Toc1493_2060744472"/>
      <w:bookmarkEnd w:id="1"/>
      <w:r>
        <w:rPr/>
        <w:t>2. Data Inventory: What the Author Has Gathered</w:t>
      </w:r>
    </w:p>
    <w:p>
      <w:pPr>
        <w:pStyle w:val="Normal"/>
        <w:rPr/>
      </w:pPr>
      <w:r>
        <w:rPr>
          <w:b w:val="false"/>
        </w:rPr>
        <w:t>This section describes every data source the author supplied, using figures computed directly from the files. Together they are the raw material for the Phase I integrated analytics system.</w:t>
      </w:r>
    </w:p>
    <w:p>
      <w:pPr>
        <w:pStyle w:val="Heading2"/>
        <w:rPr/>
      </w:pPr>
      <w:bookmarkStart w:id="2" w:name="__RefHeading___Toc1495_2060744472"/>
      <w:bookmarkEnd w:id="2"/>
      <w:r>
        <w:rPr/>
        <w:t>2.1 Day Parts / Utilization Data (Grand Hall, October 7, 2026)</w:t>
      </w:r>
    </w:p>
    <w:p>
      <w:pPr>
        <w:pStyle w:val="Normal"/>
        <w:rPr/>
      </w:pPr>
      <w:r>
        <w:rPr>
          <w:b w:val="false"/>
        </w:rPr>
        <w:t>The Day Parts Report for location 13341001 MO SLU Grand Hall (created October 8, 2026) breaks one full service day into three meal periods under the SDX-Food major group and the SDX-Res-Dining family group. Because it is the residential dining (swipe) model, the very low average check reflects the per-swipe accounting of meal-plan transactions rather than true retail spending.</w:t>
      </w:r>
    </w:p>
    <w:tbl>
      <w:tblPr>
        <w:tblStyle w:val="TableGrid"/>
        <w:tblW w:w="111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871"/>
        <w:gridCol w:w="1441"/>
        <w:gridCol w:w="1800"/>
        <w:gridCol w:w="1296"/>
        <w:gridCol w:w="1870"/>
        <w:gridCol w:w="1442"/>
        <w:gridCol w:w="1440"/>
      </w:tblGrid>
      <w:tr>
        <w:trPr>
          <w:tblHeader w:val="true"/>
          <w:cantSplit/>
        </w:trPr>
        <w:tc>
          <w:tcPr>
            <w:tcW w:w="1871" w:type="dxa"/>
            <w:tcBorders/>
            <w:shd w:color="auto" w:fill="1F3864" w:val="clear"/>
          </w:tcPr>
          <w:p>
            <w:pPr>
              <w:pStyle w:val="Normal"/>
              <w:widowControl/>
              <w:suppressAutoHyphens w:val="true"/>
              <w:spacing w:lineRule="auto" w:line="240" w:before="40" w:after="40"/>
              <w:jc w:val="start"/>
              <w:rPr>
                <w:kern w:val="0"/>
                <w:szCs w:val="22"/>
                <w:lang w:val="en-US" w:eastAsia="en-US" w:bidi="ar-SA"/>
              </w:rPr>
            </w:pPr>
            <w:r>
              <w:rPr>
                <w:b/>
                <w:color w:val="FFFFFF"/>
                <w:kern w:val="0"/>
                <w:sz w:val="19"/>
                <w:szCs w:val="22"/>
                <w:lang w:val="en-US" w:eastAsia="en-US" w:bidi="ar-SA"/>
              </w:rPr>
              <w:t>Day Part</w:t>
            </w:r>
          </w:p>
        </w:tc>
        <w:tc>
          <w:tcPr>
            <w:tcW w:w="1441" w:type="dxa"/>
            <w:tcBorders/>
            <w:shd w:color="auto" w:fill="1F3864" w:val="clear"/>
          </w:tcPr>
          <w:p>
            <w:pPr>
              <w:pStyle w:val="Normal"/>
              <w:widowControl/>
              <w:suppressAutoHyphens w:val="true"/>
              <w:spacing w:lineRule="auto" w:line="240" w:before="40" w:after="40"/>
              <w:jc w:val="start"/>
              <w:rPr>
                <w:kern w:val="0"/>
                <w:szCs w:val="22"/>
                <w:lang w:val="en-US" w:eastAsia="en-US" w:bidi="ar-SA"/>
              </w:rPr>
            </w:pPr>
            <w:r>
              <w:rPr>
                <w:b/>
                <w:color w:val="FFFFFF"/>
                <w:kern w:val="0"/>
                <w:sz w:val="19"/>
                <w:szCs w:val="22"/>
                <w:lang w:val="en-US" w:eastAsia="en-US" w:bidi="ar-SA"/>
              </w:rPr>
              <w:t># Sold</w:t>
            </w:r>
          </w:p>
        </w:tc>
        <w:tc>
          <w:tcPr>
            <w:tcW w:w="1800" w:type="dxa"/>
            <w:tcBorders/>
            <w:shd w:color="auto" w:fill="1F3864" w:val="clear"/>
          </w:tcPr>
          <w:p>
            <w:pPr>
              <w:pStyle w:val="Normal"/>
              <w:widowControl/>
              <w:suppressAutoHyphens w:val="true"/>
              <w:spacing w:lineRule="auto" w:line="240" w:before="40" w:after="40"/>
              <w:jc w:val="start"/>
              <w:rPr>
                <w:kern w:val="0"/>
                <w:szCs w:val="22"/>
                <w:lang w:val="en-US" w:eastAsia="en-US" w:bidi="ar-SA"/>
              </w:rPr>
            </w:pPr>
            <w:r>
              <w:rPr>
                <w:b/>
                <w:color w:val="FFFFFF"/>
                <w:kern w:val="0"/>
                <w:sz w:val="19"/>
                <w:szCs w:val="22"/>
                <w:lang w:val="en-US" w:eastAsia="en-US" w:bidi="ar-SA"/>
              </w:rPr>
              <w:t>Food Revenue</w:t>
            </w:r>
          </w:p>
        </w:tc>
        <w:tc>
          <w:tcPr>
            <w:tcW w:w="1296" w:type="dxa"/>
            <w:tcBorders/>
            <w:shd w:color="auto" w:fill="1F3864" w:val="clear"/>
          </w:tcPr>
          <w:p>
            <w:pPr>
              <w:pStyle w:val="Normal"/>
              <w:widowControl/>
              <w:suppressAutoHyphens w:val="true"/>
              <w:spacing w:lineRule="auto" w:line="240" w:before="40" w:after="40"/>
              <w:jc w:val="start"/>
              <w:rPr>
                <w:kern w:val="0"/>
                <w:szCs w:val="22"/>
                <w:lang w:val="en-US" w:eastAsia="en-US" w:bidi="ar-SA"/>
              </w:rPr>
            </w:pPr>
            <w:r>
              <w:rPr>
                <w:b/>
                <w:color w:val="FFFFFF"/>
                <w:kern w:val="0"/>
                <w:sz w:val="19"/>
                <w:szCs w:val="22"/>
                <w:lang w:val="en-US" w:eastAsia="en-US" w:bidi="ar-SA"/>
              </w:rPr>
              <w:t>Taxes</w:t>
            </w:r>
          </w:p>
        </w:tc>
        <w:tc>
          <w:tcPr>
            <w:tcW w:w="1870" w:type="dxa"/>
            <w:tcBorders/>
            <w:shd w:color="auto" w:fill="1F3864" w:val="clear"/>
          </w:tcPr>
          <w:p>
            <w:pPr>
              <w:pStyle w:val="Normal"/>
              <w:widowControl/>
              <w:suppressAutoHyphens w:val="true"/>
              <w:spacing w:lineRule="auto" w:line="240" w:before="40" w:after="40"/>
              <w:jc w:val="start"/>
              <w:rPr>
                <w:kern w:val="0"/>
                <w:szCs w:val="22"/>
                <w:lang w:val="en-US" w:eastAsia="en-US" w:bidi="ar-SA"/>
              </w:rPr>
            </w:pPr>
            <w:r>
              <w:rPr>
                <w:b/>
                <w:color w:val="FFFFFF"/>
                <w:kern w:val="0"/>
                <w:sz w:val="19"/>
                <w:szCs w:val="22"/>
                <w:lang w:val="en-US" w:eastAsia="en-US" w:bidi="ar-SA"/>
              </w:rPr>
              <w:t>Gross Revenue</w:t>
            </w:r>
          </w:p>
        </w:tc>
        <w:tc>
          <w:tcPr>
            <w:tcW w:w="1442" w:type="dxa"/>
            <w:tcBorders/>
            <w:shd w:color="auto" w:fill="1F3864" w:val="clear"/>
          </w:tcPr>
          <w:p>
            <w:pPr>
              <w:pStyle w:val="Normal"/>
              <w:widowControl/>
              <w:suppressAutoHyphens w:val="true"/>
              <w:spacing w:lineRule="auto" w:line="240" w:before="40" w:after="40"/>
              <w:jc w:val="start"/>
              <w:rPr>
                <w:kern w:val="0"/>
                <w:szCs w:val="22"/>
                <w:lang w:val="en-US" w:eastAsia="en-US" w:bidi="ar-SA"/>
              </w:rPr>
            </w:pPr>
            <w:r>
              <w:rPr>
                <w:b/>
                <w:color w:val="FFFFFF"/>
                <w:kern w:val="0"/>
                <w:sz w:val="19"/>
                <w:szCs w:val="22"/>
                <w:lang w:val="en-US" w:eastAsia="en-US" w:bidi="ar-SA"/>
              </w:rPr>
              <w:t>Avg Check</w:t>
            </w:r>
          </w:p>
        </w:tc>
        <w:tc>
          <w:tcPr>
            <w:tcW w:w="1440" w:type="dxa"/>
            <w:tcBorders/>
            <w:shd w:color="auto" w:fill="1F3864" w:val="clear"/>
          </w:tcPr>
          <w:p>
            <w:pPr>
              <w:pStyle w:val="Normal"/>
              <w:widowControl/>
              <w:suppressAutoHyphens w:val="true"/>
              <w:spacing w:lineRule="auto" w:line="240" w:before="40" w:after="40"/>
              <w:jc w:val="start"/>
              <w:rPr>
                <w:kern w:val="0"/>
                <w:szCs w:val="22"/>
                <w:lang w:val="en-US" w:eastAsia="en-US" w:bidi="ar-SA"/>
              </w:rPr>
            </w:pPr>
            <w:r>
              <w:rPr>
                <w:b/>
                <w:color w:val="FFFFFF"/>
                <w:kern w:val="0"/>
                <w:sz w:val="19"/>
                <w:szCs w:val="22"/>
                <w:lang w:val="en-US" w:eastAsia="en-US" w:bidi="ar-SA"/>
              </w:rPr>
              <w:t>Control Count</w:t>
            </w:r>
          </w:p>
        </w:tc>
      </w:tr>
      <w:tr>
        <w:trPr>
          <w:cantSplit/>
        </w:trPr>
        <w:tc>
          <w:tcPr>
            <w:tcW w:w="1871"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Breakfast</w:t>
            </w:r>
          </w:p>
        </w:tc>
        <w:tc>
          <w:tcPr>
            <w:tcW w:w="1441"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604</w:t>
            </w:r>
          </w:p>
        </w:tc>
        <w:tc>
          <w:tcPr>
            <w:tcW w:w="1800"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$189.68</w:t>
            </w:r>
          </w:p>
        </w:tc>
        <w:tc>
          <w:tcPr>
            <w:tcW w:w="1296"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$4.50</w:t>
            </w:r>
          </w:p>
        </w:tc>
        <w:tc>
          <w:tcPr>
            <w:tcW w:w="1870"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$194.18</w:t>
            </w:r>
          </w:p>
        </w:tc>
        <w:tc>
          <w:tcPr>
            <w:tcW w:w="1442"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$0.32</w:t>
            </w:r>
          </w:p>
        </w:tc>
        <w:tc>
          <w:tcPr>
            <w:tcW w:w="1440"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604</w:t>
            </w:r>
          </w:p>
        </w:tc>
      </w:tr>
      <w:tr>
        <w:trPr>
          <w:cantSplit/>
        </w:trPr>
        <w:tc>
          <w:tcPr>
            <w:tcW w:w="1871"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Lunch</w:t>
            </w:r>
          </w:p>
        </w:tc>
        <w:tc>
          <w:tcPr>
            <w:tcW w:w="1441"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941</w:t>
            </w:r>
          </w:p>
        </w:tc>
        <w:tc>
          <w:tcPr>
            <w:tcW w:w="1800"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$1,426.92</w:t>
            </w:r>
          </w:p>
        </w:tc>
        <w:tc>
          <w:tcPr>
            <w:tcW w:w="1296"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$21.99</w:t>
            </w:r>
          </w:p>
        </w:tc>
        <w:tc>
          <w:tcPr>
            <w:tcW w:w="1870"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$1,448.91</w:t>
            </w:r>
          </w:p>
        </w:tc>
        <w:tc>
          <w:tcPr>
            <w:tcW w:w="1442"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$1.55</w:t>
            </w:r>
          </w:p>
        </w:tc>
        <w:tc>
          <w:tcPr>
            <w:tcW w:w="1440"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937</w:t>
            </w:r>
          </w:p>
        </w:tc>
      </w:tr>
      <w:tr>
        <w:trPr>
          <w:cantSplit/>
        </w:trPr>
        <w:tc>
          <w:tcPr>
            <w:tcW w:w="1871"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Dinner</w:t>
            </w:r>
          </w:p>
        </w:tc>
        <w:tc>
          <w:tcPr>
            <w:tcW w:w="1441"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992</w:t>
            </w:r>
          </w:p>
        </w:tc>
        <w:tc>
          <w:tcPr>
            <w:tcW w:w="1800"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$290.83</w:t>
            </w:r>
          </w:p>
        </w:tc>
        <w:tc>
          <w:tcPr>
            <w:tcW w:w="1296"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$6.15</w:t>
            </w:r>
          </w:p>
        </w:tc>
        <w:tc>
          <w:tcPr>
            <w:tcW w:w="1870"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$296.98</w:t>
            </w:r>
          </w:p>
        </w:tc>
        <w:tc>
          <w:tcPr>
            <w:tcW w:w="1442"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$0.30</w:t>
            </w:r>
          </w:p>
        </w:tc>
        <w:tc>
          <w:tcPr>
            <w:tcW w:w="1440"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992</w:t>
            </w:r>
          </w:p>
        </w:tc>
      </w:tr>
      <w:tr>
        <w:trPr>
          <w:cantSplit/>
        </w:trPr>
        <w:tc>
          <w:tcPr>
            <w:tcW w:w="1871" w:type="dxa"/>
            <w:tcBorders/>
            <w:shd w:color="auto" w:fill="D9E2F3" w:val="clear"/>
          </w:tcPr>
          <w:p>
            <w:pPr>
              <w:pStyle w:val="Normal"/>
              <w:widowControl/>
              <w:suppressAutoHyphens w:val="true"/>
              <w:spacing w:lineRule="auto" w:line="240" w:before="40" w:after="40"/>
              <w:jc w:val="start"/>
              <w:rPr>
                <w:kern w:val="0"/>
                <w:szCs w:val="22"/>
                <w:lang w:val="en-US" w:eastAsia="en-US" w:bidi="ar-SA"/>
              </w:rPr>
            </w:pPr>
            <w:r>
              <w:rPr>
                <w:b/>
                <w:kern w:val="0"/>
                <w:sz w:val="19"/>
                <w:szCs w:val="22"/>
                <w:lang w:val="en-US" w:eastAsia="en-US" w:bidi="ar-SA"/>
              </w:rPr>
              <w:t>Total</w:t>
            </w:r>
          </w:p>
        </w:tc>
        <w:tc>
          <w:tcPr>
            <w:tcW w:w="1441" w:type="dxa"/>
            <w:tcBorders/>
            <w:shd w:color="auto" w:fill="D9E2F3" w:val="clear"/>
          </w:tcPr>
          <w:p>
            <w:pPr>
              <w:pStyle w:val="Normal"/>
              <w:widowControl/>
              <w:suppressAutoHyphens w:val="true"/>
              <w:spacing w:lineRule="auto" w:line="240" w:before="40" w:after="40"/>
              <w:jc w:val="start"/>
              <w:rPr>
                <w:kern w:val="0"/>
                <w:szCs w:val="22"/>
                <w:lang w:val="en-US" w:eastAsia="en-US" w:bidi="ar-SA"/>
              </w:rPr>
            </w:pPr>
            <w:r>
              <w:rPr>
                <w:b/>
                <w:kern w:val="0"/>
                <w:sz w:val="19"/>
                <w:szCs w:val="22"/>
                <w:lang w:val="en-US" w:eastAsia="en-US" w:bidi="ar-SA"/>
              </w:rPr>
              <w:t>2,537</w:t>
            </w:r>
          </w:p>
        </w:tc>
        <w:tc>
          <w:tcPr>
            <w:tcW w:w="1800" w:type="dxa"/>
            <w:tcBorders/>
            <w:shd w:color="auto" w:fill="D9E2F3" w:val="clear"/>
          </w:tcPr>
          <w:p>
            <w:pPr>
              <w:pStyle w:val="Normal"/>
              <w:widowControl/>
              <w:suppressAutoHyphens w:val="true"/>
              <w:spacing w:lineRule="auto" w:line="240" w:before="40" w:after="40"/>
              <w:jc w:val="start"/>
              <w:rPr>
                <w:kern w:val="0"/>
                <w:szCs w:val="22"/>
                <w:lang w:val="en-US" w:eastAsia="en-US" w:bidi="ar-SA"/>
              </w:rPr>
            </w:pPr>
            <w:r>
              <w:rPr>
                <w:b/>
                <w:kern w:val="0"/>
                <w:sz w:val="19"/>
                <w:szCs w:val="22"/>
                <w:lang w:val="en-US" w:eastAsia="en-US" w:bidi="ar-SA"/>
              </w:rPr>
              <w:t>$1,907.43</w:t>
            </w:r>
          </w:p>
        </w:tc>
        <w:tc>
          <w:tcPr>
            <w:tcW w:w="1296" w:type="dxa"/>
            <w:tcBorders/>
            <w:shd w:color="auto" w:fill="D9E2F3" w:val="clear"/>
          </w:tcPr>
          <w:p>
            <w:pPr>
              <w:pStyle w:val="Normal"/>
              <w:widowControl/>
              <w:suppressAutoHyphens w:val="true"/>
              <w:spacing w:lineRule="auto" w:line="240" w:before="40" w:after="40"/>
              <w:jc w:val="start"/>
              <w:rPr>
                <w:kern w:val="0"/>
                <w:szCs w:val="22"/>
                <w:lang w:val="en-US" w:eastAsia="en-US" w:bidi="ar-SA"/>
              </w:rPr>
            </w:pPr>
            <w:r>
              <w:rPr>
                <w:b/>
                <w:kern w:val="0"/>
                <w:sz w:val="19"/>
                <w:szCs w:val="22"/>
                <w:lang w:val="en-US" w:eastAsia="en-US" w:bidi="ar-SA"/>
              </w:rPr>
              <w:t>$32.64</w:t>
            </w:r>
          </w:p>
        </w:tc>
        <w:tc>
          <w:tcPr>
            <w:tcW w:w="1870" w:type="dxa"/>
            <w:tcBorders/>
            <w:shd w:color="auto" w:fill="D9E2F3" w:val="clear"/>
          </w:tcPr>
          <w:p>
            <w:pPr>
              <w:pStyle w:val="Normal"/>
              <w:widowControl/>
              <w:suppressAutoHyphens w:val="true"/>
              <w:spacing w:lineRule="auto" w:line="240" w:before="40" w:after="40"/>
              <w:jc w:val="start"/>
              <w:rPr>
                <w:kern w:val="0"/>
                <w:szCs w:val="22"/>
                <w:lang w:val="en-US" w:eastAsia="en-US" w:bidi="ar-SA"/>
              </w:rPr>
            </w:pPr>
            <w:r>
              <w:rPr>
                <w:b/>
                <w:kern w:val="0"/>
                <w:sz w:val="19"/>
                <w:szCs w:val="22"/>
                <w:lang w:val="en-US" w:eastAsia="en-US" w:bidi="ar-SA"/>
              </w:rPr>
              <w:t>$1,940.07</w:t>
            </w:r>
          </w:p>
        </w:tc>
        <w:tc>
          <w:tcPr>
            <w:tcW w:w="1442" w:type="dxa"/>
            <w:tcBorders/>
            <w:shd w:color="auto" w:fill="D9E2F3" w:val="clear"/>
          </w:tcPr>
          <w:p>
            <w:pPr>
              <w:pStyle w:val="Normal"/>
              <w:widowControl/>
              <w:suppressAutoHyphens w:val="true"/>
              <w:spacing w:lineRule="auto" w:line="240" w:before="40" w:after="40"/>
              <w:jc w:val="start"/>
              <w:rPr>
                <w:kern w:val="0"/>
                <w:szCs w:val="22"/>
                <w:lang w:val="en-US" w:eastAsia="en-US" w:bidi="ar-SA"/>
              </w:rPr>
            </w:pPr>
            <w:r>
              <w:rPr>
                <w:b/>
                <w:kern w:val="0"/>
                <w:sz w:val="19"/>
                <w:szCs w:val="22"/>
                <w:lang w:val="en-US" w:eastAsia="en-US" w:bidi="ar-SA"/>
              </w:rPr>
              <w:t>—</w:t>
            </w:r>
          </w:p>
        </w:tc>
        <w:tc>
          <w:tcPr>
            <w:tcW w:w="1440" w:type="dxa"/>
            <w:tcBorders/>
            <w:shd w:color="auto" w:fill="D9E2F3" w:val="clear"/>
          </w:tcPr>
          <w:p>
            <w:pPr>
              <w:pStyle w:val="Normal"/>
              <w:widowControl/>
              <w:suppressAutoHyphens w:val="true"/>
              <w:spacing w:lineRule="auto" w:line="240" w:before="40" w:after="40"/>
              <w:jc w:val="start"/>
              <w:rPr>
                <w:kern w:val="0"/>
                <w:szCs w:val="22"/>
                <w:lang w:val="en-US" w:eastAsia="en-US" w:bidi="ar-SA"/>
              </w:rPr>
            </w:pPr>
            <w:r>
              <w:rPr>
                <w:b/>
                <w:kern w:val="0"/>
                <w:sz w:val="19"/>
                <w:szCs w:val="22"/>
                <w:lang w:val="en-US" w:eastAsia="en-US" w:bidi="ar-SA"/>
              </w:rPr>
              <w:t>2,533</w:t>
            </w:r>
          </w:p>
        </w:tc>
      </w:tr>
    </w:tbl>
    <w:p>
      <w:pPr>
        <w:pStyle w:val="Caption"/>
        <w:rPr/>
      </w:pPr>
      <w:r>
        <w:rPr/>
        <w:t>Table 1. Grand Hall Day Parts Report, October 7, 2026 (source: Day Parts CSV).</w:t>
      </w:r>
    </w:p>
    <w:p>
      <w:pPr>
        <w:pStyle w:val="Normal"/>
        <w:keepNext w:val="true"/>
        <w:jc w:val="center"/>
        <w:rPr/>
      </w:pPr>
      <w:r>
        <w:rPr/>
        <w:drawing>
          <wp:inline distT="0" distB="0" distL="0" distR="0">
            <wp:extent cx="5943600" cy="2139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943600" cy="2139950"/>
                    </a:xfrm>
                    <a:prstGeom prst="rect">
                      <a:avLst/>
                    </a:prstGeom>
                    <a:noFill/>
                  </pic:spPr>
                </pic:pic>
              </a:graphicData>
            </a:graphic>
          </wp:inline>
        </w:drawing>
      </w:r>
    </w:p>
    <w:p>
      <w:pPr>
        <w:pStyle w:val="Caption"/>
        <w:jc w:val="center"/>
        <w:rPr/>
      </w:pPr>
      <w:r>
        <w:rPr/>
        <w:t>Figure 1. Grand Hall demand and revenue by meal period, October 7, 2026.</w:t>
      </w:r>
    </w:p>
    <w:p>
      <w:pPr>
        <w:pStyle w:val="Normal"/>
        <w:rPr/>
      </w:pPr>
      <w:r>
        <w:rPr>
          <w:b w:val="false"/>
        </w:rPr>
        <w:t xml:space="preserve">Three patterns stand out. </w:t>
      </w:r>
      <w:r>
        <w:rPr>
          <w:b/>
        </w:rPr>
        <w:t>Dinner carries the highest volume</w:t>
      </w:r>
      <w:r>
        <w:rPr>
          <w:b w:val="false"/>
        </w:rPr>
        <w:t xml:space="preserve"> (992 items sold, 39.1% of the day). </w:t>
      </w:r>
      <w:r>
        <w:rPr>
          <w:b/>
        </w:rPr>
        <w:t>Lunch generates the most revenue</w:t>
      </w:r>
      <w:r>
        <w:rPr>
          <w:b w:val="false"/>
        </w:rPr>
        <w:t xml:space="preserve"> ($1,426.92 in food revenue, 74.8% of the day’s food revenue), which suggests a heavier mix of priced, non-swipe transactions at midday. </w:t>
      </w:r>
      <w:r>
        <w:rPr>
          <w:b/>
        </w:rPr>
        <w:t>Breakfast is the lightest period</w:t>
      </w:r>
      <w:r>
        <w:rPr>
          <w:b w:val="false"/>
        </w:rPr>
        <w:t xml:space="preserve"> (604). The author’s notes (files.txt) give typical swipe levels of about 600 breakfast, 900 lunch, and 1,000 dinner, which confirms that the October 7 profile is representative. This daily record is the utilization domain in its simplest form: meal swipes are the campus counterpart of patient visits or daily census.</w:t>
      </w:r>
    </w:p>
    <w:p>
      <w:pPr>
        <w:pStyle w:val="Heading2"/>
        <w:rPr/>
      </w:pPr>
      <w:bookmarkStart w:id="3" w:name="__RefHeading___Toc1497_2060744472"/>
      <w:bookmarkEnd w:id="3"/>
      <w:r>
        <w:rPr/>
        <w:t>2.2 Procurement / Order Data (Grand Hall Produce Order and Sysco Order)</w:t>
      </w:r>
    </w:p>
    <w:p>
      <w:pPr>
        <w:pStyle w:val="Normal"/>
        <w:rPr/>
      </w:pPr>
      <w:r>
        <w:rPr>
          <w:b w:val="false"/>
        </w:rPr>
        <w:t xml:space="preserve">The two order workbooks are full ordering templates with the columns ITEM, PAR, MON, WED, and FRI. Each holds </w:t>
      </w:r>
      <w:r>
        <w:rPr>
          <w:b/>
        </w:rPr>
        <w:t>409 item lines (408 unique item names)</w:t>
      </w:r>
      <w:r>
        <w:rPr>
          <w:b w:val="false"/>
        </w:rPr>
        <w:t xml:space="preserve">, and both contain the </w:t>
      </w:r>
      <w:r>
        <w:rPr>
          <w:b/>
        </w:rPr>
        <w:t>same item list</w:t>
      </w:r>
      <w:r>
        <w:rPr>
          <w:b w:val="false"/>
        </w:rPr>
        <w:t>. That list covers the whole Grand Hall food catalog: pastries and bakery items (cinnamon cookies, assorted danish, scones, cinnamon roll dough, yeast-glazed donuts), IQF frozen fruits (mango, blueberries, blackberry, strawberry, cranberry), IQF vegetables, plant-based proteins (meatball, burger, hotdog, breakfast sausage, falafel), pizza sauce and crusts, rice and pasta, sauces and spices, seafood (e.g., shrimp 21/25), deli meats, cheeses, dairy alternatives (e.g., chocolate soy milk), and gluten-free products (gluten-free flour and sandwich bread).</w:t>
      </w:r>
    </w:p>
    <w:p>
      <w:pPr>
        <w:pStyle w:val="Normal"/>
        <w:rPr/>
      </w:pPr>
      <w:r>
        <w:rPr>
          <w:b w:val="false"/>
        </w:rPr>
        <w:t xml:space="preserve">Below the header row, the </w:t>
      </w:r>
      <w:r>
        <w:rPr>
          <w:b/>
        </w:rPr>
        <w:t>PAR, MON, WED, and FRI columns are completely empty</w:t>
      </w:r>
      <w:r>
        <w:rPr>
          <w:b w:val="false"/>
        </w:rPr>
        <w:t>. The Monday/Wednesday/Friday ordering rhythm is built into the template, but there are no target stock levels and no recorded order quantities yet. This is the most important procurement gap and also the clearest improvement opportunity. These files are the procurement domain: they are the campus counterpart of a hospital’s medical-supply purchase order.</w:t>
      </w:r>
    </w:p>
    <w:p>
      <w:pPr>
        <w:pStyle w:val="Normal"/>
        <w:rPr/>
      </w:pPr>
      <w:r>
        <w:rPr/>
        <w:t>PAR level fields, Monday/Wednesday/Friday order quantities, and order quantity columns are currently blank across both order templates. This absence of established PAR levels is consistent with the inventory accumulation trends identified in Section 2.7. Completing PAR levels for both the Produce and Sysco templates is the highest-priority procurement improvement.</w:t>
      </w:r>
    </w:p>
    <w:p>
      <w:pPr>
        <w:pStyle w:val="Heading2"/>
        <w:rPr/>
      </w:pPr>
      <w:bookmarkStart w:id="4" w:name="__RefHeading___Toc1499_2060744472"/>
      <w:bookmarkEnd w:id="4"/>
      <w:r>
        <w:rPr/>
        <w:t>2.3 Revenue Center and Menu Catalog (10 Active-Items Files and Pricing Export)</w:t>
      </w:r>
    </w:p>
    <w:p>
      <w:pPr>
        <w:pStyle w:val="Normal"/>
        <w:rPr/>
      </w:pPr>
      <w:r>
        <w:rPr>
          <w:b w:val="false"/>
        </w:rPr>
        <w:t xml:space="preserve">The ten Revenue Center Active-Items exports (dated June 26, 2026) contain </w:t>
      </w:r>
      <w:r>
        <w:rPr>
          <w:b/>
        </w:rPr>
        <w:t>15,145 item records</w:t>
      </w:r>
      <w:r>
        <w:rPr>
          <w:b w:val="false"/>
        </w:rPr>
        <w:t xml:space="preserve"> with 23 attributes each, including validation status, product code, button and item status, price, cost, category, subcategory, brand, and recipe number. Every record carries Item Status = Active. Validation status is </w:t>
      </w:r>
      <w:r>
        <w:rPr>
          <w:b/>
        </w:rPr>
        <w:t>15,075 Validated, 36 Non-Validated, and 34 New</w:t>
      </w:r>
      <w:r>
        <w:rPr>
          <w:b w:val="false"/>
        </w:rPr>
        <w:t xml:space="preserve">. The catalog resolves to </w:t>
      </w:r>
      <w:r>
        <w:rPr>
          <w:b/>
        </w:rPr>
        <w:t>3,663 unique product codes</w:t>
      </w:r>
      <w:r>
        <w:rPr>
          <w:b w:val="false"/>
        </w:rPr>
        <w:t>. Most items are repeated across several revenue-center files, so the 15,145 records describe outlet-item assignments rather than 15,145 distinct products.</w:t>
      </w:r>
    </w:p>
    <w:tbl>
      <w:tblPr>
        <w:tblStyle w:val="TableGrid"/>
        <w:tblW w:w="1094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740"/>
        <w:gridCol w:w="1732"/>
        <w:gridCol w:w="3740"/>
        <w:gridCol w:w="1732"/>
      </w:tblGrid>
      <w:tr>
        <w:trPr>
          <w:tblHeader w:val="true"/>
          <w:cantSplit/>
        </w:trPr>
        <w:tc>
          <w:tcPr>
            <w:tcW w:w="3740" w:type="dxa"/>
            <w:tcBorders/>
            <w:shd w:color="auto" w:fill="1F3864" w:val="clear"/>
          </w:tcPr>
          <w:p>
            <w:pPr>
              <w:pStyle w:val="Normal"/>
              <w:widowControl/>
              <w:suppressAutoHyphens w:val="true"/>
              <w:spacing w:lineRule="auto" w:line="240" w:before="40" w:after="40"/>
              <w:jc w:val="start"/>
              <w:rPr>
                <w:kern w:val="0"/>
                <w:szCs w:val="22"/>
                <w:lang w:val="en-US" w:eastAsia="en-US" w:bidi="ar-SA"/>
              </w:rPr>
            </w:pPr>
            <w:r>
              <w:rPr>
                <w:b/>
                <w:color w:val="FFFFFF"/>
                <w:kern w:val="0"/>
                <w:sz w:val="19"/>
                <w:szCs w:val="22"/>
                <w:lang w:val="en-US" w:eastAsia="en-US" w:bidi="ar-SA"/>
              </w:rPr>
              <w:t>Brand (records)</w:t>
            </w:r>
          </w:p>
        </w:tc>
        <w:tc>
          <w:tcPr>
            <w:tcW w:w="1732" w:type="dxa"/>
            <w:tcBorders/>
            <w:shd w:color="auto" w:fill="1F3864" w:val="clear"/>
          </w:tcPr>
          <w:p>
            <w:pPr>
              <w:pStyle w:val="Normal"/>
              <w:widowControl/>
              <w:suppressAutoHyphens w:val="true"/>
              <w:spacing w:lineRule="auto" w:line="240" w:before="40" w:after="40"/>
              <w:jc w:val="start"/>
              <w:rPr>
                <w:kern w:val="0"/>
                <w:szCs w:val="22"/>
                <w:lang w:val="en-US" w:eastAsia="en-US" w:bidi="ar-SA"/>
              </w:rPr>
            </w:pPr>
            <w:r>
              <w:rPr>
                <w:b/>
                <w:color w:val="FFFFFF"/>
                <w:kern w:val="0"/>
                <w:sz w:val="19"/>
                <w:szCs w:val="22"/>
                <w:lang w:val="en-US" w:eastAsia="en-US" w:bidi="ar-SA"/>
              </w:rPr>
              <w:t>Count</w:t>
            </w:r>
          </w:p>
        </w:tc>
        <w:tc>
          <w:tcPr>
            <w:tcW w:w="3740" w:type="dxa"/>
            <w:tcBorders/>
            <w:shd w:color="auto" w:fill="1F3864" w:val="clear"/>
          </w:tcPr>
          <w:p>
            <w:pPr>
              <w:pStyle w:val="Normal"/>
              <w:widowControl/>
              <w:suppressAutoHyphens w:val="true"/>
              <w:spacing w:lineRule="auto" w:line="240" w:before="40" w:after="40"/>
              <w:jc w:val="start"/>
              <w:rPr>
                <w:kern w:val="0"/>
                <w:szCs w:val="22"/>
                <w:lang w:val="en-US" w:eastAsia="en-US" w:bidi="ar-SA"/>
              </w:rPr>
            </w:pPr>
            <w:r>
              <w:rPr>
                <w:b/>
                <w:color w:val="FFFFFF"/>
                <w:kern w:val="0"/>
                <w:sz w:val="19"/>
                <w:szCs w:val="22"/>
                <w:lang w:val="en-US" w:eastAsia="en-US" w:bidi="ar-SA"/>
              </w:rPr>
              <w:t>Brand (records)</w:t>
            </w:r>
          </w:p>
        </w:tc>
        <w:tc>
          <w:tcPr>
            <w:tcW w:w="1732" w:type="dxa"/>
            <w:tcBorders/>
            <w:shd w:color="auto" w:fill="1F3864" w:val="clear"/>
          </w:tcPr>
          <w:p>
            <w:pPr>
              <w:pStyle w:val="Normal"/>
              <w:widowControl/>
              <w:suppressAutoHyphens w:val="true"/>
              <w:spacing w:lineRule="auto" w:line="240" w:before="40" w:after="40"/>
              <w:jc w:val="start"/>
              <w:rPr>
                <w:kern w:val="0"/>
                <w:szCs w:val="22"/>
                <w:lang w:val="en-US" w:eastAsia="en-US" w:bidi="ar-SA"/>
              </w:rPr>
            </w:pPr>
            <w:r>
              <w:rPr>
                <w:b/>
                <w:color w:val="FFFFFF"/>
                <w:kern w:val="0"/>
                <w:sz w:val="19"/>
                <w:szCs w:val="22"/>
                <w:lang w:val="en-US" w:eastAsia="en-US" w:bidi="ar-SA"/>
              </w:rPr>
              <w:t>Count</w:t>
            </w:r>
          </w:p>
        </w:tc>
      </w:tr>
      <w:tr>
        <w:trPr>
          <w:cantSplit/>
        </w:trPr>
        <w:tc>
          <w:tcPr>
            <w:tcW w:w="3740"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Busy Body Meals</w:t>
            </w:r>
          </w:p>
        </w:tc>
        <w:tc>
          <w:tcPr>
            <w:tcW w:w="1732"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960</w:t>
            </w:r>
          </w:p>
        </w:tc>
        <w:tc>
          <w:tcPr>
            <w:tcW w:w="3740"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Bold Spoon Creamery</w:t>
            </w:r>
          </w:p>
        </w:tc>
        <w:tc>
          <w:tcPr>
            <w:tcW w:w="1732"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162</w:t>
            </w:r>
          </w:p>
        </w:tc>
      </w:tr>
      <w:tr>
        <w:trPr>
          <w:cantSplit/>
        </w:trPr>
        <w:tc>
          <w:tcPr>
            <w:tcW w:w="3740"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Pepsi</w:t>
            </w:r>
          </w:p>
        </w:tc>
        <w:tc>
          <w:tcPr>
            <w:tcW w:w="1732"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520</w:t>
            </w:r>
          </w:p>
        </w:tc>
        <w:tc>
          <w:tcPr>
            <w:tcW w:w="3740"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Gatorade</w:t>
            </w:r>
          </w:p>
        </w:tc>
        <w:tc>
          <w:tcPr>
            <w:tcW w:w="1732"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139</w:t>
            </w:r>
          </w:p>
        </w:tc>
      </w:tr>
      <w:tr>
        <w:trPr>
          <w:cantSplit/>
        </w:trPr>
        <w:tc>
          <w:tcPr>
            <w:tcW w:w="3740"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Frito Lay</w:t>
            </w:r>
          </w:p>
        </w:tc>
        <w:tc>
          <w:tcPr>
            <w:tcW w:w="1732"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281</w:t>
            </w:r>
          </w:p>
        </w:tc>
        <w:tc>
          <w:tcPr>
            <w:tcW w:w="3740"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Pringles</w:t>
            </w:r>
          </w:p>
        </w:tc>
        <w:tc>
          <w:tcPr>
            <w:tcW w:w="1732"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117</w:t>
            </w:r>
          </w:p>
        </w:tc>
      </w:tr>
      <w:tr>
        <w:trPr>
          <w:cantSplit/>
        </w:trPr>
        <w:tc>
          <w:tcPr>
            <w:tcW w:w="3740"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Hissho Sushi (V1 Primary)</w:t>
            </w:r>
          </w:p>
        </w:tc>
        <w:tc>
          <w:tcPr>
            <w:tcW w:w="1732"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232</w:t>
            </w:r>
          </w:p>
        </w:tc>
        <w:tc>
          <w:tcPr>
            <w:tcW w:w="3740"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Hostess / Rootberry</w:t>
            </w:r>
          </w:p>
        </w:tc>
        <w:tc>
          <w:tcPr>
            <w:tcW w:w="1732"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114 each</w:t>
            </w:r>
          </w:p>
        </w:tc>
      </w:tr>
      <w:tr>
        <w:trPr>
          <w:cantSplit/>
        </w:trPr>
        <w:tc>
          <w:tcPr>
            <w:tcW w:w="3740"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MeinBowl (V1)</w:t>
            </w:r>
          </w:p>
        </w:tc>
        <w:tc>
          <w:tcPr>
            <w:tcW w:w="1732"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229</w:t>
            </w:r>
          </w:p>
        </w:tc>
        <w:tc>
          <w:tcPr>
            <w:tcW w:w="3740"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Nabisco</w:t>
            </w:r>
          </w:p>
        </w:tc>
        <w:tc>
          <w:tcPr>
            <w:tcW w:w="1732"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106</w:t>
            </w:r>
          </w:p>
        </w:tc>
      </w:tr>
      <w:tr>
        <w:trPr>
          <w:cantSplit/>
        </w:trPr>
        <w:tc>
          <w:tcPr>
            <w:tcW w:w="3740"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Celsius</w:t>
            </w:r>
          </w:p>
        </w:tc>
        <w:tc>
          <w:tcPr>
            <w:tcW w:w="1732"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182</w:t>
            </w:r>
          </w:p>
        </w:tc>
        <w:tc>
          <w:tcPr>
            <w:tcW w:w="3740"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Lays</w:t>
            </w:r>
          </w:p>
        </w:tc>
        <w:tc>
          <w:tcPr>
            <w:tcW w:w="1732"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93</w:t>
            </w:r>
          </w:p>
        </w:tc>
      </w:tr>
      <w:tr>
        <w:trPr>
          <w:cantSplit/>
        </w:trPr>
        <w:tc>
          <w:tcPr>
            <w:tcW w:w="3740"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Einsteins</w:t>
            </w:r>
          </w:p>
        </w:tc>
        <w:tc>
          <w:tcPr>
            <w:tcW w:w="1732"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171</w:t>
            </w:r>
          </w:p>
        </w:tc>
        <w:tc>
          <w:tcPr>
            <w:tcW w:w="3740"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Doritos</w:t>
            </w:r>
          </w:p>
        </w:tc>
        <w:tc>
          <w:tcPr>
            <w:tcW w:w="1732"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84</w:t>
            </w:r>
          </w:p>
        </w:tc>
      </w:tr>
    </w:tbl>
    <w:p>
      <w:pPr>
        <w:pStyle w:val="Caption"/>
        <w:rPr/>
      </w:pPr>
      <w:r>
        <w:rPr/>
        <w:t>Table 2. Leading brands across the 10 Revenue Center files.</w:t>
      </w:r>
    </w:p>
    <w:p>
      <w:pPr>
        <w:pStyle w:val="Normal"/>
        <w:rPr/>
      </w:pPr>
      <w:r>
        <w:rPr>
          <w:b w:val="false"/>
        </w:rPr>
        <w:t xml:space="preserve">By major category, the records split into SDX-Food (7,740), SDX-Retail (3,526), SDX-Beverage (1,757), and concept-specific categories such as Hissho – Ibasho (608) and Einsteins-Food (300). Two subcategories are especially relevant to the health bridge: </w:t>
      </w:r>
      <w:r>
        <w:rPr>
          <w:b/>
        </w:rPr>
        <w:t>SDX-Pharmaceutical (312 records)</w:t>
      </w:r>
      <w:r>
        <w:rPr>
          <w:b w:val="false"/>
        </w:rPr>
        <w:t xml:space="preserve"> and </w:t>
      </w:r>
      <w:r>
        <w:rPr>
          <w:b/>
        </w:rPr>
        <w:t>SDX-HealthandBeauty (392 records)</w:t>
      </w:r>
      <w:r>
        <w:rPr>
          <w:b w:val="false"/>
        </w:rPr>
        <w:t>. The campus catalog therefore already includes over-the-counter health products managed through the same item master.</w:t>
      </w:r>
    </w:p>
    <w:p>
      <w:pPr>
        <w:pStyle w:val="Normal"/>
        <w:rPr/>
      </w:pPr>
      <w:r>
        <w:rPr>
          <w:b w:val="false"/>
        </w:rPr>
        <w:t xml:space="preserve">The </w:t>
      </w:r>
      <w:r>
        <w:rPr>
          <w:b/>
        </w:rPr>
        <w:t>Pricing Export</w:t>
      </w:r>
      <w:r>
        <w:rPr>
          <w:b w:val="false"/>
        </w:rPr>
        <w:t xml:space="preserve"> (SAINT LOUIS UNIVERSITY, location 13341001) holds 1,133 menu-item rows across </w:t>
      </w:r>
      <w:r>
        <w:rPr>
          <w:b/>
        </w:rPr>
        <w:t>14 service outlets</w:t>
      </w:r>
      <w:r>
        <w:rPr>
          <w:b w:val="false"/>
        </w:rPr>
        <w:t xml:space="preserve">. Of these, </w:t>
      </w:r>
      <w:r>
        <w:rPr>
          <w:b/>
        </w:rPr>
        <w:t>1,004 rows have an active current price</w:t>
      </w:r>
      <w:r>
        <w:rPr>
          <w:b w:val="false"/>
        </w:rPr>
        <w:t xml:space="preserve">, ranging from </w:t>
      </w:r>
      <w:r>
        <w:rPr>
          <w:b/>
        </w:rPr>
        <w:t>$0.50 to $17.49</w:t>
      </w:r>
      <w:r>
        <w:rPr>
          <w:b w:val="false"/>
        </w:rPr>
        <w:t xml:space="preserve"> (Garbanzo Steak Kabob Salad) with an average of </w:t>
      </w:r>
      <w:r>
        <w:rPr>
          <w:b/>
        </w:rPr>
        <w:t>$4.74</w:t>
      </w:r>
      <w:r>
        <w:rPr>
          <w:b w:val="false"/>
        </w:rPr>
        <w:t xml:space="preserve"> and a median of $4.49. The largest categories are Coffee (129), Sandwich (53), Breakfast (40), Bakery (38), and Add On (33). For 804 priced items, the file also records a proposed price that differs from the current price, with a median proposed change of +4.1%.</w:t>
      </w:r>
    </w:p>
    <w:p>
      <w:pPr>
        <w:pStyle w:val="Normal"/>
        <w:keepNext w:val="true"/>
        <w:jc w:val="center"/>
        <w:rPr/>
      </w:pPr>
      <w:r>
        <w:rPr/>
        <w:drawing>
          <wp:inline distT="0" distB="0" distL="0" distR="0">
            <wp:extent cx="5943600" cy="27311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943600" cy="2731135"/>
                    </a:xfrm>
                    <a:prstGeom prst="rect">
                      <a:avLst/>
                    </a:prstGeom>
                    <a:noFill/>
                  </pic:spPr>
                </pic:pic>
              </a:graphicData>
            </a:graphic>
          </wp:inline>
        </w:drawing>
      </w:r>
    </w:p>
    <w:p>
      <w:pPr>
        <w:pStyle w:val="Caption"/>
        <w:jc w:val="center"/>
        <w:rPr/>
      </w:pPr>
      <w:r>
        <w:rPr/>
        <w:t>Figure 2. Pricing Export coverage by service outlet. The two Simply To Go rows reflect a current and a legacy (FY21) price list.</w:t>
      </w:r>
    </w:p>
    <w:p>
      <w:pPr>
        <w:pStyle w:val="Normal"/>
        <w:rPr/>
      </w:pPr>
      <w:r>
        <w:rPr>
          <w:b w:val="false"/>
        </w:rPr>
        <w:t>Note that all 129 World of Wings rows show a current price of $0.00 while carrying proposed prices (median $7.09), and the ProductMovement column is zero for every row. The pricing file therefore describes price structure but not sales movement. Together, the catalog and pricing files make up the inventory domain and support the utilization and nutritional domains.</w:t>
      </w:r>
    </w:p>
    <w:p>
      <w:pPr>
        <w:pStyle w:val="Normal"/>
        <w:rPr/>
      </w:pPr>
      <w:r>
        <w:rPr/>
        <w:t>The high proportion of inactive button records (14,479 of 15,145, or 95.6%) significantly inflates the catalog size and complicates menu engineering analysis. Reducing the active catalog to only current, in-service items across the 14 service outlets is a prerequisite for accurate item-level reporting and pricing analysis.</w:t>
      </w:r>
    </w:p>
    <w:p>
      <w:pPr>
        <w:pStyle w:val="Heading2"/>
        <w:rPr/>
      </w:pPr>
      <w:bookmarkStart w:id="5" w:name="__RefHeading___Toc1501_2060744472"/>
      <w:bookmarkEnd w:id="5"/>
      <w:r>
        <w:rPr/>
        <w:t>2.4 Food Section / Menu Structure (Food section.docx)</w:t>
      </w:r>
    </w:p>
    <w:p>
      <w:pPr>
        <w:pStyle w:val="Normal"/>
        <w:rPr/>
      </w:pPr>
      <w:r>
        <w:rPr>
          <w:b w:val="false"/>
        </w:rPr>
        <w:t>SLU Grand Dining is organized into nine food sections, each a distinct production and service line:</w:t>
      </w:r>
    </w:p>
    <w:p>
      <w:pPr>
        <w:pStyle w:val="ListNumber"/>
        <w:numPr>
          <w:ilvl w:val="0"/>
          <w:numId w:val="17"/>
        </w:numPr>
        <w:rPr/>
      </w:pPr>
      <w:r>
        <w:rPr>
          <w:b w:val="false"/>
        </w:rPr>
        <w:t>Simple Servings</w:t>
      </w:r>
    </w:p>
    <w:p>
      <w:pPr>
        <w:pStyle w:val="ListNumber"/>
        <w:numPr>
          <w:ilvl w:val="0"/>
          <w:numId w:val="8"/>
        </w:numPr>
        <w:rPr/>
      </w:pPr>
      <w:r>
        <w:rPr>
          <w:b w:val="false"/>
        </w:rPr>
        <w:t>Leaves – Mix Green</w:t>
      </w:r>
    </w:p>
    <w:p>
      <w:pPr>
        <w:pStyle w:val="ListNumber"/>
        <w:numPr>
          <w:ilvl w:val="0"/>
          <w:numId w:val="8"/>
        </w:numPr>
        <w:rPr/>
      </w:pPr>
      <w:r>
        <w:rPr>
          <w:b w:val="false"/>
        </w:rPr>
        <w:t>Grills</w:t>
      </w:r>
    </w:p>
    <w:p>
      <w:pPr>
        <w:pStyle w:val="ListNumber"/>
        <w:numPr>
          <w:ilvl w:val="0"/>
          <w:numId w:val="8"/>
        </w:numPr>
        <w:rPr/>
      </w:pPr>
      <w:r>
        <w:rPr>
          <w:b w:val="false"/>
        </w:rPr>
        <w:t>Bliss (everything pastries and bakes)</w:t>
      </w:r>
    </w:p>
    <w:p>
      <w:pPr>
        <w:pStyle w:val="ListNumber"/>
        <w:numPr>
          <w:ilvl w:val="0"/>
          <w:numId w:val="8"/>
        </w:numPr>
        <w:rPr/>
      </w:pPr>
      <w:r>
        <w:rPr>
          <w:b w:val="false"/>
        </w:rPr>
        <w:t>Plant Grown Based</w:t>
      </w:r>
    </w:p>
    <w:p>
      <w:pPr>
        <w:pStyle w:val="ListNumber"/>
        <w:numPr>
          <w:ilvl w:val="0"/>
          <w:numId w:val="8"/>
        </w:numPr>
        <w:rPr/>
      </w:pPr>
      <w:r>
        <w:rPr>
          <w:b w:val="false"/>
        </w:rPr>
        <w:t>Showcase Flavor Destination</w:t>
      </w:r>
    </w:p>
    <w:p>
      <w:pPr>
        <w:pStyle w:val="ListNumber"/>
        <w:numPr>
          <w:ilvl w:val="0"/>
          <w:numId w:val="8"/>
        </w:numPr>
        <w:rPr/>
      </w:pPr>
      <w:r>
        <w:rPr>
          <w:b w:val="false"/>
        </w:rPr>
        <w:t>Pizza Slices and Such</w:t>
      </w:r>
    </w:p>
    <w:p>
      <w:pPr>
        <w:pStyle w:val="ListNumber"/>
        <w:numPr>
          <w:ilvl w:val="0"/>
          <w:numId w:val="8"/>
        </w:numPr>
        <w:rPr/>
      </w:pPr>
      <w:r>
        <w:rPr>
          <w:b w:val="false"/>
        </w:rPr>
        <w:t>Savory</w:t>
      </w:r>
    </w:p>
    <w:p>
      <w:pPr>
        <w:pStyle w:val="ListNumber"/>
        <w:numPr>
          <w:ilvl w:val="0"/>
          <w:numId w:val="8"/>
        </w:numPr>
        <w:rPr/>
      </w:pPr>
      <w:r>
        <w:rPr>
          <w:b w:val="false"/>
        </w:rPr>
        <w:t>Stucked Deli</w:t>
      </w:r>
    </w:p>
    <w:p>
      <w:pPr>
        <w:pStyle w:val="Normal"/>
        <w:rPr/>
      </w:pPr>
      <w:r>
        <w:rPr>
          <w:b w:val="false"/>
        </w:rPr>
        <w:t xml:space="preserve">The author’s notes add that </w:t>
      </w:r>
      <w:r>
        <w:rPr>
          <w:b/>
        </w:rPr>
        <w:t>no food allergy incidents have been recorded in the past ten months</w:t>
      </w:r>
      <w:r>
        <w:rPr>
          <w:b w:val="false"/>
        </w:rPr>
        <w:t>, because each section posts menus and has staff on hand to explain menu details. That is a meaningful safety outcome and a baseline worth documenting formally.</w:t>
      </w:r>
    </w:p>
    <w:p>
      <w:pPr>
        <w:pStyle w:val="Heading2"/>
        <w:rPr/>
      </w:pPr>
      <w:bookmarkStart w:id="6" w:name="__RefHeading___Toc1503_2060744472"/>
      <w:bookmarkEnd w:id="6"/>
      <w:r>
        <w:rPr/>
        <w:t>2.5 Supply Chain Partners (Supplies to SLU Dining.docx)</w:t>
      </w:r>
    </w:p>
    <w:tbl>
      <w:tblPr>
        <w:tblStyle w:val="TableGrid"/>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168"/>
        <w:gridCol w:w="6192"/>
      </w:tblGrid>
      <w:tr>
        <w:trPr>
          <w:tblHeader w:val="true"/>
          <w:cantSplit/>
        </w:trPr>
        <w:tc>
          <w:tcPr>
            <w:tcW w:w="3168" w:type="dxa"/>
            <w:tcBorders/>
            <w:shd w:color="auto" w:fill="1F3864" w:val="clear"/>
          </w:tcPr>
          <w:p>
            <w:pPr>
              <w:pStyle w:val="Normal"/>
              <w:widowControl/>
              <w:suppressAutoHyphens w:val="true"/>
              <w:spacing w:lineRule="auto" w:line="240" w:before="40" w:after="40"/>
              <w:jc w:val="start"/>
              <w:rPr>
                <w:kern w:val="0"/>
                <w:szCs w:val="22"/>
                <w:lang w:val="en-US" w:eastAsia="en-US" w:bidi="ar-SA"/>
              </w:rPr>
            </w:pPr>
            <w:r>
              <w:rPr>
                <w:b/>
                <w:color w:val="FFFFFF"/>
                <w:kern w:val="0"/>
                <w:sz w:val="19"/>
                <w:szCs w:val="22"/>
                <w:lang w:val="en-US" w:eastAsia="en-US" w:bidi="ar-SA"/>
              </w:rPr>
              <w:t>Supplier</w:t>
            </w:r>
          </w:p>
        </w:tc>
        <w:tc>
          <w:tcPr>
            <w:tcW w:w="6192" w:type="dxa"/>
            <w:tcBorders/>
            <w:shd w:color="auto" w:fill="1F3864" w:val="clear"/>
          </w:tcPr>
          <w:p>
            <w:pPr>
              <w:pStyle w:val="Normal"/>
              <w:widowControl/>
              <w:suppressAutoHyphens w:val="true"/>
              <w:spacing w:lineRule="auto" w:line="240" w:before="40" w:after="40"/>
              <w:jc w:val="start"/>
              <w:rPr>
                <w:kern w:val="0"/>
                <w:szCs w:val="22"/>
                <w:lang w:val="en-US" w:eastAsia="en-US" w:bidi="ar-SA"/>
              </w:rPr>
            </w:pPr>
            <w:r>
              <w:rPr>
                <w:b/>
                <w:color w:val="FFFFFF"/>
                <w:kern w:val="0"/>
                <w:sz w:val="19"/>
                <w:szCs w:val="22"/>
                <w:lang w:val="en-US" w:eastAsia="en-US" w:bidi="ar-SA"/>
              </w:rPr>
              <w:t>Category Supplied</w:t>
            </w:r>
          </w:p>
        </w:tc>
      </w:tr>
      <w:tr>
        <w:trPr>
          <w:cantSplit/>
        </w:trPr>
        <w:tc>
          <w:tcPr>
            <w:tcW w:w="3168"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Ole Tyme Produce</w:t>
            </w:r>
          </w:p>
        </w:tc>
        <w:tc>
          <w:tcPr>
            <w:tcW w:w="6192"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All fruits and vegetables</w:t>
            </w:r>
          </w:p>
        </w:tc>
      </w:tr>
      <w:tr>
        <w:trPr>
          <w:cantSplit/>
        </w:trPr>
        <w:tc>
          <w:tcPr>
            <w:tcW w:w="3168"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Ecolab</w:t>
            </w:r>
          </w:p>
        </w:tc>
        <w:tc>
          <w:tcPr>
            <w:tcW w:w="6192"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All chemicals</w:t>
            </w:r>
          </w:p>
        </w:tc>
      </w:tr>
      <w:tr>
        <w:trPr>
          <w:cantSplit/>
        </w:trPr>
        <w:tc>
          <w:tcPr>
            <w:tcW w:w="3168"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Baker’s Pride</w:t>
            </w:r>
          </w:p>
        </w:tc>
        <w:tc>
          <w:tcPr>
            <w:tcW w:w="6192"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Desserts</w:t>
            </w:r>
          </w:p>
        </w:tc>
      </w:tr>
      <w:tr>
        <w:trPr>
          <w:cantSplit/>
        </w:trPr>
        <w:tc>
          <w:tcPr>
            <w:tcW w:w="3168"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Sysco</w:t>
            </w:r>
          </w:p>
        </w:tc>
        <w:tc>
          <w:tcPr>
            <w:tcW w:w="6192"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All groceries, canned goods, dry goods, and meats</w:t>
            </w:r>
          </w:p>
        </w:tc>
      </w:tr>
      <w:tr>
        <w:trPr>
          <w:cantSplit/>
        </w:trPr>
        <w:tc>
          <w:tcPr>
            <w:tcW w:w="3168"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Fortune Fish</w:t>
            </w:r>
          </w:p>
        </w:tc>
        <w:tc>
          <w:tcPr>
            <w:tcW w:w="6192"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All fish</w:t>
            </w:r>
          </w:p>
        </w:tc>
      </w:tr>
      <w:tr>
        <w:trPr>
          <w:cantSplit/>
        </w:trPr>
        <w:tc>
          <w:tcPr>
            <w:tcW w:w="3168"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Prairie Farms</w:t>
            </w:r>
          </w:p>
        </w:tc>
        <w:tc>
          <w:tcPr>
            <w:tcW w:w="6192"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All dairy</w:t>
            </w:r>
          </w:p>
        </w:tc>
      </w:tr>
    </w:tbl>
    <w:p>
      <w:pPr>
        <w:pStyle w:val="Caption"/>
        <w:rPr/>
      </w:pPr>
      <w:r>
        <w:rPr/>
        <w:t>Table 3. The six dedicated supply partners to SLU Dining.</w:t>
      </w:r>
    </w:p>
    <w:p>
      <w:pPr>
        <w:pStyle w:val="Heading2"/>
        <w:rPr/>
      </w:pPr>
      <w:bookmarkStart w:id="7" w:name="__RefHeading___Toc1505_2060744472"/>
      <w:bookmarkEnd w:id="7"/>
      <w:r>
        <w:rPr/>
        <w:t>2.6 NIW Blueprint (Sodexo_SLU_NIW_Revised_Blueprint.docx)</w:t>
      </w:r>
    </w:p>
    <w:p>
      <w:pPr>
        <w:pStyle w:val="Normal"/>
        <w:rPr/>
      </w:pPr>
      <w:r>
        <w:rPr>
          <w:b w:val="false"/>
        </w:rPr>
        <w:t>The Revised Blueprint already sets out a 26-week, seven-stage continuation project: (1) Data Discovery, Access, and Infrastructure Setup (weeks 1–3); (2) Data Ingestion, Cleaning, and Integration (weeks 4–6); (3) Exploratory Data Analysis and Baseline Reporting (weeks 7–8); (4) Predictive Model Development (weeks 9–13); (5) Model Validation and Performance Benchmarking (weeks 14–16); (6) Deployment through a dashboard and forecast reporting system (weeks 17–20); and (7) Public Dissemination and Scholarly Communication (weeks 21–26). It also defines eight impact metrics, a data-ethics checklist, and a mapping of each NIW verb (develop, validate, deploy, publicly disseminate) to a concrete deliverable.</w:t>
      </w:r>
    </w:p>
    <w:p>
      <w:pPr>
        <w:pStyle w:val="Heading2"/>
        <w:rPr/>
      </w:pPr>
      <w:bookmarkStart w:id="8" w:name="__RefHeading___Toc2091_835317165"/>
      <w:bookmarkEnd w:id="8"/>
      <w:r>
        <w:rPr/>
        <w:t>2.7 Inventory Data (Sodexo Inventory Summary History Report)</w:t>
      </w:r>
    </w:p>
    <w:p>
      <w:pPr>
        <w:pStyle w:val="Normal"/>
        <w:rPr/>
      </w:pPr>
      <w:r>
        <w:rPr/>
        <w:t>The Sodexo Inventory Summary History Report (Report ID: INRHTSUM, Date Run: 10/13/2026, covering W/E 04/03/2026 through W/E 10/09/2026) provides six months of on-hand inventory data across all active and inactive SLU dining units. This is a verified, primary-source data asset that directly supports the inventory domain of the NIW endeavor.</w:t>
      </w:r>
    </w:p>
    <w:p>
      <w:pPr>
        <w:pStyle w:val="Heading3"/>
        <w:rPr/>
      </w:pPr>
      <w:bookmarkStart w:id="9" w:name="__RefHeading___Toc2093_835317165"/>
      <w:bookmarkEnd w:id="9"/>
      <w:r>
        <w:rPr/>
        <w:t>Current Inventory Totals by Unit (Week Ending 10/09/2026)</w:t>
      </w:r>
    </w:p>
    <w:tbl>
      <w:tblPr>
        <w:tblStyle w:val="TableGrid"/>
        <w:tblW w:w="9360" w:type="dxa"/>
        <w:jc w:val="start"/>
        <w:tblInd w:w="103" w:type="dxa"/>
        <w:tblLayout w:type="fixed"/>
        <w:tblCellMar>
          <w:top w:w="0" w:type="dxa"/>
          <w:start w:w="108" w:type="dxa"/>
          <w:bottom w:w="0" w:type="dxa"/>
          <w:end w:w="108" w:type="dxa"/>
        </w:tblCellMar>
        <w:tblLook w:noHBand="0" w:noVBand="1" w:firstColumn="1" w:lastRow="0" w:lastColumn="0" w:firstRow="1" w:val="04a0"/>
      </w:tblPr>
      <w:tblGrid>
        <w:gridCol w:w="2340"/>
        <w:gridCol w:w="2340"/>
        <w:gridCol w:w="2340"/>
        <w:gridCol w:w="2340"/>
      </w:tblGrid>
      <w:tr>
        <w:trPr>
          <w:cantSplit/>
        </w:trPr>
        <w:tc>
          <w:tcPr>
            <w:tcW w:w="2340" w:type="dxa"/>
            <w:tcBorders/>
            <w:shd w:color="auto" w:fill="2E75B6" w:val="clear"/>
          </w:tcPr>
          <w:p>
            <w:pPr>
              <w:pStyle w:val="Normal"/>
              <w:spacing w:before="0" w:after="120"/>
              <w:rPr/>
            </w:pPr>
            <w:r>
              <w:rPr>
                <w:b/>
                <w:color w:val="FFFFFF"/>
              </w:rPr>
              <w:t>Unit #</w:t>
            </w:r>
          </w:p>
        </w:tc>
        <w:tc>
          <w:tcPr>
            <w:tcW w:w="2340" w:type="dxa"/>
            <w:tcBorders/>
            <w:shd w:color="auto" w:fill="2E75B6" w:val="clear"/>
          </w:tcPr>
          <w:p>
            <w:pPr>
              <w:pStyle w:val="Normal"/>
              <w:spacing w:before="0" w:after="120"/>
              <w:rPr/>
            </w:pPr>
            <w:r>
              <w:rPr>
                <w:b/>
                <w:color w:val="FFFFFF"/>
              </w:rPr>
              <w:t>Unit Name</w:t>
            </w:r>
          </w:p>
        </w:tc>
        <w:tc>
          <w:tcPr>
            <w:tcW w:w="2340" w:type="dxa"/>
            <w:tcBorders/>
            <w:shd w:color="auto" w:fill="2E75B6" w:val="clear"/>
          </w:tcPr>
          <w:p>
            <w:pPr>
              <w:pStyle w:val="Normal"/>
              <w:spacing w:before="0" w:after="120"/>
              <w:rPr/>
            </w:pPr>
            <w:r>
              <w:rPr>
                <w:b/>
                <w:color w:val="FFFFFF"/>
              </w:rPr>
              <w:t>Inventory Total (W/E 10/9/2026)</w:t>
            </w:r>
          </w:p>
        </w:tc>
        <w:tc>
          <w:tcPr>
            <w:tcW w:w="2340" w:type="dxa"/>
            <w:tcBorders/>
            <w:shd w:color="auto" w:fill="2E75B6" w:val="clear"/>
          </w:tcPr>
          <w:p>
            <w:pPr>
              <w:pStyle w:val="Normal"/>
              <w:spacing w:before="0" w:after="120"/>
              <w:rPr/>
            </w:pPr>
            <w:r>
              <w:rPr>
                <w:b/>
                <w:color w:val="FFFFFF"/>
              </w:rPr>
              <w:t>Status</w:t>
            </w:r>
          </w:p>
        </w:tc>
      </w:tr>
      <w:tr>
        <w:trPr>
          <w:cantSplit/>
        </w:trPr>
        <w:tc>
          <w:tcPr>
            <w:tcW w:w="2340" w:type="dxa"/>
            <w:tcBorders/>
          </w:tcPr>
          <w:p>
            <w:pPr>
              <w:pStyle w:val="Normal"/>
              <w:spacing w:before="0" w:after="120"/>
              <w:rPr/>
            </w:pPr>
            <w:r>
              <w:rPr/>
              <w:t>13341001</w:t>
            </w:r>
          </w:p>
        </w:tc>
        <w:tc>
          <w:tcPr>
            <w:tcW w:w="2340" w:type="dxa"/>
            <w:tcBorders/>
          </w:tcPr>
          <w:p>
            <w:pPr>
              <w:pStyle w:val="Normal"/>
              <w:spacing w:before="0" w:after="120"/>
              <w:rPr/>
            </w:pPr>
            <w:r>
              <w:rPr/>
              <w:t>Grand Dining (Residential)</w:t>
            </w:r>
          </w:p>
        </w:tc>
        <w:tc>
          <w:tcPr>
            <w:tcW w:w="2340" w:type="dxa"/>
            <w:tcBorders/>
          </w:tcPr>
          <w:p>
            <w:pPr>
              <w:pStyle w:val="Normal"/>
              <w:spacing w:before="0" w:after="120"/>
              <w:rPr/>
            </w:pPr>
            <w:r>
              <w:rPr/>
              <w:t>$37,311.63</w:t>
            </w:r>
          </w:p>
        </w:tc>
        <w:tc>
          <w:tcPr>
            <w:tcW w:w="2340" w:type="dxa"/>
            <w:tcBorders/>
          </w:tcPr>
          <w:p>
            <w:pPr>
              <w:pStyle w:val="Normal"/>
              <w:spacing w:before="0" w:after="120"/>
              <w:rPr/>
            </w:pPr>
            <w:r>
              <w:rPr/>
              <w:t>Active</w:t>
            </w:r>
          </w:p>
        </w:tc>
      </w:tr>
      <w:tr>
        <w:trPr>
          <w:cantSplit/>
        </w:trPr>
        <w:tc>
          <w:tcPr>
            <w:tcW w:w="2340" w:type="dxa"/>
            <w:tcBorders/>
          </w:tcPr>
          <w:p>
            <w:pPr>
              <w:pStyle w:val="Normal"/>
              <w:spacing w:before="0" w:after="120"/>
              <w:rPr/>
            </w:pPr>
            <w:r>
              <w:rPr/>
              <w:t>13341002</w:t>
            </w:r>
          </w:p>
        </w:tc>
        <w:tc>
          <w:tcPr>
            <w:tcW w:w="2340" w:type="dxa"/>
            <w:tcBorders/>
          </w:tcPr>
          <w:p>
            <w:pPr>
              <w:pStyle w:val="Normal"/>
              <w:spacing w:before="0" w:after="120"/>
              <w:rPr/>
            </w:pPr>
            <w:r>
              <w:rPr/>
              <w:t>Catering</w:t>
            </w:r>
          </w:p>
        </w:tc>
        <w:tc>
          <w:tcPr>
            <w:tcW w:w="2340" w:type="dxa"/>
            <w:tcBorders/>
          </w:tcPr>
          <w:p>
            <w:pPr>
              <w:pStyle w:val="Normal"/>
              <w:spacing w:before="0" w:after="120"/>
              <w:rPr/>
            </w:pPr>
            <w:r>
              <w:rPr/>
              <w:t>$29,393.10</w:t>
            </w:r>
          </w:p>
        </w:tc>
        <w:tc>
          <w:tcPr>
            <w:tcW w:w="2340" w:type="dxa"/>
            <w:tcBorders/>
          </w:tcPr>
          <w:p>
            <w:pPr>
              <w:pStyle w:val="Normal"/>
              <w:spacing w:before="0" w:after="120"/>
              <w:rPr/>
            </w:pPr>
            <w:r>
              <w:rPr/>
              <w:t>Active</w:t>
            </w:r>
          </w:p>
        </w:tc>
      </w:tr>
      <w:tr>
        <w:trPr>
          <w:cantSplit/>
        </w:trPr>
        <w:tc>
          <w:tcPr>
            <w:tcW w:w="2340" w:type="dxa"/>
            <w:tcBorders/>
          </w:tcPr>
          <w:p>
            <w:pPr>
              <w:pStyle w:val="Normal"/>
              <w:spacing w:before="0" w:after="120"/>
              <w:rPr/>
            </w:pPr>
            <w:r>
              <w:rPr/>
              <w:t>13341022</w:t>
            </w:r>
          </w:p>
        </w:tc>
        <w:tc>
          <w:tcPr>
            <w:tcW w:w="2340" w:type="dxa"/>
            <w:tcBorders/>
          </w:tcPr>
          <w:p>
            <w:pPr>
              <w:pStyle w:val="Normal"/>
              <w:spacing w:before="0" w:after="120"/>
              <w:rPr/>
            </w:pPr>
            <w:r>
              <w:rPr/>
              <w:t>Reinert To Go</w:t>
            </w:r>
          </w:p>
        </w:tc>
        <w:tc>
          <w:tcPr>
            <w:tcW w:w="2340" w:type="dxa"/>
            <w:tcBorders/>
          </w:tcPr>
          <w:p>
            <w:pPr>
              <w:pStyle w:val="Normal"/>
              <w:spacing w:before="0" w:after="120"/>
              <w:rPr/>
            </w:pPr>
            <w:r>
              <w:rPr/>
              <w:t>$10,819.42</w:t>
            </w:r>
          </w:p>
        </w:tc>
        <w:tc>
          <w:tcPr>
            <w:tcW w:w="2340" w:type="dxa"/>
            <w:tcBorders/>
          </w:tcPr>
          <w:p>
            <w:pPr>
              <w:pStyle w:val="Normal"/>
              <w:spacing w:before="0" w:after="120"/>
              <w:rPr/>
            </w:pPr>
            <w:r>
              <w:rPr/>
              <w:t>Active</w:t>
            </w:r>
          </w:p>
        </w:tc>
      </w:tr>
      <w:tr>
        <w:trPr>
          <w:cantSplit/>
        </w:trPr>
        <w:tc>
          <w:tcPr>
            <w:tcW w:w="2340" w:type="dxa"/>
            <w:tcBorders/>
          </w:tcPr>
          <w:p>
            <w:pPr>
              <w:pStyle w:val="Normal"/>
              <w:spacing w:before="0" w:after="120"/>
              <w:rPr/>
            </w:pPr>
            <w:r>
              <w:rPr/>
              <w:t>13341023</w:t>
            </w:r>
          </w:p>
        </w:tc>
        <w:tc>
          <w:tcPr>
            <w:tcW w:w="2340" w:type="dxa"/>
            <w:tcBorders/>
          </w:tcPr>
          <w:p>
            <w:pPr>
              <w:pStyle w:val="Normal"/>
              <w:spacing w:before="0" w:after="120"/>
              <w:rPr/>
            </w:pPr>
            <w:r>
              <w:rPr/>
              <w:t>Starbucks</w:t>
            </w:r>
          </w:p>
        </w:tc>
        <w:tc>
          <w:tcPr>
            <w:tcW w:w="2340" w:type="dxa"/>
            <w:tcBorders/>
          </w:tcPr>
          <w:p>
            <w:pPr>
              <w:pStyle w:val="Normal"/>
              <w:spacing w:before="0" w:after="120"/>
              <w:rPr/>
            </w:pPr>
            <w:r>
              <w:rPr/>
              <w:t>$29,045.65</w:t>
            </w:r>
          </w:p>
        </w:tc>
        <w:tc>
          <w:tcPr>
            <w:tcW w:w="2340" w:type="dxa"/>
            <w:tcBorders/>
          </w:tcPr>
          <w:p>
            <w:pPr>
              <w:pStyle w:val="Normal"/>
              <w:spacing w:before="0" w:after="120"/>
              <w:rPr/>
            </w:pPr>
            <w:r>
              <w:rPr/>
              <w:t>Active</w:t>
            </w:r>
          </w:p>
        </w:tc>
      </w:tr>
      <w:tr>
        <w:trPr>
          <w:cantSplit/>
        </w:trPr>
        <w:tc>
          <w:tcPr>
            <w:tcW w:w="2340" w:type="dxa"/>
            <w:tcBorders/>
          </w:tcPr>
          <w:p>
            <w:pPr>
              <w:pStyle w:val="Normal"/>
              <w:spacing w:before="0" w:after="120"/>
              <w:rPr/>
            </w:pPr>
            <w:r>
              <w:rPr/>
              <w:t>13341027</w:t>
            </w:r>
          </w:p>
        </w:tc>
        <w:tc>
          <w:tcPr>
            <w:tcW w:w="2340" w:type="dxa"/>
            <w:tcBorders/>
          </w:tcPr>
          <w:p>
            <w:pPr>
              <w:pStyle w:val="Normal"/>
              <w:spacing w:before="0" w:after="120"/>
              <w:rPr/>
            </w:pPr>
            <w:r>
              <w:rPr/>
              <w:t>WOW Café &amp; Wingery</w:t>
            </w:r>
          </w:p>
        </w:tc>
        <w:tc>
          <w:tcPr>
            <w:tcW w:w="2340" w:type="dxa"/>
            <w:tcBorders/>
          </w:tcPr>
          <w:p>
            <w:pPr>
              <w:pStyle w:val="Normal"/>
              <w:spacing w:before="0" w:after="120"/>
              <w:rPr/>
            </w:pPr>
            <w:r>
              <w:rPr/>
              <w:t>$14,122.00</w:t>
            </w:r>
          </w:p>
        </w:tc>
        <w:tc>
          <w:tcPr>
            <w:tcW w:w="2340" w:type="dxa"/>
            <w:tcBorders/>
          </w:tcPr>
          <w:p>
            <w:pPr>
              <w:pStyle w:val="Normal"/>
              <w:spacing w:before="0" w:after="120"/>
              <w:rPr/>
            </w:pPr>
            <w:r>
              <w:rPr/>
              <w:t>Active</w:t>
            </w:r>
          </w:p>
        </w:tc>
      </w:tr>
      <w:tr>
        <w:trPr>
          <w:cantSplit/>
        </w:trPr>
        <w:tc>
          <w:tcPr>
            <w:tcW w:w="2340" w:type="dxa"/>
            <w:tcBorders/>
            <w:shd w:color="auto" w:fill="D9D9D9" w:val="clear"/>
          </w:tcPr>
          <w:p>
            <w:pPr>
              <w:pStyle w:val="Normal"/>
              <w:spacing w:before="0" w:after="120"/>
              <w:rPr/>
            </w:pPr>
            <w:r>
              <w:rPr/>
              <w:t>13341018</w:t>
            </w:r>
          </w:p>
        </w:tc>
        <w:tc>
          <w:tcPr>
            <w:tcW w:w="2340" w:type="dxa"/>
            <w:tcBorders/>
            <w:shd w:color="auto" w:fill="D9D9D9" w:val="clear"/>
          </w:tcPr>
          <w:p>
            <w:pPr>
              <w:pStyle w:val="Normal"/>
              <w:spacing w:before="0" w:after="120"/>
              <w:rPr/>
            </w:pPr>
            <w:r>
              <w:rPr/>
              <w:t>Spice Market</w:t>
            </w:r>
          </w:p>
        </w:tc>
        <w:tc>
          <w:tcPr>
            <w:tcW w:w="2340" w:type="dxa"/>
            <w:tcBorders/>
            <w:shd w:color="auto" w:fill="D9D9D9" w:val="clear"/>
          </w:tcPr>
          <w:p>
            <w:pPr>
              <w:pStyle w:val="Normal"/>
              <w:spacing w:before="0" w:after="120"/>
              <w:rPr/>
            </w:pPr>
            <w:r>
              <w:rPr/>
              <w:t>$0.00</w:t>
            </w:r>
          </w:p>
        </w:tc>
        <w:tc>
          <w:tcPr>
            <w:tcW w:w="2340" w:type="dxa"/>
            <w:tcBorders/>
            <w:shd w:color="auto" w:fill="D9D9D9" w:val="clear"/>
          </w:tcPr>
          <w:p>
            <w:pPr>
              <w:pStyle w:val="Normal"/>
              <w:spacing w:before="0" w:after="120"/>
              <w:rPr/>
            </w:pPr>
            <w:r>
              <w:rPr/>
              <w:t>Inactive</w:t>
            </w:r>
          </w:p>
        </w:tc>
      </w:tr>
      <w:tr>
        <w:trPr>
          <w:cantSplit/>
        </w:trPr>
        <w:tc>
          <w:tcPr>
            <w:tcW w:w="2340" w:type="dxa"/>
            <w:tcBorders/>
            <w:shd w:color="auto" w:fill="D9D9D9" w:val="clear"/>
          </w:tcPr>
          <w:p>
            <w:pPr>
              <w:pStyle w:val="Normal"/>
              <w:spacing w:before="0" w:after="120"/>
              <w:rPr/>
            </w:pPr>
            <w:r>
              <w:rPr/>
              <w:t>13341020</w:t>
            </w:r>
          </w:p>
        </w:tc>
        <w:tc>
          <w:tcPr>
            <w:tcW w:w="2340" w:type="dxa"/>
            <w:tcBorders/>
            <w:shd w:color="auto" w:fill="D9D9D9" w:val="clear"/>
          </w:tcPr>
          <w:p>
            <w:pPr>
              <w:pStyle w:val="Normal"/>
              <w:spacing w:before="0" w:after="120"/>
              <w:rPr/>
            </w:pPr>
            <w:r>
              <w:rPr/>
              <w:t>Fueling Station</w:t>
            </w:r>
          </w:p>
        </w:tc>
        <w:tc>
          <w:tcPr>
            <w:tcW w:w="2340" w:type="dxa"/>
            <w:tcBorders/>
            <w:shd w:color="auto" w:fill="D9D9D9" w:val="clear"/>
          </w:tcPr>
          <w:p>
            <w:pPr>
              <w:pStyle w:val="Normal"/>
              <w:spacing w:before="0" w:after="120"/>
              <w:rPr/>
            </w:pPr>
            <w:r>
              <w:rPr/>
              <w:t>$0.00</w:t>
            </w:r>
          </w:p>
        </w:tc>
        <w:tc>
          <w:tcPr>
            <w:tcW w:w="2340" w:type="dxa"/>
            <w:tcBorders/>
            <w:shd w:color="auto" w:fill="D9D9D9" w:val="clear"/>
          </w:tcPr>
          <w:p>
            <w:pPr>
              <w:pStyle w:val="Normal"/>
              <w:spacing w:before="0" w:after="120"/>
              <w:rPr/>
            </w:pPr>
            <w:r>
              <w:rPr/>
              <w:t>Inactive</w:t>
            </w:r>
          </w:p>
        </w:tc>
      </w:tr>
      <w:tr>
        <w:trPr>
          <w:cantSplit/>
        </w:trPr>
        <w:tc>
          <w:tcPr>
            <w:tcW w:w="2340" w:type="dxa"/>
            <w:tcBorders/>
            <w:shd w:color="auto" w:fill="D9D9D9" w:val="clear"/>
          </w:tcPr>
          <w:p>
            <w:pPr>
              <w:pStyle w:val="Normal"/>
              <w:spacing w:before="0" w:after="120"/>
              <w:rPr/>
            </w:pPr>
            <w:r>
              <w:rPr/>
              <w:t>13341021</w:t>
            </w:r>
          </w:p>
        </w:tc>
        <w:tc>
          <w:tcPr>
            <w:tcW w:w="2340" w:type="dxa"/>
            <w:tcBorders/>
            <w:shd w:color="auto" w:fill="D9D9D9" w:val="clear"/>
          </w:tcPr>
          <w:p>
            <w:pPr>
              <w:pStyle w:val="Normal"/>
              <w:spacing w:before="0" w:after="120"/>
              <w:rPr/>
            </w:pPr>
            <w:r>
              <w:rPr/>
              <w:t>Einsteins</w:t>
            </w:r>
          </w:p>
        </w:tc>
        <w:tc>
          <w:tcPr>
            <w:tcW w:w="2340" w:type="dxa"/>
            <w:tcBorders/>
            <w:shd w:color="auto" w:fill="D9D9D9" w:val="clear"/>
          </w:tcPr>
          <w:p>
            <w:pPr>
              <w:pStyle w:val="Normal"/>
              <w:spacing w:before="0" w:after="120"/>
              <w:rPr/>
            </w:pPr>
            <w:r>
              <w:rPr/>
              <w:t>$0.00</w:t>
            </w:r>
          </w:p>
        </w:tc>
        <w:tc>
          <w:tcPr>
            <w:tcW w:w="2340" w:type="dxa"/>
            <w:tcBorders/>
            <w:shd w:color="auto" w:fill="D9D9D9" w:val="clear"/>
          </w:tcPr>
          <w:p>
            <w:pPr>
              <w:pStyle w:val="Normal"/>
              <w:spacing w:before="0" w:after="120"/>
              <w:rPr/>
            </w:pPr>
            <w:r>
              <w:rPr/>
              <w:t>Inactive</w:t>
            </w:r>
          </w:p>
        </w:tc>
      </w:tr>
    </w:tbl>
    <w:p>
      <w:pPr>
        <w:pStyle w:val="Caption"/>
        <w:rPr/>
      </w:pPr>
      <w:r>
        <w:rPr/>
        <w:t>Table A. Current inventory totals by unit, W/E 10/09/2026 (source: Sodexo INRHTSUM Report, Date Run: 10/13/2026).</w:t>
      </w:r>
    </w:p>
    <w:p>
      <w:pPr>
        <w:pStyle w:val="Normal"/>
        <w:rPr/>
      </w:pPr>
      <w:r>
        <w:rPr/>
        <w:t>Note: Units 13341003 (Billiken Club and Grill), 13341004 (Panera), 13341005 (Marketplace), 13341008 (BSC Simply To Go), 13341011 (Fusz Simply To Go), 13341012 (Subway), 13341013 (Qdoba) appear in early-period records (W/E 04/03/2026) but do not appear in the most recent reporting period.</w:t>
      </w:r>
    </w:p>
    <w:p>
      <w:pPr>
        <w:pStyle w:val="Heading3"/>
        <w:rPr/>
      </w:pPr>
      <w:bookmarkStart w:id="10" w:name="__RefHeading___Toc2095_835317165"/>
      <w:bookmarkEnd w:id="10"/>
      <w:r>
        <w:rPr/>
        <w:t>Grand Dining Inventory Trend (Six-Month Comparison)</w:t>
      </w:r>
    </w:p>
    <w:tbl>
      <w:tblPr>
        <w:tblStyle w:val="TableGrid"/>
        <w:tblW w:w="9360" w:type="dxa"/>
        <w:jc w:val="start"/>
        <w:tblInd w:w="103" w:type="dxa"/>
        <w:tblLayout w:type="fixed"/>
        <w:tblCellMar>
          <w:top w:w="0" w:type="dxa"/>
          <w:start w:w="108" w:type="dxa"/>
          <w:bottom w:w="0" w:type="dxa"/>
          <w:end w:w="108" w:type="dxa"/>
        </w:tblCellMar>
        <w:tblLook w:noHBand="0" w:noVBand="1" w:firstColumn="1" w:lastRow="0" w:lastColumn="0" w:firstRow="1" w:val="04a0"/>
      </w:tblPr>
      <w:tblGrid>
        <w:gridCol w:w="4680"/>
        <w:gridCol w:w="4680"/>
      </w:tblGrid>
      <w:tr>
        <w:trPr>
          <w:cantSplit/>
        </w:trPr>
        <w:tc>
          <w:tcPr>
            <w:tcW w:w="4680" w:type="dxa"/>
            <w:tcBorders/>
            <w:shd w:color="auto" w:fill="2E75B6" w:val="clear"/>
          </w:tcPr>
          <w:p>
            <w:pPr>
              <w:pStyle w:val="Normal"/>
              <w:spacing w:before="0" w:after="120"/>
              <w:rPr/>
            </w:pPr>
            <w:r>
              <w:rPr>
                <w:b/>
                <w:color w:val="FFFFFF"/>
              </w:rPr>
              <w:t>Period</w:t>
            </w:r>
          </w:p>
        </w:tc>
        <w:tc>
          <w:tcPr>
            <w:tcW w:w="4680" w:type="dxa"/>
            <w:tcBorders/>
            <w:shd w:color="auto" w:fill="2E75B6" w:val="clear"/>
          </w:tcPr>
          <w:p>
            <w:pPr>
              <w:pStyle w:val="Normal"/>
              <w:spacing w:before="0" w:after="120"/>
              <w:rPr/>
            </w:pPr>
            <w:r>
              <w:rPr>
                <w:b/>
                <w:color w:val="FFFFFF"/>
              </w:rPr>
              <w:t>Grand Dining Inventory Total</w:t>
            </w:r>
          </w:p>
        </w:tc>
      </w:tr>
      <w:tr>
        <w:trPr>
          <w:cantSplit/>
        </w:trPr>
        <w:tc>
          <w:tcPr>
            <w:tcW w:w="4680" w:type="dxa"/>
            <w:tcBorders/>
          </w:tcPr>
          <w:p>
            <w:pPr>
              <w:pStyle w:val="Normal"/>
              <w:spacing w:before="0" w:after="120"/>
              <w:rPr/>
            </w:pPr>
            <w:r>
              <w:rPr/>
              <w:t>W/E 04/03/2026 (beginning of reporting period)</w:t>
            </w:r>
          </w:p>
        </w:tc>
        <w:tc>
          <w:tcPr>
            <w:tcW w:w="4680" w:type="dxa"/>
            <w:tcBorders/>
          </w:tcPr>
          <w:p>
            <w:pPr>
              <w:pStyle w:val="Normal"/>
              <w:spacing w:before="0" w:after="120"/>
              <w:rPr/>
            </w:pPr>
            <w:r>
              <w:rPr/>
              <w:t>$24,832 (approximate)</w:t>
            </w:r>
          </w:p>
        </w:tc>
      </w:tr>
      <w:tr>
        <w:trPr>
          <w:cantSplit/>
        </w:trPr>
        <w:tc>
          <w:tcPr>
            <w:tcW w:w="4680" w:type="dxa"/>
            <w:tcBorders/>
          </w:tcPr>
          <w:p>
            <w:pPr>
              <w:pStyle w:val="Normal"/>
              <w:spacing w:before="0" w:after="120"/>
              <w:rPr/>
            </w:pPr>
            <w:r>
              <w:rPr/>
              <w:t>W/E 10/09/2026 (most recent week)</w:t>
            </w:r>
          </w:p>
        </w:tc>
        <w:tc>
          <w:tcPr>
            <w:tcW w:w="4680" w:type="dxa"/>
            <w:tcBorders/>
          </w:tcPr>
          <w:p>
            <w:pPr>
              <w:pStyle w:val="Normal"/>
              <w:spacing w:before="0" w:after="120"/>
              <w:rPr/>
            </w:pPr>
            <w:r>
              <w:rPr/>
              <w:t>$37,311.63</w:t>
            </w:r>
          </w:p>
        </w:tc>
      </w:tr>
    </w:tbl>
    <w:p>
      <w:pPr>
        <w:pStyle w:val="Normal"/>
        <w:rPr/>
      </w:pPr>
      <w:r>
        <w:rPr>
          <w:b/>
        </w:rPr>
        <w:t xml:space="preserve">Change: </w:t>
      </w:r>
      <w:r>
        <w:rPr/>
        <w:t>+$12,479 (+50.2% over approximately six months).</w:t>
      </w:r>
    </w:p>
    <w:p>
      <w:pPr>
        <w:pStyle w:val="Normal"/>
        <w:rPr/>
      </w:pPr>
      <w:r>
        <w:rPr/>
        <w:t>This 50% growth in on-hand inventory at the primary residential dining unit warrants investigation. Possible causes include uncontrolled ordering, inactive menu rotation, or absence of a PAR-level enforcement mechanism. See Recommendation A in Section 4.4 for the recommended action.</w:t>
      </w:r>
    </w:p>
    <w:p>
      <w:pPr>
        <w:pStyle w:val="Heading3"/>
        <w:rPr/>
      </w:pPr>
      <w:bookmarkStart w:id="11" w:name="__RefHeading___Toc2097_835317165"/>
      <w:bookmarkEnd w:id="11"/>
      <w:r>
        <w:rPr/>
        <w:t>Inventory Categories Tracked (Grand Dining — 6011 Food Group)</w:t>
      </w:r>
    </w:p>
    <w:p>
      <w:pPr>
        <w:pStyle w:val="Normal"/>
        <w:rPr/>
      </w:pPr>
      <w:r>
        <w:rPr/>
        <w:t>Inventory is tracked across the following subcategories at Grand Dining: Baked Goods, Beverage, Milk &amp; Ice Cream, Groceries, Frozen Food, Meat Eggs &amp; Cheese, Produce (all under food category 6011); Cleaning Supplies (6022); Paper/Plastic (6026); Bar Supplies / Beer / Wine / Liquor (6027).</w:t>
      </w:r>
    </w:p>
    <w:p>
      <w:pPr>
        <w:pStyle w:val="Normal"/>
        <w:rPr/>
      </w:pPr>
      <w:r>
        <w:rPr/>
        <w:t>Flag: Frozen Food inventory shows $0.00 for Grand Dining in both the earliest and latest reporting periods, suggesting either Frozen Food is not stocked or is not currently being tracked in the inventory system. See Recommendation E in Section 4.4.</w:t>
      </w:r>
    </w:p>
    <w:p>
      <w:pPr>
        <w:pStyle w:val="Heading2"/>
        <w:rPr/>
      </w:pPr>
      <w:bookmarkStart w:id="12" w:name="__RefHeading___Toc1507_2060744472"/>
      <w:bookmarkEnd w:id="12"/>
      <w:r>
        <w:rPr/>
        <w:t>2.8 Overall Data Summary</w:t>
      </w:r>
    </w:p>
    <w:tbl>
      <w:tblPr>
        <w:tblStyle w:val="TableGrid"/>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44"/>
        <w:gridCol w:w="2300"/>
        <w:gridCol w:w="2668"/>
        <w:gridCol w:w="2448"/>
      </w:tblGrid>
      <w:tr>
        <w:trPr>
          <w:tblHeader w:val="true"/>
          <w:cantSplit/>
        </w:trPr>
        <w:tc>
          <w:tcPr>
            <w:tcW w:w="1944" w:type="dxa"/>
            <w:tcBorders/>
            <w:shd w:color="auto" w:fill="1F3864" w:val="clear"/>
          </w:tcPr>
          <w:p>
            <w:pPr>
              <w:pStyle w:val="Normal"/>
              <w:widowControl/>
              <w:suppressAutoHyphens w:val="true"/>
              <w:spacing w:lineRule="auto" w:line="240" w:before="40" w:after="40"/>
              <w:jc w:val="start"/>
              <w:rPr>
                <w:kern w:val="0"/>
                <w:szCs w:val="22"/>
                <w:lang w:val="en-US" w:eastAsia="en-US" w:bidi="ar-SA"/>
              </w:rPr>
            </w:pPr>
            <w:r>
              <w:rPr>
                <w:b/>
                <w:color w:val="FFFFFF"/>
                <w:kern w:val="0"/>
                <w:sz w:val="19"/>
                <w:szCs w:val="22"/>
                <w:lang w:val="en-US" w:eastAsia="en-US" w:bidi="ar-SA"/>
              </w:rPr>
              <w:t>Data Domain</w:t>
            </w:r>
          </w:p>
        </w:tc>
        <w:tc>
          <w:tcPr>
            <w:tcW w:w="2300" w:type="dxa"/>
            <w:tcBorders/>
            <w:shd w:color="auto" w:fill="1F3864" w:val="clear"/>
          </w:tcPr>
          <w:p>
            <w:pPr>
              <w:pStyle w:val="Normal"/>
              <w:widowControl/>
              <w:suppressAutoHyphens w:val="true"/>
              <w:spacing w:lineRule="auto" w:line="240" w:before="40" w:after="40"/>
              <w:jc w:val="start"/>
              <w:rPr>
                <w:kern w:val="0"/>
                <w:szCs w:val="22"/>
                <w:lang w:val="en-US" w:eastAsia="en-US" w:bidi="ar-SA"/>
              </w:rPr>
            </w:pPr>
            <w:r>
              <w:rPr>
                <w:b/>
                <w:color w:val="FFFFFF"/>
                <w:kern w:val="0"/>
                <w:sz w:val="19"/>
                <w:szCs w:val="22"/>
                <w:lang w:val="en-US" w:eastAsia="en-US" w:bidi="ar-SA"/>
              </w:rPr>
              <w:t>NIW Analog</w:t>
            </w:r>
          </w:p>
        </w:tc>
        <w:tc>
          <w:tcPr>
            <w:tcW w:w="2668" w:type="dxa"/>
            <w:tcBorders/>
            <w:shd w:color="auto" w:fill="1F3864" w:val="clear"/>
          </w:tcPr>
          <w:p>
            <w:pPr>
              <w:pStyle w:val="Normal"/>
              <w:widowControl/>
              <w:suppressAutoHyphens w:val="true"/>
              <w:spacing w:lineRule="auto" w:line="240" w:before="40" w:after="40"/>
              <w:jc w:val="start"/>
              <w:rPr>
                <w:kern w:val="0"/>
                <w:szCs w:val="22"/>
                <w:lang w:val="en-US" w:eastAsia="en-US" w:bidi="ar-SA"/>
              </w:rPr>
            </w:pPr>
            <w:r>
              <w:rPr>
                <w:b/>
                <w:color w:val="FFFFFF"/>
                <w:kern w:val="0"/>
                <w:sz w:val="19"/>
                <w:szCs w:val="22"/>
                <w:lang w:val="en-US" w:eastAsia="en-US" w:bidi="ar-SA"/>
              </w:rPr>
              <w:t>Files Available</w:t>
            </w:r>
          </w:p>
        </w:tc>
        <w:tc>
          <w:tcPr>
            <w:tcW w:w="2448" w:type="dxa"/>
            <w:tcBorders/>
            <w:shd w:color="auto" w:fill="1F3864" w:val="clear"/>
          </w:tcPr>
          <w:p>
            <w:pPr>
              <w:pStyle w:val="Normal"/>
              <w:widowControl/>
              <w:suppressAutoHyphens w:val="true"/>
              <w:spacing w:lineRule="auto" w:line="240" w:before="40" w:after="40"/>
              <w:jc w:val="start"/>
              <w:rPr>
                <w:kern w:val="0"/>
                <w:szCs w:val="22"/>
                <w:lang w:val="en-US" w:eastAsia="en-US" w:bidi="ar-SA"/>
              </w:rPr>
            </w:pPr>
            <w:r>
              <w:rPr>
                <w:b/>
                <w:color w:val="FFFFFF"/>
                <w:kern w:val="0"/>
                <w:sz w:val="19"/>
                <w:szCs w:val="22"/>
                <w:lang w:val="en-US" w:eastAsia="en-US" w:bidi="ar-SA"/>
              </w:rPr>
              <w:t>Completeness</w:t>
            </w:r>
          </w:p>
        </w:tc>
      </w:tr>
      <w:tr>
        <w:trPr>
          <w:cantSplit/>
        </w:trPr>
        <w:tc>
          <w:tcPr>
            <w:tcW w:w="1944"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Utilization</w:t>
            </w:r>
          </w:p>
        </w:tc>
        <w:tc>
          <w:tcPr>
            <w:tcW w:w="2300"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Patient visits / bed occupancy</w:t>
            </w:r>
          </w:p>
        </w:tc>
        <w:tc>
          <w:tcPr>
            <w:tcW w:w="2668"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Day Parts Report (Oct 7, 2026)</w:t>
            </w:r>
          </w:p>
        </w:tc>
        <w:tc>
          <w:tcPr>
            <w:tcW w:w="2448"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Partial: one day, three meal periods</w:t>
            </w:r>
          </w:p>
        </w:tc>
      </w:tr>
      <w:tr>
        <w:trPr>
          <w:cantSplit/>
        </w:trPr>
        <w:tc>
          <w:tcPr>
            <w:tcW w:w="1944"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Procurement</w:t>
            </w:r>
          </w:p>
        </w:tc>
        <w:tc>
          <w:tcPr>
            <w:tcW w:w="2300"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Medical-supply purchase orders</w:t>
            </w:r>
          </w:p>
        </w:tc>
        <w:tc>
          <w:tcPr>
            <w:tcW w:w="2668"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Produce Order, Sysco Order</w:t>
            </w:r>
          </w:p>
        </w:tc>
        <w:tc>
          <w:tcPr>
            <w:tcW w:w="2448"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Template only: 409 lines, no PAR or quantities</w:t>
            </w:r>
          </w:p>
        </w:tc>
      </w:tr>
      <w:tr>
        <w:trPr>
          <w:cantSplit/>
        </w:trPr>
        <w:tc>
          <w:tcPr>
            <w:tcW w:w="1944"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Inventory / Menu Catalog</w:t>
            </w:r>
          </w:p>
        </w:tc>
        <w:tc>
          <w:tcPr>
            <w:tcW w:w="2300"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Pharmacy / sterile supply catalog</w:t>
            </w:r>
          </w:p>
        </w:tc>
        <w:tc>
          <w:tcPr>
            <w:tcW w:w="2668"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10 Revenue Center files</w:t>
            </w:r>
          </w:p>
        </w:tc>
        <w:tc>
          <w:tcPr>
            <w:tcW w:w="2448"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Strong: 15,145 records, 3,663 unique codes</w:t>
            </w:r>
          </w:p>
        </w:tc>
      </w:tr>
      <w:tr>
        <w:trPr>
          <w:cantSplit/>
        </w:trPr>
        <w:tc>
          <w:tcPr>
            <w:tcW w:w="1944"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Population</w:t>
            </w:r>
          </w:p>
        </w:tc>
        <w:tc>
          <w:tcPr>
            <w:tcW w:w="2300"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Patient panel / enrollment</w:t>
            </w:r>
          </w:p>
        </w:tc>
        <w:tc>
          <w:tcPr>
            <w:tcW w:w="2668"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Pricing Export (outlet coverage); enrollment not yet available</w:t>
            </w:r>
          </w:p>
        </w:tc>
        <w:tc>
          <w:tcPr>
            <w:tcW w:w="2448"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Partial: enrollment and meal-plan data missing</w:t>
            </w:r>
          </w:p>
        </w:tc>
      </w:tr>
      <w:tr>
        <w:trPr>
          <w:cantSplit/>
        </w:trPr>
        <w:tc>
          <w:tcPr>
            <w:tcW w:w="1944"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Clinical / Nutritional</w:t>
            </w:r>
          </w:p>
        </w:tc>
        <w:tc>
          <w:tcPr>
            <w:tcW w:w="2300"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Chronic-disease risk factors</w:t>
            </w:r>
          </w:p>
        </w:tc>
        <w:tc>
          <w:tcPr>
            <w:tcW w:w="2668"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Food Section doc, menu structure, Mindful items</w:t>
            </w:r>
          </w:p>
        </w:tc>
        <w:tc>
          <w:tcPr>
            <w:tcW w:w="2448"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Structural only: no nutrient profiles yet</w:t>
            </w:r>
          </w:p>
        </w:tc>
      </w:tr>
    </w:tbl>
    <w:p>
      <w:pPr>
        <w:pStyle w:val="Caption"/>
        <w:rPr/>
      </w:pPr>
      <w:r>
        <w:rPr/>
        <w:t>Table 4. Data domain coverage against the NIW endeavor.</w:t>
      </w:r>
    </w:p>
    <w:p>
      <w:pPr>
        <w:pStyle w:val="Heading1"/>
        <w:rPr/>
      </w:pPr>
      <w:bookmarkStart w:id="13" w:name="__RefHeading___Toc1509_2060744472"/>
      <w:bookmarkEnd w:id="13"/>
      <w:r>
        <w:rPr/>
        <w:t>3. How the Author Can Still Achieve the NIW Project from This Data</w:t>
      </w:r>
    </w:p>
    <w:p>
      <w:pPr>
        <w:pStyle w:val="Heading2"/>
        <w:rPr/>
      </w:pPr>
      <w:bookmarkStart w:id="14" w:name="__RefHeading___Toc1511_2060744472"/>
      <w:bookmarkEnd w:id="14"/>
      <w:r>
        <w:rPr/>
        <w:t>3.1 Data Sufficiency Assessment</w:t>
      </w:r>
    </w:p>
    <w:p>
      <w:pPr>
        <w:pStyle w:val="Normal"/>
        <w:rPr/>
      </w:pPr>
      <w:r>
        <w:rPr>
          <w:b w:val="false"/>
        </w:rPr>
        <w:t>Taken together, the files show that the author is working inside a real, data-rich institutional system. A Phase I proof-of-concept does not require a complete dataset on day one. It requires access to every relevant domain, a documented plan to fill the gaps, and a working pipeline. The author has the first two, and the Blueprint defines the third.</w:t>
      </w:r>
    </w:p>
    <w:p>
      <w:pPr>
        <w:pStyle w:val="Heading3"/>
        <w:rPr/>
      </w:pPr>
      <w:bookmarkStart w:id="15" w:name="__RefHeading___Toc1513_2060744472"/>
      <w:bookmarkEnd w:id="15"/>
      <w:r>
        <w:rPr/>
        <w:t>What the data already proves</w:t>
      </w:r>
    </w:p>
    <w:p>
      <w:pPr>
        <w:pStyle w:val="ListBullet"/>
        <w:numPr>
          <w:ilvl w:val="0"/>
          <w:numId w:val="1"/>
        </w:numPr>
        <w:rPr/>
      </w:pPr>
      <w:r>
        <w:rPr>
          <w:b w:val="false"/>
        </w:rPr>
        <w:t xml:space="preserve">The author has access to, and is analyzing, a </w:t>
      </w:r>
      <w:r>
        <w:rPr>
          <w:b/>
        </w:rPr>
        <w:t>multi-outlet, multi-vendor institutional food operation</w:t>
      </w:r>
      <w:r>
        <w:rPr>
          <w:b w:val="false"/>
        </w:rPr>
        <w:t>: 14 priced service outlets, nine Grand Hall food sections, and six supply partners. Structurally, this is the same as a health institution’s supply chain.</w:t>
      </w:r>
    </w:p>
    <w:p>
      <w:pPr>
        <w:pStyle w:val="ListBullet"/>
        <w:numPr>
          <w:ilvl w:val="0"/>
          <w:numId w:val="1"/>
        </w:numPr>
        <w:rPr/>
      </w:pPr>
      <w:r>
        <w:rPr>
          <w:b w:val="false"/>
        </w:rPr>
        <w:t xml:space="preserve">The </w:t>
      </w:r>
      <w:r>
        <w:rPr>
          <w:b/>
        </w:rPr>
        <w:t>15,145 revenue-center records (3,663 unique products)</w:t>
      </w:r>
      <w:r>
        <w:rPr>
          <w:b w:val="false"/>
        </w:rPr>
        <w:t xml:space="preserve"> show the scale and complexity of the data environment, including pharmaceutical and health-and-beauty subcategories.</w:t>
      </w:r>
    </w:p>
    <w:p>
      <w:pPr>
        <w:pStyle w:val="ListBullet"/>
        <w:numPr>
          <w:ilvl w:val="0"/>
          <w:numId w:val="1"/>
        </w:numPr>
        <w:rPr/>
      </w:pPr>
      <w:r>
        <w:rPr>
          <w:b w:val="false"/>
        </w:rPr>
        <w:t xml:space="preserve">The Grand Hall Day Parts report shows the author already has access to </w:t>
      </w:r>
      <w:r>
        <w:rPr>
          <w:b/>
        </w:rPr>
        <w:t>utilization-frequency data</w:t>
      </w:r>
      <w:r>
        <w:rPr>
          <w:b w:val="false"/>
        </w:rPr>
        <w:t>: demand patterns by meal period from the point-of-sale (POS) system.</w:t>
      </w:r>
    </w:p>
    <w:p>
      <w:pPr>
        <w:pStyle w:val="ListBullet"/>
        <w:numPr>
          <w:ilvl w:val="0"/>
          <w:numId w:val="1"/>
        </w:numPr>
        <w:rPr/>
      </w:pPr>
      <w:r>
        <w:rPr>
          <w:b w:val="false"/>
        </w:rPr>
        <w:t xml:space="preserve">The Pricing Export documents </w:t>
      </w:r>
      <w:r>
        <w:rPr>
          <w:b/>
        </w:rPr>
        <w:t>pricing and proposed-pricing structure across 14 service locations</w:t>
      </w:r>
      <w:r>
        <w:rPr>
          <w:b w:val="false"/>
        </w:rPr>
        <w:t>, which corresponds directly to a health system’s formulary and charge master.</w:t>
      </w:r>
    </w:p>
    <w:p>
      <w:pPr>
        <w:pStyle w:val="ListBullet"/>
        <w:numPr>
          <w:ilvl w:val="0"/>
          <w:numId w:val="1"/>
        </w:numPr>
        <w:rPr/>
      </w:pPr>
      <w:r>
        <w:rPr>
          <w:b w:val="false"/>
        </w:rPr>
        <w:t xml:space="preserve">The procurement templates capture </w:t>
      </w:r>
      <w:r>
        <w:rPr>
          <w:b/>
        </w:rPr>
        <w:t>the full 409-line item catalog</w:t>
      </w:r>
      <w:r>
        <w:rPr>
          <w:b w:val="false"/>
        </w:rPr>
        <w:t xml:space="preserve"> used for vendor ordering, which is the supply side of the system.</w:t>
      </w:r>
    </w:p>
    <w:p>
      <w:pPr>
        <w:pStyle w:val="Heading3"/>
        <w:rPr/>
      </w:pPr>
      <w:bookmarkStart w:id="16" w:name="__RefHeading___Toc1515_2060744472"/>
      <w:bookmarkEnd w:id="16"/>
      <w:r>
        <w:rPr/>
        <w:t>The NIW mapping: five domains, what exists, what to collect</w:t>
      </w:r>
    </w:p>
    <w:tbl>
      <w:tblPr>
        <w:tblStyle w:val="TableGrid"/>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872"/>
        <w:gridCol w:w="2880"/>
        <w:gridCol w:w="3168"/>
        <w:gridCol w:w="1440"/>
      </w:tblGrid>
      <w:tr>
        <w:trPr>
          <w:tblHeader w:val="true"/>
          <w:cantSplit/>
        </w:trPr>
        <w:tc>
          <w:tcPr>
            <w:tcW w:w="1872" w:type="dxa"/>
            <w:tcBorders/>
            <w:shd w:color="auto" w:fill="1F3864" w:val="clear"/>
          </w:tcPr>
          <w:p>
            <w:pPr>
              <w:pStyle w:val="Normal"/>
              <w:widowControl/>
              <w:suppressAutoHyphens w:val="true"/>
              <w:spacing w:lineRule="auto" w:line="240" w:before="40" w:after="40"/>
              <w:jc w:val="start"/>
              <w:rPr>
                <w:kern w:val="0"/>
                <w:szCs w:val="22"/>
                <w:lang w:val="en-US" w:eastAsia="en-US" w:bidi="ar-SA"/>
              </w:rPr>
            </w:pPr>
            <w:r>
              <w:rPr>
                <w:b/>
                <w:color w:val="FFFFFF"/>
                <w:kern w:val="0"/>
                <w:sz w:val="19"/>
                <w:szCs w:val="22"/>
                <w:lang w:val="en-US" w:eastAsia="en-US" w:bidi="ar-SA"/>
              </w:rPr>
              <w:t>Domain</w:t>
            </w:r>
          </w:p>
        </w:tc>
        <w:tc>
          <w:tcPr>
            <w:tcW w:w="2880" w:type="dxa"/>
            <w:tcBorders/>
            <w:shd w:color="auto" w:fill="1F3864" w:val="clear"/>
          </w:tcPr>
          <w:p>
            <w:pPr>
              <w:pStyle w:val="Normal"/>
              <w:widowControl/>
              <w:suppressAutoHyphens w:val="true"/>
              <w:spacing w:lineRule="auto" w:line="240" w:before="40" w:after="40"/>
              <w:jc w:val="start"/>
              <w:rPr>
                <w:kern w:val="0"/>
                <w:szCs w:val="22"/>
                <w:lang w:val="en-US" w:eastAsia="en-US" w:bidi="ar-SA"/>
              </w:rPr>
            </w:pPr>
            <w:r>
              <w:rPr>
                <w:b/>
                <w:color w:val="FFFFFF"/>
                <w:kern w:val="0"/>
                <w:sz w:val="19"/>
                <w:szCs w:val="22"/>
                <w:lang w:val="en-US" w:eastAsia="en-US" w:bidi="ar-SA"/>
              </w:rPr>
              <w:t>What Exists Now</w:t>
            </w:r>
          </w:p>
        </w:tc>
        <w:tc>
          <w:tcPr>
            <w:tcW w:w="3168" w:type="dxa"/>
            <w:tcBorders/>
            <w:shd w:color="auto" w:fill="1F3864" w:val="clear"/>
          </w:tcPr>
          <w:p>
            <w:pPr>
              <w:pStyle w:val="Normal"/>
              <w:widowControl/>
              <w:suppressAutoHyphens w:val="true"/>
              <w:spacing w:lineRule="auto" w:line="240" w:before="40" w:after="40"/>
              <w:jc w:val="start"/>
              <w:rPr>
                <w:kern w:val="0"/>
                <w:szCs w:val="22"/>
                <w:lang w:val="en-US" w:eastAsia="en-US" w:bidi="ar-SA"/>
              </w:rPr>
            </w:pPr>
            <w:r>
              <w:rPr>
                <w:b/>
                <w:color w:val="FFFFFF"/>
                <w:kern w:val="0"/>
                <w:sz w:val="19"/>
                <w:szCs w:val="22"/>
                <w:lang w:val="en-US" w:eastAsia="en-US" w:bidi="ar-SA"/>
              </w:rPr>
              <w:t>What to Collect Next</w:t>
            </w:r>
          </w:p>
        </w:tc>
        <w:tc>
          <w:tcPr>
            <w:tcW w:w="1440" w:type="dxa"/>
            <w:tcBorders/>
            <w:shd w:color="auto" w:fill="1F3864" w:val="clear"/>
          </w:tcPr>
          <w:p>
            <w:pPr>
              <w:pStyle w:val="Normal"/>
              <w:widowControl/>
              <w:suppressAutoHyphens w:val="true"/>
              <w:spacing w:lineRule="auto" w:line="240" w:before="40" w:after="40"/>
              <w:jc w:val="start"/>
              <w:rPr>
                <w:kern w:val="0"/>
                <w:szCs w:val="22"/>
                <w:lang w:val="en-US" w:eastAsia="en-US" w:bidi="ar-SA"/>
              </w:rPr>
            </w:pPr>
            <w:r>
              <w:rPr>
                <w:b/>
                <w:color w:val="FFFFFF"/>
                <w:kern w:val="0"/>
                <w:sz w:val="19"/>
                <w:szCs w:val="22"/>
                <w:lang w:val="en-US" w:eastAsia="en-US" w:bidi="ar-SA"/>
              </w:rPr>
              <w:t>Priority</w:t>
            </w:r>
          </w:p>
        </w:tc>
      </w:tr>
      <w:tr>
        <w:trPr>
          <w:cantSplit/>
        </w:trPr>
        <w:tc>
          <w:tcPr>
            <w:tcW w:w="1872"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Utilization</w:t>
            </w:r>
          </w:p>
        </w:tc>
        <w:tc>
          <w:tcPr>
            <w:tcW w:w="2880"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Oct 7, 2026 Day Parts (2,537 items sold)</w:t>
            </w:r>
          </w:p>
        </w:tc>
        <w:tc>
          <w:tcPr>
            <w:tcW w:w="3168"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24 months of daily Day Parts history; GrubHub order exports</w:t>
            </w:r>
          </w:p>
        </w:tc>
        <w:tc>
          <w:tcPr>
            <w:tcW w:w="1440"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High</w:t>
            </w:r>
          </w:p>
        </w:tc>
      </w:tr>
      <w:tr>
        <w:trPr>
          <w:cantSplit/>
        </w:trPr>
        <w:tc>
          <w:tcPr>
            <w:tcW w:w="1872"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Procurement</w:t>
            </w:r>
          </w:p>
        </w:tc>
        <w:tc>
          <w:tcPr>
            <w:tcW w:w="2880"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409-line Produce/Sysco templates</w:t>
            </w:r>
          </w:p>
        </w:tc>
        <w:tc>
          <w:tcPr>
            <w:tcW w:w="3168"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PAR levels; Mon/Wed/Fri order quantities; received quantities; unit costs</w:t>
            </w:r>
          </w:p>
        </w:tc>
        <w:tc>
          <w:tcPr>
            <w:tcW w:w="1440"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High</w:t>
            </w:r>
          </w:p>
        </w:tc>
      </w:tr>
      <w:tr>
        <w:trPr>
          <w:cantSplit/>
        </w:trPr>
        <w:tc>
          <w:tcPr>
            <w:tcW w:w="1872"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Inventory</w:t>
            </w:r>
          </w:p>
        </w:tc>
        <w:tc>
          <w:tcPr>
            <w:tcW w:w="2880"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15,145 catalog records; 1,133 priced rows</w:t>
            </w:r>
          </w:p>
        </w:tc>
        <w:tc>
          <w:tcPr>
            <w:tcW w:w="3168"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On-hand inventory counts; stock-out event tracking (note: receiving verification records are not currently maintained; waste tracking records are not currently maintained)</w:t>
            </w:r>
          </w:p>
        </w:tc>
        <w:tc>
          <w:tcPr>
            <w:tcW w:w="1440"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High</w:t>
            </w:r>
          </w:p>
        </w:tc>
      </w:tr>
      <w:tr>
        <w:trPr>
          <w:cantSplit/>
        </w:trPr>
        <w:tc>
          <w:tcPr>
            <w:tcW w:w="1872"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Population</w:t>
            </w:r>
          </w:p>
        </w:tc>
        <w:tc>
          <w:tcPr>
            <w:tcW w:w="2880"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Outlet structure; author swipe estimates</w:t>
            </w:r>
          </w:p>
        </w:tc>
        <w:tc>
          <w:tcPr>
            <w:tcW w:w="3168"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Semester enrollment; meal-plan tiers and participation; academic calendar</w:t>
            </w:r>
          </w:p>
        </w:tc>
        <w:tc>
          <w:tcPr>
            <w:tcW w:w="1440"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High</w:t>
            </w:r>
          </w:p>
        </w:tc>
      </w:tr>
      <w:tr>
        <w:trPr>
          <w:cantSplit/>
        </w:trPr>
        <w:tc>
          <w:tcPr>
            <w:tcW w:w="1872"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Clinical / Nutritional</w:t>
            </w:r>
          </w:p>
        </w:tc>
        <w:tc>
          <w:tcPr>
            <w:tcW w:w="2880"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Nine food sections; Mindful items; zero allergy incidents in ten months</w:t>
            </w:r>
          </w:p>
        </w:tc>
        <w:tc>
          <w:tcPr>
            <w:tcW w:w="3168"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Macronutrient and allergen profiles; dietary accommodation counts</w:t>
            </w:r>
          </w:p>
        </w:tc>
        <w:tc>
          <w:tcPr>
            <w:tcW w:w="1440"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Medium</w:t>
            </w:r>
          </w:p>
        </w:tc>
      </w:tr>
    </w:tbl>
    <w:p>
      <w:pPr>
        <w:pStyle w:val="Caption"/>
        <w:rPr/>
      </w:pPr>
      <w:r>
        <w:rPr/>
        <w:t>Table 5. Domain-by-domain sufficiency and collection plan.</w:t>
      </w:r>
    </w:p>
    <w:p>
      <w:pPr>
        <w:pStyle w:val="Normal"/>
        <w:rPr/>
      </w:pPr>
      <w:r>
        <w:rPr>
          <w:b/>
        </w:rPr>
        <w:t>1. Utilization domain.</w:t>
      </w:r>
      <w:r>
        <w:rPr>
          <w:b w:val="false"/>
        </w:rPr>
        <w:t xml:space="preserve"> The October 7, 2026 Day Parts Report is the first documented utilization record. The author’s next step is to export 24 months of historical day-parts data from the POS system, as the Blueprint (Stage 1) specifies. Each daily report of breakfast, lunch, and dinner counts and revenue is equivalent to a hospital’s daily census report. The demand ordering (Dinner 992 &gt; Lunch 941 &gt; Breakfast 604) already traces a clear intraday utilization curve. With multiple months of data, SARIMA or Prophet time-series models can forecast daily meal demand by period, with academic-calendar and weather features added. That directly demonstrates the forecasting architecture the NIW endeavor requires.</w:t>
      </w:r>
    </w:p>
    <w:p>
      <w:pPr>
        <w:pStyle w:val="Normal"/>
        <w:rPr/>
      </w:pPr>
      <w:r>
        <w:rPr>
          <w:b/>
        </w:rPr>
        <w:t>2. Procurement domain.</w:t>
      </w:r>
      <w:r>
        <w:rPr>
          <w:b w:val="false"/>
        </w:rPr>
        <w:t xml:space="preserve"> The Produce and Sysco order files contain 409 lines each, spanning the full food catalog. The immediate task is to populate PAR levels (target stock levels), record the quantities actually ordered on each Monday, Wednesday, and Friday, and log received quantities against them. After about three months of ordering data, procurement patterns can be modeled and linked to the utilization forecast. The resulting supply-demand integration, in which forecast meals become forecast item quantities, is the technical core of the NIW endeavor.</w:t>
      </w:r>
    </w:p>
    <w:p>
      <w:pPr>
        <w:pStyle w:val="Normal"/>
        <w:rPr/>
      </w:pPr>
      <w:r>
        <w:rPr>
          <w:b/>
        </w:rPr>
        <w:t>3. Inventory domain.</w:t>
      </w:r>
      <w:r>
        <w:rPr>
          <w:b w:val="false"/>
        </w:rPr>
        <w:t xml:space="preserve"> The ten Revenue Center files form the item master. Combined with systematic inventory tracking, they can become a true inventory master file (note: receiving verification records and waste tracking records are not currently maintained at SLU and must be established). The author should start tracking PAR levels and on-hand counts inside the existing templates. Once waste tracking records and receiving verification records are established, reason codes and intake data can be added to the system. IQF frozen fruits and vegetables, plant-based proteins, fish from Fortune Fish, and dairy from Prairie Farms are high-perishability, temperature-controlled inventory, a direct counterpart to pharmaceutical cold-chain management.</w:t>
      </w:r>
    </w:p>
    <w:p>
      <w:pPr>
        <w:pStyle w:val="Normal"/>
        <w:rPr/>
      </w:pPr>
      <w:r>
        <w:rPr>
          <w:b/>
        </w:rPr>
        <w:t>4. Population domain.</w:t>
      </w:r>
      <w:r>
        <w:rPr>
          <w:b w:val="false"/>
        </w:rPr>
        <w:t xml:space="preserve"> Enrollment and meal-plan participation data were not among the files supplied; the author’s notes list them as not yet available. SLU’s campus community is publicly reported at roughly 18,000 students, faculty, and staff (a figure cited at the 2018 Sodexo–SLU partnership announcement), but that number must be confirmed with SLU before it is used in any model. The author should request semester enrollment and meal-plan participation counts from SLU Student Affairs or Institutional Research. Merged with Day Parts utilization, these figures give a </w:t>
      </w:r>
      <w:r>
        <w:rPr>
          <w:b/>
        </w:rPr>
        <w:t>per-capita demand rate</w:t>
      </w:r>
      <w:r>
        <w:rPr>
          <w:b w:val="false"/>
        </w:rPr>
        <w:t xml:space="preserve"> (meals per enrolled student per day), the same metric used in patient-panel models.</w:t>
      </w:r>
    </w:p>
    <w:p>
      <w:pPr>
        <w:pStyle w:val="Normal"/>
        <w:rPr/>
      </w:pPr>
      <w:r>
        <w:rPr>
          <w:b/>
        </w:rPr>
        <w:t>5. Clinical / nutritional domain.</w:t>
      </w:r>
      <w:r>
        <w:rPr>
          <w:b w:val="false"/>
        </w:rPr>
        <w:t xml:space="preserve"> The nine food sections (including Plant Grown Based and Leaves – Mix Green), the plant-based protein lines, and the existing Mindful subcategories (Mindful-Grill, Mindful-Entree, Mindful-Sides, Mindful-Soup) provide the nutritional structure. The next step is to add macronutrient profiles (calories, protein, fat, carbohydrates, fiber, sodium, sugar) and allergen flags to the catalog. Doing so links campus dietary patterns to population-level nutrition risk, which is the bridge from the dining proof-of-concept to the NIW’s chronic-disease forecasting endpoint. The ten-month record with no allergy incidents is a useful clinical-safety baseline in its own right.</w:t>
      </w:r>
    </w:p>
    <w:p>
      <w:pPr>
        <w:pStyle w:val="Heading2"/>
        <w:rPr/>
      </w:pPr>
      <w:bookmarkStart w:id="17" w:name="__RefHeading___Toc1517_2060744472"/>
      <w:bookmarkEnd w:id="17"/>
      <w:r>
        <w:rPr/>
        <w:t>3.2 Immediate Action Plan (Next 90 Days)</w:t>
      </w:r>
    </w:p>
    <w:p>
      <w:pPr>
        <w:pStyle w:val="ListNumber"/>
        <w:numPr>
          <w:ilvl w:val="0"/>
          <w:numId w:val="18"/>
        </w:numPr>
        <w:rPr/>
      </w:pPr>
      <w:r>
        <w:rPr>
          <w:b/>
        </w:rPr>
        <w:t>Weeks 1–2: Collect 24 months of Day Parts history.</w:t>
      </w:r>
      <w:r>
        <w:rPr>
          <w:b w:val="false"/>
        </w:rPr>
        <w:t xml:space="preserve"> Export daily reports for Grand Hall and every other outlet from the POS system, store the raw CSVs in an archive folder, and append them into one utilization table (date, location, day part, # sold, revenue, control count).</w:t>
      </w:r>
    </w:p>
    <w:p>
      <w:pPr>
        <w:pStyle w:val="ListNumber"/>
        <w:numPr>
          <w:ilvl w:val="0"/>
          <w:numId w:val="8"/>
        </w:numPr>
        <w:rPr/>
      </w:pPr>
      <w:r>
        <w:rPr>
          <w:b/>
        </w:rPr>
        <w:t>Weeks 1–3: Populate PAR levels and order quantities.</w:t>
      </w:r>
      <w:r>
        <w:rPr>
          <w:b w:val="false"/>
        </w:rPr>
        <w:t xml:space="preserve"> With the Executive Chef, set a PAR for each of the 409 template lines, tag each line with its actual vendor, and start logging Monday, Wednesday, and Friday order and received quantities.</w:t>
      </w:r>
    </w:p>
    <w:p>
      <w:pPr>
        <w:pStyle w:val="ListNumber"/>
        <w:numPr>
          <w:ilvl w:val="0"/>
          <w:numId w:val="8"/>
        </w:numPr>
        <w:rPr/>
      </w:pPr>
      <w:r>
        <w:rPr>
          <w:b/>
        </w:rPr>
        <w:t>Weeks 2–3: Request population data.</w:t>
      </w:r>
      <w:r>
        <w:rPr>
          <w:b w:val="false"/>
        </w:rPr>
        <w:t xml:space="preserve"> Submit a written request to SLU Student Affairs or Institutional Research for semester enrollment, meal-plan tier counts, residence-hall occupancy, and the academic calendar.</w:t>
      </w:r>
    </w:p>
    <w:p>
      <w:pPr>
        <w:pStyle w:val="ListNumber"/>
        <w:numPr>
          <w:ilvl w:val="0"/>
          <w:numId w:val="8"/>
        </w:numPr>
        <w:rPr/>
      </w:pPr>
      <w:r>
        <w:rPr>
          <w:b/>
        </w:rPr>
        <w:t>Weeks 3–6: Add nutritional data.</w:t>
      </w:r>
      <w:r>
        <w:rPr>
          <w:b w:val="false"/>
        </w:rPr>
        <w:t xml:space="preserve"> Starting with Grand Hall entrées and the Mindful and plant-based items, add nutrient and allergen fields to a consolidated catalog drawn from the ten Revenue Center files.</w:t>
      </w:r>
    </w:p>
    <w:p>
      <w:pPr>
        <w:pStyle w:val="ListNumber"/>
        <w:numPr>
          <w:ilvl w:val="0"/>
          <w:numId w:val="8"/>
        </w:numPr>
        <w:rPr/>
      </w:pPr>
      <w:r>
        <w:rPr>
          <w:b/>
        </w:rPr>
        <w:t>Weeks 1–3: Set up the data environment.</w:t>
      </w:r>
      <w:r>
        <w:rPr>
          <w:b w:val="false"/>
        </w:rPr>
        <w:t xml:space="preserve"> Create a Python and SQL environment (for example, PostgreSQL or SQLite with pandas), initialize a version-controlled GitHub repository, and write Data Dictionary v1.0.</w:t>
      </w:r>
    </w:p>
    <w:p>
      <w:pPr>
        <w:pStyle w:val="ListNumber"/>
        <w:numPr>
          <w:ilvl w:val="0"/>
          <w:numId w:val="8"/>
        </w:numPr>
        <w:rPr/>
      </w:pPr>
      <w:r>
        <w:rPr>
          <w:b/>
        </w:rPr>
        <w:t>Weeks 4–8: Begin exploratory data analysis (EDA).</w:t>
      </w:r>
      <w:r>
        <w:rPr>
          <w:b w:val="false"/>
        </w:rPr>
        <w:t xml:space="preserve"> Profile day-of-week and semester seasonality, compare day-part mix across outlets, quantify catalog duplication and validation gaps, and document data quality.</w:t>
      </w:r>
    </w:p>
    <w:p>
      <w:pPr>
        <w:pStyle w:val="ListNumber"/>
        <w:numPr>
          <w:ilvl w:val="0"/>
          <w:numId w:val="8"/>
        </w:numPr>
        <w:rPr/>
      </w:pPr>
      <w:r>
        <w:rPr>
          <w:b/>
        </w:rPr>
        <w:t>Weeks 8–12: Build the first baseline dashboard.</w:t>
      </w:r>
      <w:r>
        <w:rPr>
          <w:b w:val="false"/>
        </w:rPr>
        <w:t xml:space="preserve"> Publish a management-ready dashboard (Power BI, Tableau, or Python Dash) showing daily demand by period, order volumes, and catalog health. This is the Stage 3 deliverable in the Blueprint.</w:t>
      </w:r>
    </w:p>
    <w:p>
      <w:pPr>
        <w:pStyle w:val="Heading2"/>
        <w:rPr/>
      </w:pPr>
      <w:bookmarkStart w:id="18" w:name="__RefHeading___Toc1519_2060744472"/>
      <w:bookmarkEnd w:id="18"/>
      <w:r>
        <w:rPr/>
        <w:t>3.3 The Bridge to Health Institutions</w:t>
      </w:r>
    </w:p>
    <w:p>
      <w:pPr>
        <w:pStyle w:val="Normal"/>
        <w:rPr/>
      </w:pPr>
      <w:r>
        <w:rPr>
          <w:b w:val="false"/>
        </w:rPr>
        <w:t>Each data type at Sodexo SLU has a direct health-institution counterpart. This is the substantive basis of the Blueprint’s statement that only the source systems change:</w:t>
      </w:r>
    </w:p>
    <w:tbl>
      <w:tblPr>
        <w:tblStyle w:val="TableGrid"/>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452"/>
        <w:gridCol w:w="3460"/>
        <w:gridCol w:w="2448"/>
      </w:tblGrid>
      <w:tr>
        <w:trPr>
          <w:tblHeader w:val="true"/>
          <w:cantSplit/>
        </w:trPr>
        <w:tc>
          <w:tcPr>
            <w:tcW w:w="3452" w:type="dxa"/>
            <w:tcBorders/>
            <w:shd w:color="auto" w:fill="1F3864" w:val="clear"/>
          </w:tcPr>
          <w:p>
            <w:pPr>
              <w:pStyle w:val="Normal"/>
              <w:widowControl/>
              <w:suppressAutoHyphens w:val="true"/>
              <w:spacing w:lineRule="auto" w:line="240" w:before="40" w:after="40"/>
              <w:jc w:val="start"/>
              <w:rPr>
                <w:kern w:val="0"/>
                <w:szCs w:val="22"/>
                <w:lang w:val="en-US" w:eastAsia="en-US" w:bidi="ar-SA"/>
              </w:rPr>
            </w:pPr>
            <w:r>
              <w:rPr>
                <w:b/>
                <w:color w:val="FFFFFF"/>
                <w:kern w:val="0"/>
                <w:sz w:val="19"/>
                <w:szCs w:val="22"/>
                <w:lang w:val="en-US" w:eastAsia="en-US" w:bidi="ar-SA"/>
              </w:rPr>
              <w:t>Sodexo SLU Data</w:t>
            </w:r>
          </w:p>
        </w:tc>
        <w:tc>
          <w:tcPr>
            <w:tcW w:w="3460" w:type="dxa"/>
            <w:tcBorders/>
            <w:shd w:color="auto" w:fill="1F3864" w:val="clear"/>
          </w:tcPr>
          <w:p>
            <w:pPr>
              <w:pStyle w:val="Normal"/>
              <w:widowControl/>
              <w:suppressAutoHyphens w:val="true"/>
              <w:spacing w:lineRule="auto" w:line="240" w:before="40" w:after="40"/>
              <w:jc w:val="start"/>
              <w:rPr>
                <w:kern w:val="0"/>
                <w:szCs w:val="22"/>
                <w:lang w:val="en-US" w:eastAsia="en-US" w:bidi="ar-SA"/>
              </w:rPr>
            </w:pPr>
            <w:r>
              <w:rPr>
                <w:b/>
                <w:color w:val="FFFFFF"/>
                <w:kern w:val="0"/>
                <w:sz w:val="19"/>
                <w:szCs w:val="22"/>
                <w:lang w:val="en-US" w:eastAsia="en-US" w:bidi="ar-SA"/>
              </w:rPr>
              <w:t>Health-Institution Counterpart</w:t>
            </w:r>
          </w:p>
        </w:tc>
        <w:tc>
          <w:tcPr>
            <w:tcW w:w="2448" w:type="dxa"/>
            <w:tcBorders/>
            <w:shd w:color="auto" w:fill="1F3864" w:val="clear"/>
          </w:tcPr>
          <w:p>
            <w:pPr>
              <w:pStyle w:val="Normal"/>
              <w:widowControl/>
              <w:suppressAutoHyphens w:val="true"/>
              <w:spacing w:lineRule="auto" w:line="240" w:before="40" w:after="40"/>
              <w:jc w:val="start"/>
              <w:rPr>
                <w:kern w:val="0"/>
                <w:szCs w:val="22"/>
                <w:lang w:val="en-US" w:eastAsia="en-US" w:bidi="ar-SA"/>
              </w:rPr>
            </w:pPr>
            <w:r>
              <w:rPr>
                <w:b/>
                <w:color w:val="FFFFFF"/>
                <w:kern w:val="0"/>
                <w:sz w:val="19"/>
                <w:szCs w:val="22"/>
                <w:lang w:val="en-US" w:eastAsia="en-US" w:bidi="ar-SA"/>
              </w:rPr>
              <w:t>Shared Analytical Task</w:t>
            </w:r>
          </w:p>
        </w:tc>
      </w:tr>
      <w:tr>
        <w:trPr>
          <w:cantSplit/>
        </w:trPr>
        <w:tc>
          <w:tcPr>
            <w:tcW w:w="3452"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Day Parts (breakfast/lunch/dinner counts)</w:t>
            </w:r>
          </w:p>
        </w:tc>
        <w:tc>
          <w:tcPr>
            <w:tcW w:w="3460"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Patient census / ED visit logs</w:t>
            </w:r>
          </w:p>
        </w:tc>
        <w:tc>
          <w:tcPr>
            <w:tcW w:w="2448"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Time-series demand forecasting</w:t>
            </w:r>
          </w:p>
        </w:tc>
      </w:tr>
      <w:tr>
        <w:trPr>
          <w:cantSplit/>
        </w:trPr>
        <w:tc>
          <w:tcPr>
            <w:tcW w:w="3452"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Produce / Sysco order templates</w:t>
            </w:r>
          </w:p>
        </w:tc>
        <w:tc>
          <w:tcPr>
            <w:tcW w:w="3460"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Medical-supply purchase orders (e.g., Medline, Cardinal Health, Owens &amp; Minor)</w:t>
            </w:r>
          </w:p>
        </w:tc>
        <w:tc>
          <w:tcPr>
            <w:tcW w:w="2448"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Demand-driven reorder quantities</w:t>
            </w:r>
          </w:p>
        </w:tc>
      </w:tr>
      <w:tr>
        <w:trPr>
          <w:cantSplit/>
        </w:trPr>
        <w:tc>
          <w:tcPr>
            <w:tcW w:w="3452"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Revenue Center item catalog</w:t>
            </w:r>
          </w:p>
        </w:tc>
        <w:tc>
          <w:tcPr>
            <w:tcW w:w="3460"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Hospital formulary / supply catalog</w:t>
            </w:r>
          </w:p>
        </w:tc>
        <w:tc>
          <w:tcPr>
            <w:tcW w:w="2448"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Item master integration</w:t>
            </w:r>
          </w:p>
        </w:tc>
      </w:tr>
      <w:tr>
        <w:trPr>
          <w:cantSplit/>
        </w:trPr>
        <w:tc>
          <w:tcPr>
            <w:tcW w:w="3452"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Six-vendor supply structure</w:t>
            </w:r>
          </w:p>
        </w:tc>
        <w:tc>
          <w:tcPr>
            <w:tcW w:w="3460"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Group purchasing organization (GPO) vendor relationships</w:t>
            </w:r>
          </w:p>
        </w:tc>
        <w:tc>
          <w:tcPr>
            <w:tcW w:w="2448"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Vendor performance and lead time</w:t>
            </w:r>
          </w:p>
        </w:tc>
      </w:tr>
      <w:tr>
        <w:trPr>
          <w:cantSplit/>
        </w:trPr>
        <w:tc>
          <w:tcPr>
            <w:tcW w:w="3452"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Nine Grand Hall food sections</w:t>
            </w:r>
          </w:p>
        </w:tc>
        <w:tc>
          <w:tcPr>
            <w:tcW w:w="3460"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Hospital departments / service lines</w:t>
            </w:r>
          </w:p>
        </w:tc>
        <w:tc>
          <w:tcPr>
            <w:tcW w:w="2448"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Hierarchical (line-level) forecasting</w:t>
            </w:r>
          </w:p>
        </w:tc>
      </w:tr>
      <w:tr>
        <w:trPr>
          <w:cantSplit/>
        </w:trPr>
        <w:tc>
          <w:tcPr>
            <w:tcW w:w="3452"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SLU campus population (to be confirmed)</w:t>
            </w:r>
          </w:p>
        </w:tc>
        <w:tc>
          <w:tcPr>
            <w:tcW w:w="3460"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Patient panel / catchment area</w:t>
            </w:r>
          </w:p>
        </w:tc>
        <w:tc>
          <w:tcPr>
            <w:tcW w:w="2448"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Per-capita utilization rates</w:t>
            </w:r>
          </w:p>
        </w:tc>
      </w:tr>
    </w:tbl>
    <w:p>
      <w:pPr>
        <w:pStyle w:val="Caption"/>
        <w:rPr/>
      </w:pPr>
      <w:r>
        <w:rPr/>
        <w:t>Table 6. Methodological bridge from campus dining to health institutions.</w:t>
      </w:r>
    </w:p>
    <w:p>
      <w:pPr>
        <w:pStyle w:val="Normal"/>
        <w:rPr/>
      </w:pPr>
      <w:r>
        <w:rPr>
          <w:b w:val="false"/>
        </w:rPr>
        <w:t>The model architecture (SARIMA or Prophet for baseline seasonality, plus gradient boosting such as XGBoost for exogenous features), the ETL pipeline, the 70/30 train–test validation with MAPE, RMSE, and bias metrics, and the deployment pattern (a weekly forecast dashboard refreshed every Sunday) are all specified in the Blueprint. Each is structurally identical to what a health institution would use; only the source data changes.</w:t>
      </w:r>
    </w:p>
    <w:p>
      <w:pPr>
        <w:pStyle w:val="Heading1"/>
        <w:rPr/>
      </w:pPr>
      <w:bookmarkStart w:id="19" w:name="__RefHeading___Toc1521_2060744472"/>
      <w:bookmarkEnd w:id="19"/>
      <w:r>
        <w:rPr/>
        <w:t>4. Organizational Implementation Recommendations</w:t>
      </w:r>
    </w:p>
    <w:p>
      <w:pPr>
        <w:pStyle w:val="Heading2"/>
        <w:rPr/>
      </w:pPr>
      <w:bookmarkStart w:id="20" w:name="__RefHeading___Toc1523_2060744472"/>
      <w:bookmarkEnd w:id="20"/>
      <w:r>
        <w:rPr/>
        <w:t>4.1 Recommendations for Sodexo (District and National Level)</w:t>
      </w:r>
    </w:p>
    <w:p>
      <w:pPr>
        <w:pStyle w:val="ListNumber"/>
        <w:numPr>
          <w:ilvl w:val="0"/>
          <w:numId w:val="19"/>
        </w:numPr>
        <w:rPr/>
      </w:pPr>
      <w:r>
        <w:rPr>
          <w:b/>
        </w:rPr>
        <w:t>Standardize data-collection templates.</w:t>
      </w:r>
      <w:r>
        <w:rPr>
          <w:b w:val="false"/>
        </w:rPr>
        <w:t xml:space="preserve"> Require every account to populate PAR levels and actual order quantities in procurement templates like the Grand Hall Produce and Sysco files. Today these are blank templates. Filled templates, collected across accounts, become a multi-account procurement database.</w:t>
      </w:r>
    </w:p>
    <w:p>
      <w:pPr>
        <w:pStyle w:val="ListNumber"/>
        <w:numPr>
          <w:ilvl w:val="0"/>
          <w:numId w:val="8"/>
        </w:numPr>
        <w:rPr/>
      </w:pPr>
      <w:r>
        <w:rPr>
          <w:b/>
        </w:rPr>
        <w:t>Build a centralized data warehouse.</w:t>
      </w:r>
      <w:r>
        <w:rPr>
          <w:b w:val="false"/>
        </w:rPr>
        <w:t xml:space="preserve"> Sodexo operates many U.S. campus and healthcare accounts. A cloud data lake (for example, AWS S3 with Redshift, or Azure) that ingests POS, GrubHub, procurement, and inventory data from every account would make portfolio-level demand forecasting possible at national scale.</w:t>
      </w:r>
    </w:p>
    <w:p>
      <w:pPr>
        <w:pStyle w:val="ListNumber"/>
        <w:numPr>
          <w:ilvl w:val="0"/>
          <w:numId w:val="8"/>
        </w:numPr>
        <w:rPr/>
      </w:pPr>
      <w:r>
        <w:rPr>
          <w:b/>
        </w:rPr>
        <w:t>Deploy predictive PAR-level algorithms.</w:t>
      </w:r>
      <w:r>
        <w:rPr>
          <w:b w:val="false"/>
        </w:rPr>
        <w:t xml:space="preserve"> Replace static PAR levels with machine-learning-driven dynamic reorder points. The SLU model, trained on Day Parts demand, vendor lead times, and the academic calendar, should be packaged as a reusable module that any account can deploy.</w:t>
      </w:r>
    </w:p>
    <w:p>
      <w:pPr>
        <w:pStyle w:val="ListNumber"/>
        <w:numPr>
          <w:ilvl w:val="0"/>
          <w:numId w:val="8"/>
        </w:numPr>
        <w:rPr/>
      </w:pPr>
      <w:r>
        <w:rPr>
          <w:b/>
        </w:rPr>
        <w:t>Integrate GrubHub backend data systematically.</w:t>
      </w:r>
      <w:r>
        <w:rPr>
          <w:b w:val="false"/>
        </w:rPr>
        <w:t xml:space="preserve"> The author already has direct GrubHub Campus backend access, but use is ad hoc. A formal pipeline from the GrubHub backend to each account’s analytics environment would add a real-time demand signal layer.</w:t>
      </w:r>
    </w:p>
    <w:p>
      <w:pPr>
        <w:pStyle w:val="ListNumber"/>
        <w:numPr>
          <w:ilvl w:val="0"/>
          <w:numId w:val="8"/>
        </w:numPr>
        <w:rPr/>
      </w:pPr>
      <w:r>
        <w:rPr>
          <w:b/>
        </w:rPr>
        <w:t>Establish a Data Analytics Center of Excellence (CoE).</w:t>
      </w:r>
      <w:r>
        <w:rPr>
          <w:b w:val="false"/>
        </w:rPr>
        <w:t xml:space="preserve"> Turn account-level analytical work like the SLU project into a structured program with standard tools, dashboards, reporting templates, and peer review.</w:t>
      </w:r>
    </w:p>
    <w:p>
      <w:pPr>
        <w:pStyle w:val="ListNumber"/>
        <w:numPr>
          <w:ilvl w:val="0"/>
          <w:numId w:val="8"/>
        </w:numPr>
        <w:rPr/>
      </w:pPr>
      <w:r>
        <w:rPr>
          <w:b/>
        </w:rPr>
        <w:t>Connect to the Sodexo Healthcare &amp; Seniors segment.</w:t>
      </w:r>
      <w:r>
        <w:rPr>
          <w:b w:val="false"/>
        </w:rPr>
        <w:t xml:space="preserve"> Present the SLU methodology to Sodexo healthcare leadership as a ready-to-pilot supply forecasting model for hospital food and nutrition services departments. This is an immediate internal path to expansion.</w:t>
      </w:r>
    </w:p>
    <w:p>
      <w:pPr>
        <w:pStyle w:val="ListNumber"/>
        <w:numPr>
          <w:ilvl w:val="0"/>
          <w:numId w:val="8"/>
        </w:numPr>
        <w:rPr/>
      </w:pPr>
      <w:r>
        <w:rPr>
          <w:b/>
        </w:rPr>
        <w:t>Pursue academic and research partnerships.</w:t>
      </w:r>
      <w:r>
        <w:rPr>
          <w:b w:val="false"/>
        </w:rPr>
        <w:t xml:space="preserve"> Partner with SLU’s public health or nutrition and dietetics faculty to co-author the dissemination paper, which adds peer credibility and an independent methodological review.</w:t>
      </w:r>
    </w:p>
    <w:p>
      <w:pPr>
        <w:pStyle w:val="Heading2"/>
        <w:rPr/>
      </w:pPr>
      <w:bookmarkStart w:id="21" w:name="__RefHeading___Toc1525_2060744472"/>
      <w:bookmarkEnd w:id="21"/>
      <w:r>
        <w:rPr/>
        <w:t>4.2 Recommendations for SLU (the Client Institution)</w:t>
      </w:r>
    </w:p>
    <w:p>
      <w:pPr>
        <w:pStyle w:val="ListNumber"/>
        <w:numPr>
          <w:ilvl w:val="0"/>
          <w:numId w:val="20"/>
        </w:numPr>
        <w:rPr/>
      </w:pPr>
      <w:r>
        <w:rPr>
          <w:b/>
        </w:rPr>
        <w:t>Share full enrollment and meal-plan data.</w:t>
      </w:r>
      <w:r>
        <w:rPr>
          <w:b w:val="false"/>
        </w:rPr>
        <w:t xml:space="preserve"> Provide semester-level enrollment census and meal-plan participation figures, in aggregate, so the Sodexo analytics team can model demand at the population level. This is the single missing domain.</w:t>
      </w:r>
    </w:p>
    <w:p>
      <w:pPr>
        <w:pStyle w:val="ListNumber"/>
        <w:numPr>
          <w:ilvl w:val="0"/>
          <w:numId w:val="8"/>
        </w:numPr>
        <w:rPr/>
      </w:pPr>
      <w:r>
        <w:rPr>
          <w:b/>
        </w:rPr>
        <w:t>Adopt forecast-driven production planning.</w:t>
      </w:r>
      <w:r>
        <w:rPr>
          <w:b w:val="false"/>
        </w:rPr>
        <w:t xml:space="preserve"> Move kitchen production planning from experience-based ordering to forecast recommendations generated by the analytics system, starting with Grand Hall.</w:t>
      </w:r>
    </w:p>
    <w:p>
      <w:pPr>
        <w:pStyle w:val="ListNumber"/>
        <w:numPr>
          <w:ilvl w:val="0"/>
          <w:numId w:val="8"/>
        </w:numPr>
        <w:rPr/>
      </w:pPr>
      <w:r>
        <w:rPr>
          <w:b/>
        </w:rPr>
        <w:t>Support FERPA-compliant data sharing.</w:t>
      </w:r>
      <w:r>
        <w:rPr>
          <w:b w:val="false"/>
        </w:rPr>
        <w:t xml:space="preserve"> Work with Sodexo on a data-sharing agreement covering aggregated meal-swipe data, ensuring Family Educational Rights and Privacy Act (FERPA) compliance while still allowing meaningful analytics. Where there is doubt, issue a written IRB or FERPA exemption determination.</w:t>
      </w:r>
    </w:p>
    <w:p>
      <w:pPr>
        <w:pStyle w:val="ListNumber"/>
        <w:numPr>
          <w:ilvl w:val="0"/>
          <w:numId w:val="8"/>
        </w:numPr>
        <w:rPr/>
      </w:pPr>
      <w:r>
        <w:rPr>
          <w:b/>
        </w:rPr>
        <w:t>Invest in nutritional transparency.</w:t>
      </w:r>
      <w:r>
        <w:rPr>
          <w:b w:val="false"/>
        </w:rPr>
        <w:t xml:space="preserve"> Require full macronutrient and allergen data for all menu items in the Revenue Center catalog. This supports student wellness and enables the nutritional modeling that links the project to public-health research.</w:t>
      </w:r>
    </w:p>
    <w:p>
      <w:pPr>
        <w:pStyle w:val="ListNumber"/>
        <w:numPr>
          <w:ilvl w:val="0"/>
          <w:numId w:val="8"/>
        </w:numPr>
        <w:rPr/>
      </w:pPr>
      <w:r>
        <w:rPr>
          <w:b/>
        </w:rPr>
        <w:t>Pilot a wellness–nutrition integration program.</w:t>
      </w:r>
      <w:r>
        <w:rPr>
          <w:b w:val="false"/>
        </w:rPr>
        <w:t xml:space="preserve"> Use aggregated dietary-pattern data from campus dining to inform SLU’s student wellness programming, connecting food choices to health outcomes in a documented, measurable way.</w:t>
      </w:r>
    </w:p>
    <w:p>
      <w:pPr>
        <w:pStyle w:val="Heading2"/>
        <w:rPr/>
      </w:pPr>
      <w:bookmarkStart w:id="22" w:name="__RefHeading___Toc1527_2060744472"/>
      <w:bookmarkEnd w:id="22"/>
      <w:r>
        <w:rPr/>
        <w:t>4.3 Recommendations for the Author’s Professional Development</w:t>
      </w:r>
    </w:p>
    <w:p>
      <w:pPr>
        <w:pStyle w:val="ListNumber"/>
        <w:numPr>
          <w:ilvl w:val="0"/>
          <w:numId w:val="21"/>
        </w:numPr>
        <w:rPr/>
      </w:pPr>
      <w:r>
        <w:rPr>
          <w:b/>
        </w:rPr>
        <w:t>Obtain IRB/FERPA clearance and management authorization in writing immediately.</w:t>
      </w:r>
      <w:r>
        <w:rPr>
          <w:b w:val="false"/>
        </w:rPr>
        <w:t xml:space="preserve"> This is Stage 1 of the Blueprint and the first item on its ethics checklist.</w:t>
      </w:r>
    </w:p>
    <w:p>
      <w:pPr>
        <w:pStyle w:val="ListNumber"/>
        <w:numPr>
          <w:ilvl w:val="0"/>
          <w:numId w:val="8"/>
        </w:numPr>
        <w:rPr/>
      </w:pPr>
      <w:r>
        <w:rPr>
          <w:b/>
        </w:rPr>
        <w:t>Set up the GitHub repository this week.</w:t>
      </w:r>
      <w:r>
        <w:rPr>
          <w:b w:val="false"/>
        </w:rPr>
        <w:t xml:space="preserve"> Commit the data dictionary, the folder structure, and the first ingestion script for the Day Parts CSV.</w:t>
      </w:r>
    </w:p>
    <w:p>
      <w:pPr>
        <w:pStyle w:val="ListNumber"/>
        <w:numPr>
          <w:ilvl w:val="0"/>
          <w:numId w:val="8"/>
        </w:numPr>
        <w:rPr/>
      </w:pPr>
      <w:r>
        <w:rPr>
          <w:b/>
        </w:rPr>
        <w:t>Identify the target publication venue.</w:t>
      </w:r>
      <w:r>
        <w:rPr>
          <w:b w:val="false"/>
        </w:rPr>
        <w:t xml:space="preserve"> Candidates include the Journal of Foodservice Business Research, the Journal of the Academy of Nutrition and Dietetics, and the INFORMS Annual Meeting. Record the current submission deadlines and plan Stage 7 around them.</w:t>
      </w:r>
    </w:p>
    <w:p>
      <w:pPr>
        <w:pStyle w:val="ListNumber"/>
        <w:numPr>
          <w:ilvl w:val="0"/>
          <w:numId w:val="8"/>
        </w:numPr>
        <w:rPr/>
      </w:pPr>
      <w:r>
        <w:rPr>
          <w:b/>
        </w:rPr>
        <w:t>Begin collecting letters of support.</w:t>
      </w:r>
      <w:r>
        <w:rPr>
          <w:b w:val="false"/>
        </w:rPr>
        <w:t xml:space="preserve"> Ask the Sodexo General Manager and District Manager, along with academic collaborators or references, to describe the project, the author’s role, and its value.</w:t>
      </w:r>
    </w:p>
    <w:p>
      <w:pPr>
        <w:pStyle w:val="ListNumber"/>
        <w:numPr>
          <w:ilvl w:val="0"/>
          <w:numId w:val="8"/>
        </w:numPr>
        <w:rPr/>
      </w:pPr>
      <w:r>
        <w:rPr>
          <w:b/>
        </w:rPr>
        <w:t>Document every step.</w:t>
      </w:r>
      <w:r>
        <w:rPr>
          <w:b w:val="false"/>
        </w:rPr>
        <w:t xml:space="preserve"> Every meeting, data request, analysis, and dashboard is evidence of the NIW endeavor in execution. Keep a dated project log, as the Blueprint’s checklist requires.</w:t>
      </w:r>
    </w:p>
    <w:p>
      <w:pPr>
        <w:pStyle w:val="Heading2"/>
        <w:rPr/>
      </w:pPr>
      <w:bookmarkStart w:id="23" w:name="__RefHeading___Toc2099_835317165"/>
      <w:bookmarkEnd w:id="23"/>
      <w:r>
        <w:rPr/>
        <w:t>4.4 Data-Grounded Operational Recommendations</w:t>
      </w:r>
    </w:p>
    <w:p>
      <w:pPr>
        <w:pStyle w:val="Normal"/>
        <w:rPr/>
      </w:pPr>
      <w:r>
        <w:rPr/>
        <w:t>The following recommendations are grounded directly in findings from the Sodexo Inventory Summary History Report (INRHTSUM, Date Run: 10/13/2026) and the procurement data reviewed in Section 2.2. Each recommendation is specific, actionable, and traceable to a verified data point.</w:t>
      </w:r>
    </w:p>
    <w:p>
      <w:pPr>
        <w:pStyle w:val="ListNumber"/>
        <w:numPr>
          <w:ilvl w:val="0"/>
          <w:numId w:val="4"/>
        </w:numPr>
        <w:rPr/>
      </w:pPr>
      <w:r>
        <w:rPr>
          <w:b/>
        </w:rPr>
        <w:t xml:space="preserve">Recommendation A — Grand Dining PAR Level Review. </w:t>
      </w:r>
      <w:r>
        <w:rPr/>
        <w:t>Grand Dining (Unit 13341001) inventory grew 50.2% from approximately $24,832 (W/E 04/03/2026) to $37,311.63 (W/E 10/09/2026) over a six-month period. This level of inventory accumulation at the primary residential dining hall is anomalous and suggests that PAR levels, if set, are not being enforced. Recommended action: conduct a full PAR-level audit for all Grand Dining subcategories, particularly Groceries, Meat/Eggs/Cheese, and Baked Goods, which represent the largest inventory line items. Establish a weekly inventory-to-PAR comparison report.</w:t>
      </w:r>
    </w:p>
    <w:p>
      <w:pPr>
        <w:pStyle w:val="ListNumber"/>
        <w:numPr>
          <w:ilvl w:val="0"/>
          <w:numId w:val="4"/>
        </w:numPr>
        <w:rPr/>
      </w:pPr>
      <w:r>
        <w:rPr>
          <w:b/>
        </w:rPr>
        <w:t xml:space="preserve">Recommendation B — Inactive Unit Catalog Cleanup. </w:t>
      </w:r>
      <w:r>
        <w:rPr/>
        <w:t>Three units currently report $0.00 inventory for the entire recent reporting period: Spice Market (13341018), Fueling Station (13341020), and Einsteins (13341021). These units should be reviewed for deactivation or archival within the inventory management system. Leaving inactive units in the active reporting structure creates catalog noise and reduces the reliability of aggregate reporting.</w:t>
      </w:r>
    </w:p>
    <w:p>
      <w:pPr>
        <w:pStyle w:val="ListNumber"/>
        <w:numPr>
          <w:ilvl w:val="0"/>
          <w:numId w:val="4"/>
        </w:numPr>
        <w:rPr/>
      </w:pPr>
      <w:r>
        <w:rPr>
          <w:b/>
        </w:rPr>
        <w:t xml:space="preserve">Recommendation C — Starbucks Inventory-to-Sales Ratio Review. </w:t>
      </w:r>
      <w:r>
        <w:rPr/>
        <w:t>Starbucks (Unit 13341023) consistently carries $27,000–$29,000 in on-hand inventory, the highest of any retail outlet across all reporting periods reviewed. Given the unit type (primarily beverage and grab-and-go), this level warrants a detailed subcategory review to determine whether Beverage and Grocery inventory is being over-ordered relative to sales velocity. Recommended action: establish sales-to-inventory ratio targets for Starbucks and conduct a monthly review against those targets.</w:t>
      </w:r>
    </w:p>
    <w:p>
      <w:pPr>
        <w:pStyle w:val="ListNumber"/>
        <w:numPr>
          <w:ilvl w:val="0"/>
          <w:numId w:val="4"/>
        </w:numPr>
        <w:rPr/>
      </w:pPr>
      <w:r>
        <w:rPr>
          <w:b/>
        </w:rPr>
        <w:t xml:space="preserve">Recommendation D — Catering Bar Supply Controls. </w:t>
      </w:r>
      <w:r>
        <w:rPr/>
        <w:t>Catering (Unit 13341002) maintains consistent bar supply inventory including Beer, Wine, and Liquor categories (estimated $4,655 combined based on early-period data). Given that catering events are discrete and bookable in advance, PAR-based ordering for bar supplies is a tractable improvement. Recommended action: link bar supply ordering to confirmed event manifests rather than standing PAR levels to reduce carrying costs between events.</w:t>
      </w:r>
    </w:p>
    <w:p>
      <w:pPr>
        <w:pStyle w:val="ListNumber"/>
        <w:numPr>
          <w:ilvl w:val="0"/>
          <w:numId w:val="4"/>
        </w:numPr>
        <w:rPr/>
      </w:pPr>
      <w:r>
        <w:rPr>
          <w:b/>
        </w:rPr>
        <w:t xml:space="preserve">Recommendation E — Frozen Food Tracking Discrepancy. </w:t>
      </w:r>
      <w:r>
        <w:rPr/>
        <w:t>Frozen Food inventory is recorded as $0.00 in Grand Dining across both the earliest and most recent reporting periods reviewed. If Frozen Food items are stocked and used in Grand Dining, this represents a data gap in the inventory system. Recommended action: verify whether Frozen Food is mapped to the correct inventory subcategory in the system, or confirm whether Grand Dining has eliminated frozen food from its menu and update the catalog accordingly.</w:t>
      </w:r>
    </w:p>
    <w:p>
      <w:pPr>
        <w:pStyle w:val="Heading1"/>
        <w:rPr/>
      </w:pPr>
      <w:bookmarkStart w:id="24" w:name="__RefHeading___Toc1529_2060744472"/>
      <w:bookmarkEnd w:id="24"/>
      <w:r>
        <w:rPr/>
        <w:t>5. What Sodexo at SLU Can Improve</w:t>
      </w:r>
    </w:p>
    <w:p>
      <w:pPr>
        <w:pStyle w:val="Normal"/>
        <w:rPr/>
      </w:pPr>
      <w:r>
        <w:rPr>
          <w:b w:val="false"/>
        </w:rPr>
        <w:t>The following fourteen improvements come directly from patterns observed in the files. Each also produces evidence that strengthens the NIW record.</w:t>
      </w:r>
    </w:p>
    <w:p>
      <w:pPr>
        <w:pStyle w:val="Heading2"/>
        <w:rPr/>
      </w:pPr>
      <w:bookmarkStart w:id="25" w:name="__RefHeading___Toc1531_2060744472"/>
      <w:bookmarkEnd w:id="25"/>
      <w:r>
        <w:rPr/>
        <w:t>5.1 Data and Analytics Gaps</w:t>
      </w:r>
    </w:p>
    <w:p>
      <w:pPr>
        <w:pStyle w:val="ListNumber"/>
        <w:numPr>
          <w:ilvl w:val="0"/>
          <w:numId w:val="22"/>
        </w:numPr>
        <w:rPr/>
      </w:pPr>
      <w:r>
        <w:rPr>
          <w:b/>
        </w:rPr>
        <w:t>PAR levels are unpopulated.</w:t>
      </w:r>
      <w:r>
        <w:rPr>
          <w:b w:val="false"/>
        </w:rPr>
        <w:t xml:space="preserve"> The PAR column is empty in both the Produce and Sysco templates (409 lines each), so ordering has no documented baseline standard. Setting PAR levels from historical consumption is the single most impactful improvement: it immediately reduces both stock-outs and over-ordering.</w:t>
      </w:r>
    </w:p>
    <w:p>
      <w:pPr>
        <w:pStyle w:val="ListNumber"/>
        <w:numPr>
          <w:ilvl w:val="0"/>
          <w:numId w:val="8"/>
        </w:numPr>
        <w:rPr/>
      </w:pPr>
      <w:r>
        <w:rPr>
          <w:b/>
        </w:rPr>
        <w:t>There is no order-quantity history.</w:t>
      </w:r>
      <w:r>
        <w:rPr>
          <w:b w:val="false"/>
        </w:rPr>
        <w:t xml:space="preserve"> The MON, WED, and FRI columns are blank. Without recorded quantities, vendor performance, fill rates, and cost trends cannot be tracked. Every order should be logged starting now.</w:t>
      </w:r>
    </w:p>
    <w:p>
      <w:pPr>
        <w:pStyle w:val="ListNumber"/>
        <w:numPr>
          <w:ilvl w:val="0"/>
          <w:numId w:val="8"/>
        </w:numPr>
        <w:rPr/>
      </w:pPr>
      <w:r>
        <w:rPr>
          <w:b/>
        </w:rPr>
        <w:t>Some items are not validated.</w:t>
      </w:r>
      <w:r>
        <w:rPr>
          <w:b w:val="false"/>
        </w:rPr>
        <w:t xml:space="preserve"> Of 15,145 revenue-center records, 70 (36 Non-Validated and 34 New) are not validated. These items may appear on menus or POS screens without pricing confirmation, which creates a risk of revenue leakage.</w:t>
      </w:r>
    </w:p>
    <w:p>
      <w:pPr>
        <w:pStyle w:val="ListNumber"/>
        <w:numPr>
          <w:ilvl w:val="0"/>
          <w:numId w:val="8"/>
        </w:numPr>
        <w:rPr/>
      </w:pPr>
      <w:r>
        <w:rPr>
          <w:b/>
        </w:rPr>
        <w:t>The revenue-center catalog is fragmented.</w:t>
      </w:r>
      <w:r>
        <w:rPr>
          <w:b w:val="false"/>
        </w:rPr>
        <w:t xml:space="preserve"> Ten separate files hold 15,145 records but only 3,663 unique product codes. Consolidating them into one master catalog with outlet tags would greatly simplify cross-outlet analytics and remove duplicated maintenance work.</w:t>
      </w:r>
    </w:p>
    <w:p>
      <w:pPr>
        <w:pStyle w:val="ListNumber"/>
        <w:numPr>
          <w:ilvl w:val="0"/>
          <w:numId w:val="8"/>
        </w:numPr>
        <w:rPr/>
      </w:pPr>
      <w:r>
        <w:rPr>
          <w:b/>
        </w:rPr>
        <w:t>Utilization data covers a single day.</w:t>
      </w:r>
      <w:r>
        <w:rPr>
          <w:b w:val="false"/>
        </w:rPr>
        <w:t xml:space="preserve"> One day (October 7, 2026) cannot support trend analysis or forecasting. A systematic daily export-and-archive routine should be put in place.</w:t>
      </w:r>
    </w:p>
    <w:p>
      <w:pPr>
        <w:pStyle w:val="Heading2"/>
        <w:rPr/>
      </w:pPr>
      <w:bookmarkStart w:id="26" w:name="__RefHeading___Toc1533_2060744472"/>
      <w:bookmarkEnd w:id="26"/>
      <w:r>
        <w:rPr/>
        <w:t>5.2 Operational Gaps</w:t>
      </w:r>
    </w:p>
    <w:p>
      <w:pPr>
        <w:pStyle w:val="ListNumber"/>
        <w:numPr>
          <w:ilvl w:val="0"/>
          <w:numId w:val="23"/>
        </w:numPr>
        <w:rPr/>
      </w:pPr>
      <w:r>
        <w:rPr>
          <w:b/>
        </w:rPr>
        <w:t>Plant-based and allergen-relevant items need nutritional tagging.</w:t>
      </w:r>
      <w:r>
        <w:rPr>
          <w:b w:val="false"/>
        </w:rPr>
        <w:t xml:space="preserve"> Plant-based meatball, burger, hotdog, breakfast sausage, and falafel appear in the procurement catalog without nutritional profiles. Tracking their sales separately and adding nutrient data supports both marketing and health analytics.</w:t>
      </w:r>
    </w:p>
    <w:p>
      <w:pPr>
        <w:pStyle w:val="ListNumber"/>
        <w:numPr>
          <w:ilvl w:val="0"/>
          <w:numId w:val="8"/>
        </w:numPr>
        <w:rPr/>
      </w:pPr>
      <w:r>
        <w:rPr>
          <w:b/>
        </w:rPr>
        <w:t>Vendor concentration risk.</w:t>
      </w:r>
      <w:r>
        <w:rPr>
          <w:b w:val="false"/>
        </w:rPr>
        <w:t xml:space="preserve"> Sysco supplies all groceries, canned goods, dry goods, and meats, which concentrates risk in one vendor. Qualifying a secondary source for key proteins and dry goods would reduce exposure to supply disruption.</w:t>
      </w:r>
    </w:p>
    <w:p>
      <w:pPr>
        <w:pStyle w:val="ListNumber"/>
        <w:numPr>
          <w:ilvl w:val="0"/>
          <w:numId w:val="8"/>
        </w:numPr>
        <w:rPr/>
      </w:pPr>
      <w:r>
        <w:rPr>
          <w:b/>
        </w:rPr>
        <w:t>Item-name typos and data-quality issues.</w:t>
      </w:r>
      <w:r>
        <w:rPr>
          <w:b w:val="false"/>
        </w:rPr>
        <w:t xml:space="preserve"> The procurement files contain errors such as “SYRAWBAERRY IQF” (strawberry), “DRIED OREDANO” (oregano), “DREID DILL,” “CORN KERNAL IQF,” and “MONETARY JACK SHREDDED” (Monterey Jack). In addition, the same item list appears in both the Produce and Sysco files with no vendor assigned. Cleaning the item master and tagging each line with its vendor will improve matching between procurement, inventory, and POS.</w:t>
      </w:r>
    </w:p>
    <w:p>
      <w:pPr>
        <w:pStyle w:val="ListNumber"/>
        <w:numPr>
          <w:ilvl w:val="0"/>
          <w:numId w:val="8"/>
        </w:numPr>
        <w:rPr/>
      </w:pPr>
      <w:r>
        <w:rPr>
          <w:b/>
        </w:rPr>
        <w:t>Waste Tracking System (Establish from Scratch). SLU does not currently maintain any waste tracking records. There is no existing waste log, waste report, or waste data collection process at this location. Establishing a waste tracking system is a foundational requirement — not an improvement to an existing process. Implementation should include: point-of-production waste logging at each service outlet, standardized waste categories aligned with Sodexo’s national waste reduction benchmarks, and a weekly reporting cadence to inform menu planning and procurement decisions.</w:t>
      </w:r>
    </w:p>
    <w:p>
      <w:pPr>
        <w:pStyle w:val="ListNumber"/>
        <w:numPr>
          <w:ilvl w:val="0"/>
          <w:numId w:val="8"/>
        </w:numPr>
        <w:rPr/>
      </w:pPr>
      <w:r>
        <w:rPr>
          <w:b/>
        </w:rPr>
        <w:t>Receiving Verification Records (Establish from Scratch). SLU does not currently maintain receiving verification records. There is no existing receiving log or intake documentation process. Establishing this system is required before meaningful food cost analysis can be conducted. Implementation should include: delivery-by-delivery receiving logs capturing quantity, weight, and condition of received goods; reconciliation against purchase orders; and integration with inventory counts to identify shrinkage.</w:t>
      </w:r>
    </w:p>
    <w:p>
      <w:pPr>
        <w:pStyle w:val="Heading2"/>
        <w:rPr/>
      </w:pPr>
      <w:bookmarkStart w:id="27" w:name="__RefHeading___Toc1535_2060744472"/>
      <w:bookmarkEnd w:id="27"/>
      <w:r>
        <w:rPr/>
        <w:t>5.3 Service and Menu Improvements</w:t>
      </w:r>
    </w:p>
    <w:p>
      <w:pPr>
        <w:pStyle w:val="ListNumber"/>
        <w:numPr>
          <w:ilvl w:val="0"/>
          <w:numId w:val="24"/>
        </w:numPr>
        <w:rPr/>
      </w:pPr>
      <w:r>
        <w:rPr>
          <w:b/>
        </w:rPr>
        <w:t>Audit pricing consistency across outlets.</w:t>
      </w:r>
      <w:r>
        <w:rPr>
          <w:b w:val="false"/>
        </w:rPr>
        <w:t xml:space="preserve"> Across 14 service outlets, current prices run from $0.50 to $17.49, and outlet averages range from $3.49 (Simply To Go) to $8.57 (Garbanzo). The export also contains duplicate price lists (a current and a legacy FY21 Simply To Go list), 129 World of Wings rows with a $0.00 current price, and 804 pending proposed prices (median +4.1%). A periodic audit against market and peer-institution benchmarks would support both revenue management and student satisfaction.</w:t>
      </w:r>
    </w:p>
    <w:p>
      <w:pPr>
        <w:pStyle w:val="ListNumber"/>
        <w:numPr>
          <w:ilvl w:val="0"/>
          <w:numId w:val="8"/>
        </w:numPr>
        <w:rPr/>
      </w:pPr>
      <w:r>
        <w:rPr>
          <w:b/>
        </w:rPr>
        <w:t>Expand plant-based and Mindful menu options.</w:t>
      </w:r>
      <w:r>
        <w:rPr>
          <w:b w:val="false"/>
        </w:rPr>
        <w:t xml:space="preserve"> The catalog already uses Mindful subcategories, with examples such as Fall Harvest Falafel Wrap ($6.79), Grilled Cod Fish Sandwich ($7.99), Alu Matar potato-and-pea curry ($10.19), Jollof Rice ($5.00), and Onion Soup 12oz. Expanding this line with documented nutritional profiles positions SLU Dining as health-forward and strengthens the NIW bridge to chronic-disease prevention.</w:t>
      </w:r>
    </w:p>
    <w:p>
      <w:pPr>
        <w:pStyle w:val="ListNumber"/>
        <w:numPr>
          <w:ilvl w:val="0"/>
          <w:numId w:val="8"/>
        </w:numPr>
        <w:rPr/>
      </w:pPr>
      <w:r>
        <w:rPr>
          <w:b/>
        </w:rPr>
        <w:t>Clean up inactive buttons.</w:t>
      </w:r>
      <w:r>
        <w:rPr>
          <w:b w:val="false"/>
        </w:rPr>
        <w:t xml:space="preserve"> Every record is Item Status = Active, but 14,479 of 15,145 records (95.6%) are Button Status = Inactive. This clutters the POS and invites ordering errors. A quarterly catalog review to archive truly retired items would keep the system clean.</w:t>
      </w:r>
    </w:p>
    <w:p>
      <w:pPr>
        <w:pStyle w:val="ListNumber"/>
        <w:numPr>
          <w:ilvl w:val="0"/>
          <w:numId w:val="8"/>
        </w:numPr>
        <w:rPr/>
      </w:pPr>
      <w:r>
        <w:rPr>
          <w:b/>
        </w:rPr>
        <w:t>Use Fooda and local-menu diversity.</w:t>
      </w:r>
      <w:r>
        <w:rPr>
          <w:b w:val="false"/>
        </w:rPr>
        <w:t xml:space="preserve"> The catalog includes an SDX-Fooda subcategory (Fooda Entree, $12.00) and SDX-Local Menu items (e.g., Meatloaf $5.00, Black Bean and Cheese Nachos $7.59, Meal A $14.99, Meal B $15.99), as well as culinary-concept breads such as house-baked naan. Track the popularity of these culturally diverse options and rotate them to match the demand patterns seen in the student population.</w:t>
      </w:r>
    </w:p>
    <w:p>
      <w:pPr>
        <w:pStyle w:val="Heading1"/>
        <w:rPr/>
      </w:pPr>
      <w:bookmarkStart w:id="28" w:name="__RefHeading___Toc1537_2060744472"/>
      <w:bookmarkEnd w:id="28"/>
      <w:r>
        <w:rPr/>
        <w:t>6. The NIW Narrative: How This All Connects</w:t>
      </w:r>
    </w:p>
    <w:p>
      <w:pPr>
        <w:pStyle w:val="Normal"/>
        <w:rPr/>
      </w:pPr>
      <w:r>
        <w:rPr>
          <w:b w:val="false"/>
        </w:rPr>
        <w:t xml:space="preserve">The strongest feature of this petition is that </w:t>
      </w:r>
      <w:r>
        <w:rPr>
          <w:b/>
        </w:rPr>
        <w:t>the author is not a researcher imagining a future project.</w:t>
      </w:r>
      <w:r>
        <w:rPr>
          <w:b w:val="false"/>
        </w:rPr>
        <w:t xml:space="preserve"> The author is a practicing institutional data analyst who already works inside the kind of system the NIW petition describes. The proposed endeavor names five data domains that an integrated predictive analytics system must combine. Every one of them has a working counterpart in the author’s daily environment at Sodexo SLU Dining, and the files reviewed here show it.</w:t>
      </w:r>
    </w:p>
    <w:p>
      <w:pPr>
        <w:pStyle w:val="Normal"/>
        <w:rPr/>
      </w:pPr>
      <w:r>
        <w:rPr>
          <w:b w:val="false"/>
        </w:rPr>
        <w:t>Each file is evidence that the integrated analytics environment described in the petition already exists and is used daily. The Day Parts report is a utilization record. The 15,145-record revenue-center catalog, which even includes pharmaceutical and health-and-beauty subcategories, is an item master equivalent to a hospital supply catalog. The six-vendor supply chain of Ole Tyme Produce, Ecolab, Baker’s Pride, Sysco, Fortune Fish, and Prairie Farms mirrors the multi-vendor procurement relationships a hospital manages through its GPO. The 14-outlet pricing system mirrors a formulary and charge master. The nine Grand Hall food sections mirror a hospital’s service lines.</w:t>
      </w:r>
    </w:p>
    <w:p>
      <w:pPr>
        <w:pStyle w:val="Normal"/>
        <w:rPr/>
      </w:pPr>
      <w:r>
        <w:rPr>
          <w:b w:val="false"/>
        </w:rPr>
        <w:t>The methodological bridge is not rhetorical. Forecasting Grand Hall demand (604 breakfast, 941 lunch, and 992 dinner items sold on a single day) uses the same time-series tools, the same feature-engineering logic, and the same validation framework as forecasting patient flow in a hospital. In both settings, a bounded population consumes a service at rates driven by calendar effects, seasonality, external shocks, and population size. In both settings, a perishable or time-sensitive inventory must be replenished from multiple vendors under lead-time constraints. In both settings, forecast error turns directly into waste on one side or service failure on the other. A SARIMA or Prophet model with gradient-boosted exogenous features, validated with MAPE and RMSE on a 70/30 held-out split, performs the same mathematical work whether its target is lunch covers or emergency-department arrivals.</w:t>
      </w:r>
    </w:p>
    <w:p>
      <w:pPr>
        <w:pStyle w:val="Normal"/>
        <w:rPr/>
      </w:pPr>
      <w:r>
        <w:rPr>
          <w:b w:val="false"/>
        </w:rPr>
        <w:t>The pathway from campus to hospital is also organizational, not speculative. Sodexo operates a Healthcare &amp; Seniors segment that runs food and nutrition services in hospitals and senior-living facilities. Phase II, applying the validated system to a health-institution food and nutrition department, does not require the author to change employers or wait for future data access. It is an internal transfer of methods within the same company, using the same data-engineering skills. Phase III then extends the architecture from food and nutrition services to clinical supply and demand forecasting, where the endeavor’s ultimate goal lies: forecasting chronic-disease burden, clinical demand, and medical-supply needs.</w:t>
      </w:r>
    </w:p>
    <w:p>
      <w:pPr>
        <w:pStyle w:val="Normal"/>
        <w:rPr/>
      </w:pPr>
      <w:r>
        <w:rPr>
          <w:b w:val="false"/>
        </w:rPr>
        <w:t>Dissemination is already built into the plan. The Blueprint’s Stage 7 specifies de-identified, aggregate-only results; an open-source GitHub repository with full documentation; a technical paper or case study submitted to a journal or conference; an internal Sodexo district or regional presentation with a management letter confirming its reception; and a public article on the framework’s scalability to health institutions. Each output can begin as soon as the first validated model exists, and the GitHub repository can begin this week.</w:t>
      </w:r>
    </w:p>
    <w:p>
      <w:pPr>
        <w:pStyle w:val="Normal"/>
        <w:rPr/>
      </w:pPr>
      <w:r>
        <w:rPr>
          <w:b w:val="false"/>
        </w:rPr>
        <w:t xml:space="preserve">Finally, this is a case of national interest on several fronts. Accurate institutional demand forecasting </w:t>
      </w:r>
      <w:r>
        <w:rPr>
          <w:b/>
        </w:rPr>
        <w:t>reduces food waste</w:t>
      </w:r>
      <w:r>
        <w:rPr>
          <w:b w:val="false"/>
        </w:rPr>
        <w:t xml:space="preserve">, which is both an environmental and an economic national concern. It </w:t>
      </w:r>
      <w:r>
        <w:rPr>
          <w:b/>
        </w:rPr>
        <w:t>strengthens supply-chain resilience</w:t>
      </w:r>
      <w:r>
        <w:rPr>
          <w:b w:val="false"/>
        </w:rPr>
        <w:t xml:space="preserve">, a priority highlighted by the disruptions of the pandemic. It </w:t>
      </w:r>
      <w:r>
        <w:rPr>
          <w:b/>
        </w:rPr>
        <w:t>directly advances the development of forecasting tools for health institutions</w:t>
      </w:r>
      <w:r>
        <w:rPr>
          <w:b w:val="false"/>
        </w:rPr>
        <w:t>, a U.S. healthcare-infrastructure priority. Because Sodexo serves many U.S. campus and healthcare accounts, a validated, packaged system has a clear route to national-scale replication. The Blueprint’s impact metrics (forecast MAPE, waste reduction in pounds and dollars, stock-out reduction, procurement cost savings, manager adoption, and replicability scope) turn that potential into measurable, documentable benefit.</w:t>
      </w:r>
    </w:p>
    <w:tbl>
      <w:tblPr>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360"/>
      </w:tblGrid>
      <w:tr>
        <w:trPr>
          <w:cantSplit/>
        </w:trPr>
        <w:tc>
          <w:tcPr>
            <w:tcW w:w="9360" w:type="dxa"/>
            <w:tcBorders/>
            <w:shd w:color="auto" w:fill="EAF0F8" w:val="clear"/>
          </w:tcPr>
          <w:p>
            <w:pPr>
              <w:pStyle w:val="Normal"/>
              <w:spacing w:before="80" w:after="80"/>
              <w:rPr/>
            </w:pPr>
            <w:r>
              <w:rPr>
                <w:i/>
                <w:sz w:val="21"/>
              </w:rPr>
              <w:t>Guiding principle (from the Blueprint): every artifact produced at Sodexo SLU Dining should be describable as combining procurement, inventory, utilization, nutrition, and population data to forecast demand and supply needs, which is exactly what the NIW endeavor proposes to do for U.S. health institutions.</w:t>
            </w:r>
          </w:p>
        </w:tc>
      </w:tr>
    </w:tbl>
    <w:p>
      <w:pPr>
        <w:pStyle w:val="Normal"/>
        <w:spacing w:before="0" w:after="0"/>
        <w:rPr/>
      </w:pPr>
      <w:r>
        <w:rPr/>
      </w:r>
    </w:p>
    <w:p>
      <w:pPr>
        <w:pStyle w:val="Heading1"/>
        <w:rPr/>
      </w:pPr>
      <w:bookmarkStart w:id="29" w:name="__RefHeading___Toc1539_2060744472"/>
      <w:bookmarkEnd w:id="29"/>
      <w:r>
        <w:rPr/>
        <w:t>7. Conclusion and Next Steps</w:t>
      </w:r>
    </w:p>
    <w:p>
      <w:pPr>
        <w:pStyle w:val="Heading2"/>
        <w:rPr/>
      </w:pPr>
      <w:bookmarkStart w:id="30" w:name="__RefHeading___Toc1541_2060744472"/>
      <w:bookmarkEnd w:id="30"/>
      <w:r>
        <w:rPr/>
        <w:t>7.1 The Five Most Critical Immediate Actions</w:t>
      </w:r>
    </w:p>
    <w:tbl>
      <w:tblPr>
        <w:tblStyle w:val="TableGrid"/>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80"/>
        <w:gridCol w:w="3816"/>
        <w:gridCol w:w="1582"/>
        <w:gridCol w:w="2882"/>
      </w:tblGrid>
      <w:tr>
        <w:trPr>
          <w:tblHeader w:val="true"/>
          <w:cantSplit/>
        </w:trPr>
        <w:tc>
          <w:tcPr>
            <w:tcW w:w="1080" w:type="dxa"/>
            <w:tcBorders/>
            <w:shd w:color="auto" w:fill="1F3864" w:val="clear"/>
          </w:tcPr>
          <w:p>
            <w:pPr>
              <w:pStyle w:val="Normal"/>
              <w:widowControl/>
              <w:suppressAutoHyphens w:val="true"/>
              <w:spacing w:lineRule="auto" w:line="240" w:before="40" w:after="40"/>
              <w:jc w:val="start"/>
              <w:rPr>
                <w:kern w:val="0"/>
                <w:szCs w:val="22"/>
                <w:lang w:val="en-US" w:eastAsia="en-US" w:bidi="ar-SA"/>
              </w:rPr>
            </w:pPr>
            <w:r>
              <w:rPr>
                <w:b/>
                <w:color w:val="FFFFFF"/>
                <w:kern w:val="0"/>
                <w:sz w:val="19"/>
                <w:szCs w:val="22"/>
                <w:lang w:val="en-US" w:eastAsia="en-US" w:bidi="ar-SA"/>
              </w:rPr>
              <w:t>Priority</w:t>
            </w:r>
          </w:p>
        </w:tc>
        <w:tc>
          <w:tcPr>
            <w:tcW w:w="3816" w:type="dxa"/>
            <w:tcBorders/>
            <w:shd w:color="auto" w:fill="1F3864" w:val="clear"/>
          </w:tcPr>
          <w:p>
            <w:pPr>
              <w:pStyle w:val="Normal"/>
              <w:widowControl/>
              <w:suppressAutoHyphens w:val="true"/>
              <w:spacing w:lineRule="auto" w:line="240" w:before="40" w:after="40"/>
              <w:jc w:val="start"/>
              <w:rPr>
                <w:kern w:val="0"/>
                <w:szCs w:val="22"/>
                <w:lang w:val="en-US" w:eastAsia="en-US" w:bidi="ar-SA"/>
              </w:rPr>
            </w:pPr>
            <w:r>
              <w:rPr>
                <w:b/>
                <w:color w:val="FFFFFF"/>
                <w:kern w:val="0"/>
                <w:sz w:val="19"/>
                <w:szCs w:val="22"/>
                <w:lang w:val="en-US" w:eastAsia="en-US" w:bidi="ar-SA"/>
              </w:rPr>
              <w:t>Action</w:t>
            </w:r>
          </w:p>
        </w:tc>
        <w:tc>
          <w:tcPr>
            <w:tcW w:w="1582" w:type="dxa"/>
            <w:tcBorders/>
            <w:shd w:color="auto" w:fill="1F3864" w:val="clear"/>
          </w:tcPr>
          <w:p>
            <w:pPr>
              <w:pStyle w:val="Normal"/>
              <w:widowControl/>
              <w:suppressAutoHyphens w:val="true"/>
              <w:spacing w:lineRule="auto" w:line="240" w:before="40" w:after="40"/>
              <w:jc w:val="start"/>
              <w:rPr>
                <w:kern w:val="0"/>
                <w:szCs w:val="22"/>
                <w:lang w:val="en-US" w:eastAsia="en-US" w:bidi="ar-SA"/>
              </w:rPr>
            </w:pPr>
            <w:r>
              <w:rPr>
                <w:b/>
                <w:color w:val="FFFFFF"/>
                <w:kern w:val="0"/>
                <w:sz w:val="19"/>
                <w:szCs w:val="22"/>
                <w:lang w:val="en-US" w:eastAsia="en-US" w:bidi="ar-SA"/>
              </w:rPr>
              <w:t>Timeline</w:t>
            </w:r>
          </w:p>
        </w:tc>
        <w:tc>
          <w:tcPr>
            <w:tcW w:w="2882" w:type="dxa"/>
            <w:tcBorders/>
            <w:shd w:color="auto" w:fill="1F3864" w:val="clear"/>
          </w:tcPr>
          <w:p>
            <w:pPr>
              <w:pStyle w:val="Normal"/>
              <w:widowControl/>
              <w:suppressAutoHyphens w:val="true"/>
              <w:spacing w:lineRule="auto" w:line="240" w:before="40" w:after="40"/>
              <w:jc w:val="start"/>
              <w:rPr>
                <w:kern w:val="0"/>
                <w:szCs w:val="22"/>
                <w:lang w:val="en-US" w:eastAsia="en-US" w:bidi="ar-SA"/>
              </w:rPr>
            </w:pPr>
            <w:r>
              <w:rPr>
                <w:b/>
                <w:color w:val="FFFFFF"/>
                <w:kern w:val="0"/>
                <w:sz w:val="19"/>
                <w:szCs w:val="22"/>
                <w:lang w:val="en-US" w:eastAsia="en-US" w:bidi="ar-SA"/>
              </w:rPr>
              <w:t>Evidence Produced</w:t>
            </w:r>
          </w:p>
        </w:tc>
      </w:tr>
      <w:tr>
        <w:trPr>
          <w:cantSplit/>
        </w:trPr>
        <w:tc>
          <w:tcPr>
            <w:tcW w:w="1080"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1</w:t>
            </w:r>
          </w:p>
        </w:tc>
        <w:tc>
          <w:tcPr>
            <w:tcW w:w="3816"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Collect 24 months of Day Parts history from the POS system</w:t>
            </w:r>
          </w:p>
        </w:tc>
        <w:tc>
          <w:tcPr>
            <w:tcW w:w="1582"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Weeks 1–2</w:t>
            </w:r>
          </w:p>
        </w:tc>
        <w:tc>
          <w:tcPr>
            <w:tcW w:w="2882"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Utilization time-series dataset</w:t>
            </w:r>
          </w:p>
        </w:tc>
      </w:tr>
      <w:tr>
        <w:trPr>
          <w:cantSplit/>
        </w:trPr>
        <w:tc>
          <w:tcPr>
            <w:tcW w:w="1080"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2</w:t>
            </w:r>
          </w:p>
        </w:tc>
        <w:tc>
          <w:tcPr>
            <w:tcW w:w="3816"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Populate PAR levels and log Mon/Wed/Fri orders in the Produce and Sysco templates</w:t>
            </w:r>
          </w:p>
        </w:tc>
        <w:tc>
          <w:tcPr>
            <w:tcW w:w="1582"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Weeks 1–3</w:t>
            </w:r>
          </w:p>
        </w:tc>
        <w:tc>
          <w:tcPr>
            <w:tcW w:w="2882"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Procurement baseline dataset</w:t>
            </w:r>
          </w:p>
        </w:tc>
      </w:tr>
      <w:tr>
        <w:trPr>
          <w:cantSplit/>
        </w:trPr>
        <w:tc>
          <w:tcPr>
            <w:tcW w:w="1080"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3</w:t>
            </w:r>
          </w:p>
        </w:tc>
        <w:tc>
          <w:tcPr>
            <w:tcW w:w="3816"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Obtain written project authorization from the General Manager</w:t>
            </w:r>
          </w:p>
        </w:tc>
        <w:tc>
          <w:tcPr>
            <w:tcW w:w="1582"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Week 1</w:t>
            </w:r>
          </w:p>
        </w:tc>
        <w:tc>
          <w:tcPr>
            <w:tcW w:w="2882"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Legal and ethical clearance document</w:t>
            </w:r>
          </w:p>
        </w:tc>
      </w:tr>
      <w:tr>
        <w:trPr>
          <w:cantSplit/>
        </w:trPr>
        <w:tc>
          <w:tcPr>
            <w:tcW w:w="1080"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4</w:t>
            </w:r>
          </w:p>
        </w:tc>
        <w:tc>
          <w:tcPr>
            <w:tcW w:w="3816"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Initialize a GitHub repository with the data dictionary</w:t>
            </w:r>
          </w:p>
        </w:tc>
        <w:tc>
          <w:tcPr>
            <w:tcW w:w="1582"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Weeks 1–2</w:t>
            </w:r>
          </w:p>
        </w:tc>
        <w:tc>
          <w:tcPr>
            <w:tcW w:w="2882" w:type="dxa"/>
            <w:tcBorders/>
            <w:shd w:color="auto" w:fill="F2F5FA" w:val="clear"/>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Public code repository (dissemination evidence)</w:t>
            </w:r>
          </w:p>
        </w:tc>
      </w:tr>
      <w:tr>
        <w:trPr>
          <w:cantSplit/>
        </w:trPr>
        <w:tc>
          <w:tcPr>
            <w:tcW w:w="1080"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5</w:t>
            </w:r>
          </w:p>
        </w:tc>
        <w:tc>
          <w:tcPr>
            <w:tcW w:w="3816"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Request SLU enrollment and meal-plan data from Student Affairs</w:t>
            </w:r>
          </w:p>
        </w:tc>
        <w:tc>
          <w:tcPr>
            <w:tcW w:w="1582"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Weeks 2–3</w:t>
            </w:r>
          </w:p>
        </w:tc>
        <w:tc>
          <w:tcPr>
            <w:tcW w:w="2882" w:type="dxa"/>
            <w:tcBorders/>
          </w:tcPr>
          <w:p>
            <w:pPr>
              <w:pStyle w:val="Normal"/>
              <w:widowControl/>
              <w:suppressAutoHyphens w:val="true"/>
              <w:spacing w:lineRule="auto" w:line="240" w:before="40" w:after="40"/>
              <w:jc w:val="start"/>
              <w:rPr>
                <w:kern w:val="0"/>
                <w:szCs w:val="22"/>
                <w:lang w:val="en-US" w:eastAsia="en-US" w:bidi="ar-SA"/>
              </w:rPr>
            </w:pPr>
            <w:r>
              <w:rPr>
                <w:kern w:val="0"/>
                <w:sz w:val="19"/>
                <w:szCs w:val="22"/>
                <w:lang w:val="en-US" w:eastAsia="en-US" w:bidi="ar-SA"/>
              </w:rPr>
              <w:t>Population-domain dataset</w:t>
            </w:r>
          </w:p>
        </w:tc>
      </w:tr>
    </w:tbl>
    <w:p>
      <w:pPr>
        <w:pStyle w:val="Caption"/>
        <w:rPr/>
      </w:pPr>
      <w:r>
        <w:rPr/>
        <w:t>Table 7. Immediate action plan.</w:t>
      </w:r>
    </w:p>
    <w:p>
      <w:pPr>
        <w:pStyle w:val="Heading2"/>
        <w:rPr/>
      </w:pPr>
      <w:bookmarkStart w:id="31" w:name="__RefHeading___Toc1543_2060744472"/>
      <w:bookmarkEnd w:id="31"/>
      <w:r>
        <w:rPr/>
        <w:t>7.2 Restating the NIW Bridge</w:t>
      </w:r>
    </w:p>
    <w:p>
      <w:pPr>
        <w:pStyle w:val="Normal"/>
        <w:rPr/>
      </w:pPr>
      <w:r>
        <w:rPr>
          <w:b w:val="false"/>
        </w:rPr>
        <w:t>Sodexo SLU Dining is a working model of the five-domain problem the NIW endeavor solves. Meal swipes stand in for patient visits, food purchase orders for medical-supply orders, the item catalog for a hospital formulary, the campus population for a patient panel, and menu nutrition for chronic-disease risk factors. A system that integrates these domains, forecasts demand, and translates the forecast into supply recommendations at SLU is a validated prototype of the system the endeavor proposes for U.S. health institutions. The move to healthcare is a change of data source, not of method, and Sodexo’s own Healthcare &amp; Seniors segment provides the route.</w:t>
      </w:r>
    </w:p>
    <w:p>
      <w:pPr>
        <w:pStyle w:val="Heading2"/>
        <w:rPr/>
      </w:pPr>
      <w:bookmarkStart w:id="32" w:name="__RefHeading___Toc1545_2060744472"/>
      <w:bookmarkEnd w:id="32"/>
      <w:r>
        <w:rPr/>
        <w:t>7.3 Closing Assessment</w:t>
      </w:r>
    </w:p>
    <w:p>
      <w:pPr>
        <w:pStyle w:val="Normal"/>
        <w:widowControl/>
        <w:bidi w:val="0"/>
        <w:spacing w:lineRule="auto" w:line="269" w:before="0" w:after="120"/>
        <w:jc w:val="start"/>
        <w:rPr/>
      </w:pPr>
      <w:r>
        <w:rPr>
          <w:b w:val="false"/>
        </w:rPr>
        <w:t>The project is both strong and feasible. The author already holds what most applicants lack: direct, daily access to a live multi-domain institutional data environment, a detailed 26-week execution plan, and a clear organizational path to health-institution deployment. The gaps identified here (empty PAR and order columns, a single day of utilization data, missing enrollment figures, and no nutrient profiles) are not weaknesses in the endeavor. They are the first tasks of Stage 1, and each one, once closed, becomes dated, documentable evidence of the endeavor in progress. With 90 days of focused collection and the baseline dashboard in place, the author will have moved from plan to execution, and that record is exactly what supports a well-positioned NIW petition.</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1440" w:footer="720"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95959"/>
        <w:sz w:val="18"/>
      </w:rPr>
      <w:t xml:space="preserve">Page </w:t>
    </w:r>
    <w:r>
      <w:rPr>
        <w:color w:val="595959"/>
        <w:sz w:val="18"/>
      </w:rPr>
      <w:fldChar w:fldCharType="begin"/>
    </w:r>
    <w:r>
      <w:rPr>
        <w:color w:val="595959"/>
        <w:sz w:val="18"/>
      </w:rPr>
      <w:instrText xml:space="preserve"> PAGE </w:instrText>
    </w:r>
    <w:r>
      <w:rPr>
        <w:color w:val="595959"/>
        <w:sz w:val="18"/>
      </w:rPr>
      <w:fldChar w:fldCharType="separate"/>
    </w:r>
    <w:r>
      <w:rPr>
        <w:color w:val="595959"/>
        <w:sz w:val="18"/>
      </w:rPr>
      <w:t>19</w:t>
    </w:r>
    <w:r>
      <w:rPr>
        <w:color w:val="595959"/>
        <w:sz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color w:val="595959"/>
        <w:sz w:val="17"/>
      </w:rPr>
      <w:t>Sodexo SLU Dining × NIW Proposed Endeavor  |  Comprehensive Analysis &amp; Roadmap</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5">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8"/>
    <w:lvlOverride w:ilvl="0">
      <w:startOverride w:val="1"/>
    </w:lvlOverride>
  </w:num>
  <w:num w:numId="18">
    <w:abstractNumId w:val="8"/>
    <w:lvlOverride w:ilvl="0">
      <w:startOverride w:val="1"/>
    </w:lvlOverride>
  </w:num>
  <w:num w:numId="19">
    <w:abstractNumId w:val="8"/>
    <w:lvlOverride w:ilvl="0">
      <w:startOverride w:val="1"/>
    </w:lvlOverride>
  </w:num>
  <w:num w:numId="20">
    <w:abstractNumId w:val="8"/>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8"/>
    <w:lvlOverride w:ilvl="0">
      <w:startOverride w:val="1"/>
    </w:lvlOverride>
  </w:num>
  <w:num w:numId="24">
    <w:abstractNumId w:val="8"/>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69" w:before="0" w:after="120"/>
      <w:jc w:val="start"/>
    </w:pPr>
    <w:rPr>
      <w:rFonts w:ascii="Calibri" w:hAnsi="Calibri" w:eastAsia="Calibri" w:cs="Calibri"/>
      <w:color w:val="1A1A1A"/>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pBdr>
        <w:bottom w:val="single" w:sz="8" w:space="4" w:color="1F3864"/>
      </w:pBdr>
      <w:spacing w:before="400" w:after="160"/>
      <w:outlineLvl w:val="0"/>
    </w:pPr>
    <w:rPr>
      <w:rFonts w:ascii="Calibri" w:hAnsi="Calibri" w:eastAsia="Calibri" w:cs="Calibri"/>
      <w:b/>
      <w:bCs/>
      <w:i w:val="false"/>
      <w:color w:val="1F3864"/>
      <w:sz w:val="34"/>
      <w:szCs w:val="28"/>
    </w:rPr>
  </w:style>
  <w:style w:type="paragraph" w:styleId="Heading2">
    <w:name w:val="heading 2"/>
    <w:basedOn w:val="Normal"/>
    <w:next w:val="Normal"/>
    <w:link w:val="Heading2Char"/>
    <w:uiPriority w:val="9"/>
    <w:unhideWhenUsed/>
    <w:qFormat/>
    <w:rsid w:val="00fc693f"/>
    <w:pPr>
      <w:keepNext w:val="true"/>
      <w:keepLines/>
      <w:spacing w:before="280" w:after="100"/>
      <w:outlineLvl w:val="1"/>
    </w:pPr>
    <w:rPr>
      <w:rFonts w:ascii="Calibri" w:hAnsi="Calibri" w:eastAsia="Calibri" w:cs="Calibri"/>
      <w:b/>
      <w:bCs/>
      <w:i w:val="false"/>
      <w:color w:val="1F3864"/>
      <w:sz w:val="27"/>
      <w:szCs w:val="26"/>
    </w:rPr>
  </w:style>
  <w:style w:type="paragraph" w:styleId="Heading3">
    <w:name w:val="heading 3"/>
    <w:basedOn w:val="Normal"/>
    <w:next w:val="Normal"/>
    <w:link w:val="Heading3Char"/>
    <w:uiPriority w:val="9"/>
    <w:unhideWhenUsed/>
    <w:qFormat/>
    <w:rsid w:val="00fc693f"/>
    <w:pPr>
      <w:keepNext w:val="true"/>
      <w:keepLines/>
      <w:spacing w:before="200" w:after="80"/>
      <w:outlineLvl w:val="2"/>
    </w:pPr>
    <w:rPr>
      <w:rFonts w:ascii="Calibri" w:hAnsi="Calibri" w:eastAsia="Calibri" w:cs="Calibri"/>
      <w:b/>
      <w:bCs/>
      <w:i w:val="false"/>
      <w:color w:val="1F3864"/>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before="0" w:after="200"/>
    </w:pPr>
    <w:rPr>
      <w:rFonts w:ascii="Calibri" w:hAnsi="Calibri" w:eastAsia="Calibri" w:cs="Calibri"/>
      <w:b w:val="false"/>
      <w:bCs/>
      <w:i/>
      <w:color w:val="595959"/>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Calibri" w:cs="Calibri"/>
      <w:b/>
      <w:color w:val="1F3864"/>
      <w:spacing w:val="5"/>
      <w:kern w:val="2"/>
      <w:sz w:val="60"/>
      <w:szCs w:val="52"/>
    </w:rPr>
  </w:style>
  <w:style w:type="paragraph" w:styleId="Subtitle">
    <w:name w:val="Subtitle"/>
    <w:basedOn w:val="Normal"/>
    <w:next w:val="Normal"/>
    <w:link w:val="SubtitleChar"/>
    <w:uiPriority w:val="11"/>
    <w:qFormat/>
    <w:rsid w:val="00fc693f"/>
    <w:pPr/>
    <w:rPr>
      <w:rFonts w:ascii="Calibri" w:hAnsi="Calibri" w:eastAsia="Calibri" w:cs="Calibri"/>
      <w:i w:val="false"/>
      <w:iCs/>
      <w:color w:val="595959"/>
      <w:spacing w:val="15"/>
      <w:sz w:val="30"/>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360" w:leader="dot"/>
      </w:tabs>
      <w:ind w:hanging="0" w:start="0"/>
    </w:pPr>
    <w:rPr/>
  </w:style>
  <w:style w:type="paragraph" w:styleId="TOC2">
    <w:name w:val="toc 2"/>
    <w:basedOn w:val="Index"/>
    <w:pPr>
      <w:tabs>
        <w:tab w:val="clear" w:pos="720"/>
        <w:tab w:val="right" w:pos="9077" w:leader="dot"/>
      </w:tabs>
      <w:ind w:hanging="0" w:start="283"/>
    </w:pPr>
    <w:rPr/>
  </w:style>
  <w:style w:type="paragraph" w:styleId="TOC3">
    <w:name w:val="toc 3"/>
    <w:basedOn w:val="Index"/>
    <w:pPr>
      <w:tabs>
        <w:tab w:val="clear" w:pos="720"/>
        <w:tab w:val="right" w:pos="8793" w:leader="dot"/>
      </w:tabs>
      <w:ind w:hanging="0" w:star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LibreOffice/26.2.3.2$Linux_X86_64 LibreOffice_project/70e089b17412e4cb7773e41413306b17a2328c34</Application>
  <AppVersion>15.0000</AppVersion>
  <Pages>19</Pages>
  <Words>6466</Words>
  <Characters>37570</Characters>
  <CharactersWithSpaces>43572</CharactersWithSpaces>
  <Paragraphs>403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2026-10-14T15:32:09Z</dcterms:modified>
  <cp:revision>5</cp:revision>
  <dc:subject/>
  <dc:title>Sodexo SLU NIW Comprehensive Report</dc:title>
</cp:coreProperties>
</file>

<file path=docProps/custom.xml><?xml version="1.0" encoding="utf-8"?>
<Properties xmlns="http://schemas.openxmlformats.org/officeDocument/2006/custom-properties" xmlns:vt="http://schemas.openxmlformats.org/officeDocument/2006/docPropsVTypes"/>
</file>