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shd w:fill="1B4F72" w:val="clear"/>
        <w:jc w:val="left"/>
      </w:pPr>
      <w:r>
        <w:rPr>
          <w:rFonts w:ascii="Calibri" w:hAnsi="Calibri" w:eastAsia="Calibri"/>
          <w:b/>
          <w:i w:val="0"/>
          <w:color w:val="FFFFFF"/>
          <w:sz w:val="18"/>
        </w:rPr>
        <w:t xml:space="preserve">  EB-2 NIW  ·  PHASE I CONTINUATION PROJECT  ·  SODEXO SLU DINING</w:t>
      </w:r>
    </w:p>
    <w:p>
      <w:pPr>
        <w:spacing w:before="120" w:after="160" w:line="288" w:lineRule="auto"/>
        <w:jc w:val="left"/>
      </w:pPr>
      <w:r>
        <w:rPr>
          <w:rFonts w:ascii="Calibri" w:hAnsi="Calibri" w:eastAsia="Calibri"/>
          <w:b/>
          <w:i w:val="0"/>
          <w:color w:val="1B4F72"/>
          <w:sz w:val="36"/>
        </w:rPr>
        <w:t>Integrated Demand Forecasting &amp; Supply Optimization for Multi-Outlet Campus Dining Operations: A Data Analytics Continuation Project Aligned with EB-2 NIW Proposed Endeavor</w:t>
      </w:r>
    </w:p>
    <w:p>
      <w:pPr>
        <w:spacing w:before="0" w:after="80" w:line="276" w:lineRule="auto"/>
      </w:pPr>
      <w:r>
        <w:rPr>
          <w:rFonts w:ascii="Calibri" w:hAnsi="Calibri" w:eastAsia="Calibri"/>
          <w:b w:val="0"/>
          <w:i w:val="0"/>
          <w:color w:val="1C1C1C"/>
          <w:sz w:val="22"/>
        </w:rPr>
        <w:t>Prepared by: Olawale Ajibola Ashaolu, Data Analyst, Sodexo – Saint Louis University Dining Services</w:t>
      </w:r>
    </w:p>
    <w:p>
      <w:pPr>
        <w:spacing w:before="0" w:after="80" w:line="276" w:lineRule="auto"/>
      </w:pPr>
      <w:r>
        <w:rPr>
          <w:rFonts w:ascii="Calibri" w:hAnsi="Calibri" w:eastAsia="Calibri"/>
          <w:b w:val="0"/>
          <w:i/>
          <w:color w:val="555555"/>
          <w:sz w:val="20"/>
        </w:rPr>
        <w:t>Revised Blueprint — Working Document for Internal Planning and Professional Presentation</w:t>
      </w:r>
    </w:p>
    <w:p>
      <w:pPr>
        <w:spacing w:before="80" w:after="240" w:line="276" w:lineRule="auto"/>
        <w:pBdr>
          <w:bottom w:val="single" w:sz="12" w:space="4" w:color="1B4F72"/>
        </w:pBdr>
      </w:pPr>
    </w:p>
    <w:p>
      <w:pPr>
        <w:pStyle w:val="Heading1"/>
        <w:pBdr>
          <w:bottom w:val="single" w:sz="12" w:space="4" w:color="1B4F72"/>
        </w:pBdr>
      </w:pPr>
      <w:r>
        <w:rPr>
          <w:rFonts w:ascii="Calibri" w:hAnsi="Calibri" w:eastAsia="Calibri"/>
          <w:b/>
          <w:i w:val="0"/>
          <w:color w:val="1B4F72"/>
          <w:sz w:val="32"/>
        </w:rPr>
        <w:t>1. Purpose of This Document</w:t>
      </w:r>
    </w:p>
    <w:p>
      <w:pPr>
        <w:spacing w:before="0" w:after="160" w:line="276" w:lineRule="auto"/>
      </w:pPr>
      <w:r>
        <w:rPr>
          <w:rFonts w:ascii="Calibri" w:hAnsi="Calibri" w:eastAsia="Calibri"/>
          <w:b w:val="0"/>
          <w:i w:val="0"/>
          <w:color w:val="1C1C1C"/>
          <w:sz w:val="22"/>
        </w:rPr>
        <w:t>This document defines a structured data analytics project anchored entirely in the author's real daily responsibilities as a Data Analyst at Sodexo SLU Dining Services. It is designed as a direct, documentable Phase I of the author's EB-2 National Interest Waiver (NIW) proposed endeavor—not as a separate or disjointed workplace function.</w:t>
      </w:r>
    </w:p>
    <w:p>
      <w:pPr>
        <w:spacing w:before="0" w:after="160" w:line="276" w:lineRule="auto"/>
      </w:pPr>
      <w:r>
        <w:rPr>
          <w:rFonts w:ascii="Calibri" w:hAnsi="Calibri" w:eastAsia="Calibri"/>
          <w:b w:val="0"/>
          <w:i w:val="0"/>
          <w:color w:val="1C1C1C"/>
          <w:sz w:val="22"/>
        </w:rPr>
        <w:t>The author's stated NIW proposed endeavor is as follows:</w:t>
      </w:r>
    </w:p>
    <w:p>
      <w:pPr>
        <w:spacing w:before="160" w:after="200" w:line="288" w:lineRule="auto"/>
        <w:ind w:left="360" w:right="216"/>
        <w:pBdr>
          <w:left w:val="single" w:sz="18" w:space="8" w:color="1B4F72"/>
        </w:pBdr>
        <w:shd w:fill="EAF2F8" w:val="clear"/>
      </w:pPr>
      <w:r>
        <w:rPr>
          <w:rFonts w:ascii="Calibri" w:hAnsi="Calibri" w:eastAsia="Calibri"/>
          <w:b w:val="0"/>
          <w:i/>
          <w:color w:val="1A3A5C"/>
          <w:sz w:val="21"/>
        </w:rPr>
        <w:t>My proposed endeavor is to develop, validate, deploy, and publicly disseminate an integrated predictive analytics system that enables U.S. health institutions to combine clinical, procurement, inventory, utilization, and population-health data to forecast chronic-disease burden, clinical demand, and medical-supply needs.</w:t>
      </w:r>
    </w:p>
    <w:p>
      <w:pPr>
        <w:spacing w:before="0" w:after="160" w:line="276" w:lineRule="auto"/>
      </w:pPr>
      <w:r>
        <w:rPr>
          <w:rFonts w:ascii="Calibri" w:hAnsi="Calibri" w:eastAsia="Calibri"/>
          <w:b w:val="0"/>
          <w:i w:val="0"/>
          <w:color w:val="1C1C1C"/>
          <w:sz w:val="22"/>
        </w:rPr>
        <w:t>No hospital or clinical patient data is involved in this project. The bridge to the NIW endeavor is methodological: the same forecasting architecture, multi-domain data pipeline design, model validation framework, and institutional-scale analytics that will eventually serve U.S. health institutions are being designed, proven, and publicly documented first in a multi-outlet campus dining environment. The campus food institution is treated as a bounded population served by an integrated supply chain—producing direct analogs of the five data domains named in the endeavor.</w:t>
      </w:r>
    </w:p>
    <w:p>
      <w:pPr>
        <w:spacing w:before="0" w:after="160" w:line="276" w:lineRule="auto"/>
      </w:pPr>
      <w:r>
        <w:rPr>
          <w:rFonts w:ascii="Calibri" w:hAnsi="Calibri" w:eastAsia="Calibri"/>
          <w:b w:val="0"/>
          <w:i w:val="0"/>
          <w:color w:val="1C1C1C"/>
          <w:sz w:val="22"/>
        </w:rPr>
        <w:t>This is a continuation project. Every deliverable produced under this blueprint is simultaneously professional work product for Sodexo SLU Dining and documented evidence that the NIW endeavor is already underway. The methods, pipelines, forecasting models, impact metrics, and dissemination artifacts are transferable and scalable from campus dining to health institutions.</w:t>
      </w:r>
    </w:p>
    <w:p>
      <w:pPr>
        <w:pStyle w:val="Heading1"/>
        <w:pBdr>
          <w:bottom w:val="single" w:sz="12" w:space="4" w:color="1B4F72"/>
        </w:pBdr>
      </w:pPr>
      <w:r>
        <w:rPr>
          <w:rFonts w:ascii="Calibri" w:hAnsi="Calibri" w:eastAsia="Calibri"/>
          <w:b/>
          <w:i w:val="0"/>
          <w:color w:val="1B4F72"/>
          <w:sz w:val="32"/>
        </w:rPr>
        <w:t>2. Professional Role Summary</w:t>
      </w:r>
    </w:p>
    <w:p>
      <w:pPr>
        <w:spacing w:before="0" w:after="160" w:line="276" w:lineRule="auto"/>
      </w:pPr>
      <w:r>
        <w:rPr>
          <w:rFonts w:ascii="Calibri" w:hAnsi="Calibri" w:eastAsia="Calibri"/>
          <w:b w:val="0"/>
          <w:i w:val="0"/>
          <w:color w:val="1C1C1C"/>
          <w:sz w:val="22"/>
        </w:rPr>
        <w:t>The author serves as Data Analyst for Sodexo Dining Services at Saint Louis University (SLU). In this capacity, the author is responsible for the ongoing analysis of operational, financial, and utilization data across approximately six campus stores and dining restaurants. The role centers on converting multi-source institutional data into actionable forecasts and performance reports that support daily ordering, production planning, and management decision-making.</w:t>
      </w:r>
    </w:p>
    <w:p>
      <w:pPr>
        <w:spacing w:before="0" w:after="160" w:line="276" w:lineRule="auto"/>
      </w:pPr>
      <w:r>
        <w:rPr>
          <w:rFonts w:ascii="Calibri" w:hAnsi="Calibri" w:eastAsia="Calibri"/>
          <w:b w:val="0"/>
          <w:i w:val="0"/>
          <w:color w:val="1C1C1C"/>
          <w:sz w:val="22"/>
        </w:rPr>
        <w:t>Day-to-day work encompasses analysis of meal swipe transaction data across all dining outlets; monitoring of supply, inventory, and food-service operational metrics; tracking and reporting of meal plan enrollment figures across student population tiers; and comprehensive analysis of daily and weekly sales performance at every location. These responsibilities place the author at the intersection of demand measurement, supply-chain visibility, and population-level service utilization—the precise analytical domain required by the NIW proposed endeavor.</w:t>
      </w:r>
    </w:p>
    <w:p>
      <w:pPr>
        <w:spacing w:before="0" w:after="160" w:line="276" w:lineRule="auto"/>
      </w:pPr>
      <w:r>
        <w:rPr>
          <w:rFonts w:ascii="Calibri" w:hAnsi="Calibri" w:eastAsia="Calibri"/>
          <w:b w:val="0"/>
          <w:i w:val="0"/>
          <w:color w:val="1C1C1C"/>
          <w:sz w:val="22"/>
        </w:rPr>
        <w:t>A distinguishing element of the role is direct access to the GrubHub Campus backend platform. This system provides real-time monitoring of all online orders, order-level transaction detail, item-level sales, and daily revenue aggregates across outlets. Combined with point-of-sale (POS) swipe data, procurement records, and inventory logs, GrubHub access supplies a high-frequency behavioral demand layer that most campus dining analysts do not possess and that closely mirrors the patient-level utilization streams a health institution would use for demand forecasting.</w:t>
      </w:r>
    </w:p>
    <w:p>
      <w:pPr>
        <w:pStyle w:val="Heading1"/>
        <w:pBdr>
          <w:bottom w:val="single" w:sz="12" w:space="4" w:color="1B4F72"/>
        </w:pBdr>
      </w:pPr>
      <w:r>
        <w:rPr>
          <w:rFonts w:ascii="Calibri" w:hAnsi="Calibri" w:eastAsia="Calibri"/>
          <w:b/>
          <w:i w:val="0"/>
          <w:color w:val="1B4F72"/>
          <w:sz w:val="32"/>
        </w:rPr>
        <w:t>3. The Bridge: How Dining Data Maps to the NIW Endeavor</w:t>
      </w:r>
    </w:p>
    <w:p>
      <w:pPr>
        <w:spacing w:before="0" w:after="160" w:line="276" w:lineRule="auto"/>
      </w:pPr>
      <w:r>
        <w:rPr>
          <w:rFonts w:ascii="Calibri" w:hAnsi="Calibri" w:eastAsia="Calibri"/>
          <w:b w:val="0"/>
          <w:i w:val="0"/>
          <w:color w:val="1C1C1C"/>
          <w:sz w:val="22"/>
        </w:rPr>
        <w:t>The NIW proposed endeavor names five data domains that an integrated predictive analytics system must combine. Sodexo SLU Dining produces a structural analog of every domain. Framing the operation as a campus food-and-nutrition institution serving a defined population makes the mapping direct and defensible:</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NIW Endeavor Data Domain</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Sodexo SLU Dining Equivalent</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Why It Is the Same Problem</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Utilization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Meal swipes, GrubHub daily orders, POS sales data, foot traffic across 6 outlets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Hospital bed utilization, patient visits, and clinic demand are the same demand-forecasting problem—a defined population consuming a service at predictable and forecastable rates.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Procurement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Food and supply purchase orders, vendor invoices, unit costs, delivery schedules across all outlets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Identical in structure to hospital medical-supply procurement—same lead-time modeling, vendor fill-rate tracking, and cost-forecasting methods.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Inventory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Stock levels, par levels, receiving logs, waste logs, stock-out incidents across all stores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Perishable inventory management for food is a direct analog to pharmaceutical, blood-product, and sterile-supply management—same forecasting and replenishment methods.</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Population-health / contextual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Student enrollment census, meal plan participation rates, academic calendar events, campus population dynamics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A university campus is a bounded population—the same unit of analysis as a hospital's patient catchment area. Enrollment and plan-participation trends mirror patient-panel and census data.</w:t>
            </w:r>
          </w:p>
        </w:tc>
      </w:tr>
      <w:tr>
        <w:trPr>
          <w:cantSplit/>
        </w:trPr>
        <w:tc>
          <w:tcPr>
            <w:tcW w:type="dxa" w:w="2304"/>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Clinical / operational outcome data</w:t>
            </w:r>
          </w:p>
        </w:tc>
        <w:tc>
          <w:tcPr>
            <w:tcW w:type="dxa" w:w="316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Menu nutrition profiles, allergen accommodation rates, dietary-restriction tracking, wellness program interactions</w:t>
            </w:r>
          </w:p>
        </w:tc>
        <w:tc>
          <w:tcPr>
            <w:tcW w:type="dxa" w:w="388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Nutrition is a primary modifiable driver of chronic disease. Diet-pattern data from campus populations informs population-level nutrition risk modeling—a stepping stone to clinical demand forecasting.</w:t>
            </w:r>
          </w:p>
        </w:tc>
      </w:tr>
    </w:tbl>
    <w:p>
      <w:pPr>
        <w:spacing w:before="0" w:after="80" w:line="276" w:lineRule="auto"/>
      </w:pPr>
    </w:p>
    <w:p>
      <w:pPr>
        <w:spacing w:before="120" w:after="160" w:line="276" w:lineRule="auto"/>
      </w:pPr>
      <w:r>
        <w:rPr>
          <w:rFonts w:ascii="Calibri" w:hAnsi="Calibri" w:eastAsia="Calibri"/>
          <w:b w:val="0"/>
          <w:i w:val="0"/>
          <w:color w:val="1C1C1C"/>
          <w:sz w:val="22"/>
        </w:rPr>
        <w:t>The author's GrubHub backend access adds a unique real-time data layer that strengthens this bridge. Order-level behavioral signals—time of order, item selection, outlet preference, and order frequency—mirror the kind of patient-level utilization data a health system would use to forecast clinical demand. This high-frequency, item-level dataset is a differentiating asset: it enables the project to demonstrate behavioral-data integration at a granularity that most campus dining analytics programs lack, and that health-institution demand models require.</w:t>
      </w:r>
    </w:p>
    <w:p>
      <w:pPr>
        <w:pStyle w:val="Heading1"/>
        <w:pageBreakBefore/>
        <w:pBdr>
          <w:bottom w:val="single" w:sz="12" w:space="4" w:color="1B4F72"/>
        </w:pBdr>
      </w:pPr>
      <w:r>
        <w:rPr>
          <w:rFonts w:ascii="Calibri" w:hAnsi="Calibri" w:eastAsia="Calibri"/>
          <w:b/>
          <w:i w:val="0"/>
          <w:color w:val="1B4F72"/>
          <w:sz w:val="32"/>
        </w:rPr>
        <w:t>4. Project Proposal: Title and Rationale</w:t>
      </w:r>
    </w:p>
    <w:p>
      <w:pPr>
        <w:pStyle w:val="Heading2"/>
      </w:pPr>
      <w:r>
        <w:rPr>
          <w:rFonts w:ascii="Calibri" w:hAnsi="Calibri" w:eastAsia="Calibri"/>
          <w:b/>
          <w:i w:val="0"/>
          <w:color w:val="1B4F72"/>
          <w:sz w:val="26"/>
        </w:rPr>
        <w:t>Project Title</w:t>
      </w:r>
    </w:p>
    <w:p>
      <w:pPr>
        <w:spacing w:before="160" w:after="200" w:line="288" w:lineRule="auto"/>
        <w:ind w:left="360" w:right="216"/>
        <w:pBdr>
          <w:left w:val="single" w:sz="18" w:space="8" w:color="1B4F72"/>
        </w:pBdr>
        <w:shd w:fill="EAF2F8" w:val="clear"/>
      </w:pPr>
      <w:r>
        <w:rPr>
          <w:rFonts w:ascii="Calibri" w:hAnsi="Calibri" w:eastAsia="Calibri"/>
          <w:b w:val="0"/>
          <w:i/>
          <w:color w:val="1A3A5C"/>
          <w:sz w:val="21"/>
        </w:rPr>
        <w:t>An Integrated Predictive Analytics System for Multi-Outlet Campus Dining: Forecasting Demand, Optimizing Supply, and Modeling Institutional Utilization at Saint Louis University — Phase I of a Scalable Health-Institution Forecasting Framework</w:t>
      </w:r>
    </w:p>
    <w:p>
      <w:pPr>
        <w:pStyle w:val="Heading2"/>
      </w:pPr>
      <w:r>
        <w:rPr>
          <w:rFonts w:ascii="Calibri" w:hAnsi="Calibri" w:eastAsia="Calibri"/>
          <w:b/>
          <w:i w:val="0"/>
          <w:color w:val="1B4F72"/>
          <w:sz w:val="26"/>
        </w:rPr>
        <w:t>Rationale</w:t>
      </w:r>
    </w:p>
    <w:p>
      <w:pPr>
        <w:spacing w:before="0" w:after="160" w:line="276" w:lineRule="auto"/>
      </w:pPr>
      <w:r>
        <w:rPr>
          <w:rFonts w:ascii="Calibri" w:hAnsi="Calibri" w:eastAsia="Calibri"/>
          <w:b w:val="0"/>
          <w:i w:val="0"/>
          <w:color w:val="1C1C1C"/>
          <w:sz w:val="22"/>
        </w:rPr>
        <w:t>The United States faces compounding challenges in institutional resource allocation—whether in healthcare supply chains, hospital capacity planning, or campus food services. The inability to accurately forecast demand and align supply with population need produces waste, stock-outs, cost overruns, and service failures. Solving this forecasting problem at institutional scale is a matter of national economic and operational significance.</w:t>
      </w:r>
    </w:p>
    <w:p>
      <w:pPr>
        <w:spacing w:before="0" w:after="160" w:line="276" w:lineRule="auto"/>
      </w:pPr>
      <w:r>
        <w:rPr>
          <w:rFonts w:ascii="Calibri" w:hAnsi="Calibri" w:eastAsia="Calibri"/>
          <w:b w:val="0"/>
          <w:i w:val="0"/>
          <w:color w:val="1C1C1C"/>
          <w:sz w:val="22"/>
        </w:rPr>
        <w:t>Sodexo SLU Dining, serving approximately six food outlets across the Saint Louis University campus, is a real-world, data-rich institutional environment. The same forecasting problems that affect health institutions—predicting utilization, aligning procurement to demand, managing perishable inventory, and understanding population-level need—are present, measurable, and under the author's direct analytical responsibility. The campus setting supplies multi-year historical data, a bounded population with known enrollment dynamics, and real-time order streams via GrubHub.</w:t>
      </w:r>
    </w:p>
    <w:p>
      <w:pPr>
        <w:spacing w:before="0" w:after="160" w:line="276" w:lineRule="auto"/>
      </w:pPr>
      <w:r>
        <w:rPr>
          <w:rFonts w:ascii="Calibri" w:hAnsi="Calibri" w:eastAsia="Calibri"/>
          <w:b w:val="0"/>
          <w:i w:val="0"/>
          <w:color w:val="1C1C1C"/>
          <w:sz w:val="22"/>
        </w:rPr>
        <w:t>This project proposes to build, validate, and deploy an integrated predictive analytics system at Sodexo SLU Dining using data the author already accesses daily. The system will demonstrate that a campus food institution, when treated as an integrated data environment—combining utilization, procurement, inventory, population, and GrubHub behavioral data—can be modeled and forecasted with the same architecture intended for U.S. health institutions. Integration across domains is not optional ornamentation; it is the core technical claim of the NIW endeavor, and it is proven here first.</w:t>
      </w:r>
    </w:p>
    <w:p>
      <w:pPr>
        <w:spacing w:before="0" w:after="160" w:line="276" w:lineRule="auto"/>
      </w:pPr>
      <w:r>
        <w:rPr>
          <w:rFonts w:ascii="Calibri" w:hAnsi="Calibri" w:eastAsia="Calibri"/>
          <w:b w:val="0"/>
          <w:i w:val="0"/>
          <w:color w:val="1C1C1C"/>
          <w:sz w:val="22"/>
        </w:rPr>
        <w:t>The outcome is a validated, documented proof-of-concept that directly advances the author's NIW proposed endeavor. The project will produce the methodology, codebase, validation benchmarks, deployment evidence, and disseminatable findings that scale from campus dining to Sodexo's Healthcare &amp; Seniors segment and, ultimately, to U.S. health institutions. Phase I is not a detour from the endeavor—it is the endeavor in execution.</w:t>
      </w:r>
    </w:p>
    <w:p>
      <w:pPr>
        <w:pStyle w:val="Heading1"/>
        <w:pBdr>
          <w:bottom w:val="single" w:sz="12" w:space="4" w:color="1B4F72"/>
        </w:pBdr>
      </w:pPr>
      <w:r>
        <w:rPr>
          <w:rFonts w:ascii="Calibri" w:hAnsi="Calibri" w:eastAsia="Calibri"/>
          <w:b/>
          <w:i w:val="0"/>
          <w:color w:val="1B4F72"/>
          <w:sz w:val="32"/>
        </w:rPr>
        <w:t>5. Data to Collect: Complete Inventory</w:t>
      </w:r>
    </w:p>
    <w:p>
      <w:pPr>
        <w:spacing w:before="0" w:after="160" w:line="276" w:lineRule="auto"/>
      </w:pPr>
      <w:r>
        <w:rPr>
          <w:rFonts w:ascii="Calibri" w:hAnsi="Calibri" w:eastAsia="Calibri"/>
          <w:b w:val="0"/>
          <w:i w:val="0"/>
          <w:color w:val="1C1C1C"/>
          <w:sz w:val="22"/>
        </w:rPr>
        <w:t>The following inventory enumerates every data category required to build the integrated system. For each item, the source system, analytical purpose, and priority level are stated. High-priority items form the minimum viable dataset for model development; Medium-priority items deepen contextual and clinical-analog modeling.</w:t>
      </w:r>
    </w:p>
    <w:p>
      <w:pPr>
        <w:pStyle w:val="Heading2"/>
      </w:pPr>
      <w:r>
        <w:rPr>
          <w:rFonts w:ascii="Calibri" w:hAnsi="Calibri" w:eastAsia="Calibri"/>
          <w:b/>
          <w:i w:val="0"/>
          <w:color w:val="1B4F72"/>
          <w:sz w:val="26"/>
        </w:rPr>
        <w:t>5.1 Meal Swipe &amp; Utilization Data  (Priority: HIGH)</w:t>
      </w:r>
    </w:p>
    <w:p>
      <w:pPr>
        <w:pStyle w:val="ListBullet"/>
        <w:spacing w:before="20" w:after="60" w:line="264" w:lineRule="auto"/>
        <w:ind w:left="504"/>
      </w:pPr>
      <w:r>
        <w:rPr>
          <w:rFonts w:ascii="Calibri" w:hAnsi="Calibri" w:eastAsia="Calibri"/>
          <w:b w:val="0"/>
          <w:i w:val="0"/>
          <w:color w:val="1C1C1C"/>
          <w:sz w:val="21"/>
        </w:rPr>
        <w:t>Meal swipe transaction records: timestamp, dining outlet/location, meal period (breakfast/lunch/dinner/late night), tender type (meal plan block, declining balance, cash, flex), and meal plan tier.</w:t>
      </w:r>
    </w:p>
    <w:p>
      <w:pPr>
        <w:pStyle w:val="ListBullet"/>
        <w:spacing w:before="20" w:after="60" w:line="264" w:lineRule="auto"/>
        <w:ind w:left="504"/>
      </w:pPr>
      <w:r>
        <w:rPr>
          <w:rFonts w:ascii="Calibri" w:hAnsi="Calibri" w:eastAsia="Calibri"/>
          <w:b w:val="0"/>
          <w:i w:val="0"/>
          <w:color w:val="1C1C1C"/>
          <w:sz w:val="21"/>
        </w:rPr>
        <w:t>Daily and weekly meal count totals by outlet.</w:t>
      </w:r>
    </w:p>
    <w:p>
      <w:pPr>
        <w:pStyle w:val="ListBullet"/>
        <w:spacing w:before="20" w:after="60" w:line="264" w:lineRule="auto"/>
        <w:ind w:left="504"/>
      </w:pPr>
      <w:r>
        <w:rPr>
          <w:rFonts w:ascii="Calibri" w:hAnsi="Calibri" w:eastAsia="Calibri"/>
          <w:b w:val="0"/>
          <w:i w:val="0"/>
          <w:color w:val="1C1C1C"/>
          <w:sz w:val="21"/>
        </w:rPr>
        <w:t>Peak versus off-peak traffic patterns per outlet and per meal period.</w:t>
      </w:r>
    </w:p>
    <w:p>
      <w:pPr>
        <w:pStyle w:val="ListBullet"/>
        <w:spacing w:before="20" w:after="60" w:line="264" w:lineRule="auto"/>
        <w:ind w:left="504"/>
      </w:pPr>
      <w:r>
        <w:rPr>
          <w:rFonts w:ascii="Calibri" w:hAnsi="Calibri" w:eastAsia="Calibri"/>
          <w:b w:val="0"/>
          <w:i w:val="0"/>
          <w:color w:val="1C1C1C"/>
          <w:sz w:val="21"/>
        </w:rPr>
        <w:t>Special event and catering headcount data: dates, meal type, projected versus actual count.</w:t>
      </w:r>
    </w:p>
    <w:p>
      <w:pPr>
        <w:pStyle w:val="ListBullet"/>
        <w:spacing w:before="20" w:after="60" w:line="264" w:lineRule="auto"/>
        <w:ind w:left="504"/>
      </w:pPr>
      <w:r>
        <w:rPr>
          <w:rFonts w:ascii="Calibri" w:hAnsi="Calibri" w:eastAsia="Calibri"/>
          <w:b w:val="0"/>
          <w:i w:val="0"/>
          <w:color w:val="1C1C1C"/>
          <w:sz w:val="21"/>
        </w:rPr>
        <w:t>Operating calendar: open/closed days, academic breaks, finals weeks, move-in/move-out weekends, and summer session schedule.</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POS system.</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Demand forecasting—predicting how many meals will be needed, when, and where. This is the core utilization variable and the campus analog of patient-visit and bed-occupancy data.</w:t>
      </w:r>
    </w:p>
    <w:p>
      <w:pPr>
        <w:pStyle w:val="Heading2"/>
      </w:pPr>
      <w:r>
        <w:rPr>
          <w:rFonts w:ascii="Calibri" w:hAnsi="Calibri" w:eastAsia="Calibri"/>
          <w:b/>
          <w:i w:val="0"/>
          <w:color w:val="1B4F72"/>
          <w:sz w:val="26"/>
        </w:rPr>
        <w:t>5.2 GrubHub Backend Data  (Priority: HIGH)</w:t>
      </w:r>
    </w:p>
    <w:p>
      <w:pPr>
        <w:pStyle w:val="ListBullet"/>
        <w:spacing w:before="20" w:after="60" w:line="264" w:lineRule="auto"/>
        <w:ind w:left="504"/>
      </w:pPr>
      <w:r>
        <w:rPr>
          <w:rFonts w:ascii="Calibri" w:hAnsi="Calibri" w:eastAsia="Calibri"/>
          <w:b w:val="0"/>
          <w:i w:val="0"/>
          <w:color w:val="1C1C1C"/>
          <w:sz w:val="21"/>
        </w:rPr>
        <w:t>Daily order counts by outlet and time window.</w:t>
      </w:r>
    </w:p>
    <w:p>
      <w:pPr>
        <w:pStyle w:val="ListBullet"/>
        <w:spacing w:before="20" w:after="60" w:line="264" w:lineRule="auto"/>
        <w:ind w:left="504"/>
      </w:pPr>
      <w:r>
        <w:rPr>
          <w:rFonts w:ascii="Calibri" w:hAnsi="Calibri" w:eastAsia="Calibri"/>
          <w:b w:val="0"/>
          <w:i w:val="0"/>
          <w:color w:val="1C1C1C"/>
          <w:sz w:val="21"/>
        </w:rPr>
        <w:t>Item-level order data: which menu items are ordered, in what volume, and at what time.</w:t>
      </w:r>
    </w:p>
    <w:p>
      <w:pPr>
        <w:pStyle w:val="ListBullet"/>
        <w:spacing w:before="20" w:after="60" w:line="264" w:lineRule="auto"/>
        <w:ind w:left="504"/>
      </w:pPr>
      <w:r>
        <w:rPr>
          <w:rFonts w:ascii="Calibri" w:hAnsi="Calibri" w:eastAsia="Calibri"/>
          <w:b w:val="0"/>
          <w:i w:val="0"/>
          <w:color w:val="1C1C1C"/>
          <w:sz w:val="21"/>
        </w:rPr>
        <w:t>Order frequency and repeat-order patterns (aggregate and de-identified).</w:t>
      </w:r>
    </w:p>
    <w:p>
      <w:pPr>
        <w:pStyle w:val="ListBullet"/>
        <w:spacing w:before="20" w:after="60" w:line="264" w:lineRule="auto"/>
        <w:ind w:left="504"/>
      </w:pPr>
      <w:r>
        <w:rPr>
          <w:rFonts w:ascii="Calibri" w:hAnsi="Calibri" w:eastAsia="Calibri"/>
          <w:b w:val="0"/>
          <w:i w:val="0"/>
          <w:color w:val="1C1C1C"/>
          <w:sz w:val="21"/>
        </w:rPr>
        <w:t>Cancelled orders, unfulfilled orders, and order modifications.</w:t>
      </w:r>
    </w:p>
    <w:p>
      <w:pPr>
        <w:pStyle w:val="ListBullet"/>
        <w:spacing w:before="20" w:after="60" w:line="264" w:lineRule="auto"/>
        <w:ind w:left="504"/>
      </w:pPr>
      <w:r>
        <w:rPr>
          <w:rFonts w:ascii="Calibri" w:hAnsi="Calibri" w:eastAsia="Calibri"/>
          <w:b w:val="0"/>
          <w:i w:val="0"/>
          <w:color w:val="1C1C1C"/>
          <w:sz w:val="21"/>
        </w:rPr>
        <w:t>Revenue data by outlet, by day, and by menu category.</w:t>
      </w:r>
    </w:p>
    <w:p>
      <w:pPr>
        <w:pStyle w:val="ListBullet"/>
        <w:spacing w:before="20" w:after="60" w:line="264" w:lineRule="auto"/>
        <w:ind w:left="504"/>
      </w:pPr>
      <w:r>
        <w:rPr>
          <w:rFonts w:ascii="Calibri" w:hAnsi="Calibri" w:eastAsia="Calibri"/>
          <w:b w:val="0"/>
          <w:i w:val="0"/>
          <w:color w:val="1C1C1C"/>
          <w:sz w:val="21"/>
        </w:rPr>
        <w:t>Platform-level metrics: average order value, peak order windows, and outlet load distribution.</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GrubHub Campus backend dashboard and data exports.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GrubHub data provides real-time behavioral demand signals—a high-frequency, item-level dataset that dramatically improves forecast granularity. This is the project's most distinctive data asset and the closest operational analog to patient-level utilization streams.</w:t>
      </w:r>
    </w:p>
    <w:p>
      <w:pPr>
        <w:pStyle w:val="Heading2"/>
      </w:pPr>
      <w:r>
        <w:rPr>
          <w:rFonts w:ascii="Calibri" w:hAnsi="Calibri" w:eastAsia="Calibri"/>
          <w:b/>
          <w:i w:val="0"/>
          <w:color w:val="1B4F72"/>
          <w:sz w:val="26"/>
        </w:rPr>
        <w:t>5.3 Meal Plan Enrollment Data  (Priority: HIGH)</w:t>
      </w:r>
    </w:p>
    <w:p>
      <w:pPr>
        <w:pStyle w:val="ListBullet"/>
        <w:spacing w:before="20" w:after="60" w:line="264" w:lineRule="auto"/>
        <w:ind w:left="504"/>
      </w:pPr>
      <w:r>
        <w:rPr>
          <w:rFonts w:ascii="Calibri" w:hAnsi="Calibri" w:eastAsia="Calibri"/>
          <w:b w:val="0"/>
          <w:i w:val="0"/>
          <w:color w:val="1C1C1C"/>
          <w:sz w:val="21"/>
        </w:rPr>
        <w:t>Number of students enrolled in each meal plan tier per semester.</w:t>
      </w:r>
    </w:p>
    <w:p>
      <w:pPr>
        <w:pStyle w:val="ListBullet"/>
        <w:spacing w:before="20" w:after="60" w:line="264" w:lineRule="auto"/>
        <w:ind w:left="504"/>
      </w:pPr>
      <w:r>
        <w:rPr>
          <w:rFonts w:ascii="Calibri" w:hAnsi="Calibri" w:eastAsia="Calibri"/>
          <w:b w:val="0"/>
          <w:i w:val="0"/>
          <w:color w:val="1C1C1C"/>
          <w:sz w:val="21"/>
        </w:rPr>
        <w:t>Plan type breakdown: mandatory freshman plans, voluntary upper-division plans, commuter plans, block plans, and declining-balance accounts.</w:t>
      </w:r>
    </w:p>
    <w:p>
      <w:pPr>
        <w:pStyle w:val="ListBullet"/>
        <w:spacing w:before="20" w:after="60" w:line="264" w:lineRule="auto"/>
        <w:ind w:left="504"/>
      </w:pPr>
      <w:r>
        <w:rPr>
          <w:rFonts w:ascii="Calibri" w:hAnsi="Calibri" w:eastAsia="Calibri"/>
          <w:b w:val="0"/>
          <w:i w:val="0"/>
          <w:color w:val="1C1C1C"/>
          <w:sz w:val="21"/>
        </w:rPr>
        <w:t>Semester-over-semester enrollment trends.</w:t>
      </w:r>
    </w:p>
    <w:p>
      <w:pPr>
        <w:pStyle w:val="ListBullet"/>
        <w:spacing w:before="20" w:after="60" w:line="264" w:lineRule="auto"/>
        <w:ind w:left="504"/>
      </w:pPr>
      <w:r>
        <w:rPr>
          <w:rFonts w:ascii="Calibri" w:hAnsi="Calibri" w:eastAsia="Calibri"/>
          <w:b w:val="0"/>
          <w:i w:val="0"/>
          <w:color w:val="1C1C1C"/>
          <w:sz w:val="21"/>
        </w:rPr>
        <w:t>Participation rate by residence hall or campus zone (if available).</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SLU Student Affairs / Sodexo meal plan management system.</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Meal plan enrollment is the population-size variable—the denominator. Enrollment changes directly drive demand. Tracking participation rates over time also models engagement and attrition, analogous to patient-panel dynamics.</w:t>
      </w:r>
    </w:p>
    <w:p>
      <w:pPr>
        <w:pStyle w:val="Heading2"/>
      </w:pPr>
      <w:r>
        <w:rPr>
          <w:rFonts w:ascii="Calibri" w:hAnsi="Calibri" w:eastAsia="Calibri"/>
          <w:b/>
          <w:i w:val="0"/>
          <w:color w:val="1B4F72"/>
          <w:sz w:val="26"/>
        </w:rPr>
        <w:t>5.4 Sales Data Across All 6 Outlets  (Priority: HIGH)</w:t>
      </w:r>
    </w:p>
    <w:p>
      <w:pPr>
        <w:pStyle w:val="ListBullet"/>
        <w:spacing w:before="20" w:after="60" w:line="264" w:lineRule="auto"/>
        <w:ind w:left="504"/>
      </w:pPr>
      <w:r>
        <w:rPr>
          <w:rFonts w:ascii="Calibri" w:hAnsi="Calibri" w:eastAsia="Calibri"/>
          <w:b w:val="0"/>
          <w:i w:val="0"/>
          <w:color w:val="1C1C1C"/>
          <w:sz w:val="21"/>
        </w:rPr>
        <w:t>Gross sales by outlet, by day, and by meal period.</w:t>
      </w:r>
    </w:p>
    <w:p>
      <w:pPr>
        <w:pStyle w:val="ListBullet"/>
        <w:spacing w:before="20" w:after="60" w:line="264" w:lineRule="auto"/>
        <w:ind w:left="504"/>
      </w:pPr>
      <w:r>
        <w:rPr>
          <w:rFonts w:ascii="Calibri" w:hAnsi="Calibri" w:eastAsia="Calibri"/>
          <w:b w:val="0"/>
          <w:i w:val="0"/>
          <w:color w:val="1C1C1C"/>
          <w:sz w:val="21"/>
        </w:rPr>
        <w:t>Item-level sales: which menu items sold, in what quantity, and at what price.</w:t>
      </w:r>
    </w:p>
    <w:p>
      <w:pPr>
        <w:pStyle w:val="ListBullet"/>
        <w:spacing w:before="20" w:after="60" w:line="264" w:lineRule="auto"/>
        <w:ind w:left="504"/>
      </w:pPr>
      <w:r>
        <w:rPr>
          <w:rFonts w:ascii="Calibri" w:hAnsi="Calibri" w:eastAsia="Calibri"/>
          <w:b w:val="0"/>
          <w:i w:val="0"/>
          <w:color w:val="1C1C1C"/>
          <w:sz w:val="21"/>
        </w:rPr>
        <w:t>Revenue breakdown: meal-plan-funded versus cash/card versus GrubHub.</w:t>
      </w:r>
    </w:p>
    <w:p>
      <w:pPr>
        <w:pStyle w:val="ListBullet"/>
        <w:spacing w:before="20" w:after="60" w:line="264" w:lineRule="auto"/>
        <w:ind w:left="504"/>
      </w:pPr>
      <w:r>
        <w:rPr>
          <w:rFonts w:ascii="Calibri" w:hAnsi="Calibri" w:eastAsia="Calibri"/>
          <w:b w:val="0"/>
          <w:i w:val="0"/>
          <w:color w:val="1C1C1C"/>
          <w:sz w:val="21"/>
        </w:rPr>
        <w:t>Promotional sales events and their impact on sales volume.</w:t>
      </w:r>
    </w:p>
    <w:p>
      <w:pPr>
        <w:pStyle w:val="ListBullet"/>
        <w:spacing w:before="20" w:after="60" w:line="264" w:lineRule="auto"/>
        <w:ind w:left="504"/>
      </w:pPr>
      <w:r>
        <w:rPr>
          <w:rFonts w:ascii="Calibri" w:hAnsi="Calibri" w:eastAsia="Calibri"/>
          <w:b w:val="0"/>
          <w:i w:val="0"/>
          <w:color w:val="1C1C1C"/>
          <w:sz w:val="21"/>
        </w:rPr>
        <w:t>Year-over-year and semester-over-semester sales comparisons.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POS system, GrubHub backend, and financial reports.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Sales data serves as both a demand proxy and a financial performance measure. Item-level sales enable nutritional intake modeling and menu optimization, linking commercial performance to population-level dietary patterns.</w:t>
      </w:r>
    </w:p>
    <w:p>
      <w:pPr>
        <w:pStyle w:val="Heading2"/>
      </w:pPr>
      <w:r>
        <w:rPr>
          <w:rFonts w:ascii="Calibri" w:hAnsi="Calibri" w:eastAsia="Calibri"/>
          <w:b/>
          <w:i w:val="0"/>
          <w:color w:val="1B4F72"/>
          <w:sz w:val="26"/>
        </w:rPr>
        <w:t>5.5 Supply &amp; Procurement Data  (Priority: HIGH)</w:t>
      </w:r>
    </w:p>
    <w:p>
      <w:pPr>
        <w:pStyle w:val="ListBullet"/>
        <w:spacing w:before="20" w:after="60" w:line="264" w:lineRule="auto"/>
        <w:ind w:left="504"/>
      </w:pPr>
      <w:r>
        <w:rPr>
          <w:rFonts w:ascii="Calibri" w:hAnsi="Calibri" w:eastAsia="Calibri"/>
          <w:b w:val="0"/>
          <w:i w:val="0"/>
          <w:color w:val="1C1C1C"/>
          <w:sz w:val="21"/>
        </w:rPr>
        <w:t>Purchase orders: item name, SKU/category, vendor, quantity ordered, unit cost, order date, expected delivery date, and actual delivery date.</w:t>
      </w:r>
    </w:p>
    <w:p>
      <w:pPr>
        <w:pStyle w:val="ListBullet"/>
        <w:spacing w:before="20" w:after="60" w:line="264" w:lineRule="auto"/>
        <w:ind w:left="504"/>
      </w:pPr>
      <w:r>
        <w:rPr>
          <w:rFonts w:ascii="Calibri" w:hAnsi="Calibri" w:eastAsia="Calibri"/>
          <w:b w:val="0"/>
          <w:i w:val="0"/>
          <w:color w:val="1C1C1C"/>
          <w:sz w:val="21"/>
        </w:rPr>
        <w:t>Vendor performance metrics: fill rate, on-time delivery rate, substitution rate, and back-order frequency.</w:t>
      </w:r>
    </w:p>
    <w:p>
      <w:pPr>
        <w:pStyle w:val="ListBullet"/>
        <w:spacing w:before="20" w:after="60" w:line="264" w:lineRule="auto"/>
        <w:ind w:left="504"/>
      </w:pPr>
      <w:r>
        <w:rPr>
          <w:rFonts w:ascii="Calibri" w:hAnsi="Calibri" w:eastAsia="Calibri"/>
          <w:b w:val="0"/>
          <w:i w:val="0"/>
          <w:color w:val="1C1C1C"/>
          <w:sz w:val="21"/>
        </w:rPr>
        <w:t>Food cost per unit over time (to model price volatility).</w:t>
      </w:r>
    </w:p>
    <w:p>
      <w:pPr>
        <w:pStyle w:val="ListBullet"/>
        <w:spacing w:before="20" w:after="60" w:line="264" w:lineRule="auto"/>
        <w:ind w:left="504"/>
      </w:pPr>
      <w:r>
        <w:rPr>
          <w:rFonts w:ascii="Calibri" w:hAnsi="Calibri" w:eastAsia="Calibri"/>
          <w:b w:val="0"/>
          <w:i w:val="0"/>
          <w:color w:val="1C1C1C"/>
          <w:sz w:val="21"/>
        </w:rPr>
        <w:t>Category-level spend: produce, protein, dairy, dry goods, disposables, and cleaning supplies.</w:t>
      </w:r>
    </w:p>
    <w:p>
      <w:pPr>
        <w:pStyle w:val="ListBullet"/>
        <w:spacing w:before="20" w:after="60" w:line="264" w:lineRule="auto"/>
        <w:ind w:left="504"/>
      </w:pPr>
      <w:r>
        <w:rPr>
          <w:rFonts w:ascii="Calibri" w:hAnsi="Calibri" w:eastAsia="Calibri"/>
          <w:b w:val="0"/>
          <w:i w:val="0"/>
          <w:color w:val="1C1C1C"/>
          <w:sz w:val="21"/>
        </w:rPr>
        <w:t>Contracted versus spot-purchase pricing.</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procurement/purchasing system or district-level records.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Procurement data feeds the supply side of the forecast model. Linking procurement to demand reveals where ordering decisions are misaligned with actual consumption—the core optimization problem and a structural twin of hospital medical-supply procurement.</w:t>
      </w:r>
    </w:p>
    <w:p>
      <w:pPr>
        <w:pStyle w:val="Heading2"/>
      </w:pPr>
      <w:r>
        <w:rPr>
          <w:rFonts w:ascii="Calibri" w:hAnsi="Calibri" w:eastAsia="Calibri"/>
          <w:b/>
          <w:i w:val="0"/>
          <w:color w:val="1B4F72"/>
          <w:sz w:val="26"/>
        </w:rPr>
        <w:t>5.6 Inventory Data  (Priority: HIGH)</w:t>
      </w:r>
    </w:p>
    <w:p>
      <w:pPr>
        <w:pStyle w:val="ListBullet"/>
        <w:spacing w:before="20" w:after="60" w:line="264" w:lineRule="auto"/>
        <w:ind w:left="504"/>
      </w:pPr>
      <w:r>
        <w:rPr>
          <w:rFonts w:ascii="Calibri" w:hAnsi="Calibri" w:eastAsia="Calibri"/>
          <w:b w:val="0"/>
          <w:i w:val="0"/>
          <w:color w:val="1C1C1C"/>
          <w:sz w:val="21"/>
        </w:rPr>
        <w:t>Weekly or bi-weekly inventory counts by item and storage location (walk-in cooler, dry storage, freezer).</w:t>
      </w:r>
    </w:p>
    <w:p>
      <w:pPr>
        <w:pStyle w:val="ListBullet"/>
        <w:spacing w:before="20" w:after="60" w:line="264" w:lineRule="auto"/>
        <w:ind w:left="504"/>
      </w:pPr>
      <w:r>
        <w:rPr>
          <w:rFonts w:ascii="Calibri" w:hAnsi="Calibri" w:eastAsia="Calibri"/>
          <w:b w:val="0"/>
          <w:i w:val="0"/>
          <w:color w:val="1C1C1C"/>
          <w:sz w:val="21"/>
        </w:rPr>
        <w:t>Par levels and reorder points currently in use (the baseline the model will improve).</w:t>
      </w:r>
    </w:p>
    <w:p>
      <w:pPr>
        <w:pStyle w:val="ListBullet"/>
        <w:spacing w:before="20" w:after="60" w:line="264" w:lineRule="auto"/>
        <w:ind w:left="504"/>
      </w:pPr>
      <w:r>
        <w:rPr>
          <w:rFonts w:ascii="Calibri" w:hAnsi="Calibri" w:eastAsia="Calibri"/>
          <w:b w:val="0"/>
          <w:i w:val="0"/>
          <w:color w:val="1C1C1C"/>
          <w:sz w:val="21"/>
        </w:rPr>
        <w:t>Receiving logs: items received, quantities, dates, and condition notes.</w:t>
      </w:r>
    </w:p>
    <w:p>
      <w:pPr>
        <w:pStyle w:val="ListBullet"/>
        <w:spacing w:before="20" w:after="60" w:line="264" w:lineRule="auto"/>
        <w:ind w:left="504"/>
      </w:pPr>
      <w:r>
        <w:rPr>
          <w:rFonts w:ascii="Calibri" w:hAnsi="Calibri" w:eastAsia="Calibri"/>
          <w:b w:val="0"/>
          <w:i w:val="0"/>
          <w:color w:val="1C1C1C"/>
          <w:sz w:val="21"/>
        </w:rPr>
        <w:t>Waste and spoilage logs: items discarded, quantities, and reason codes (expired, damaged, overproduced, unsold).</w:t>
      </w:r>
    </w:p>
    <w:p>
      <w:pPr>
        <w:pStyle w:val="ListBullet"/>
        <w:spacing w:before="20" w:after="60" w:line="264" w:lineRule="auto"/>
        <w:ind w:left="504"/>
      </w:pPr>
      <w:r>
        <w:rPr>
          <w:rFonts w:ascii="Calibri" w:hAnsi="Calibri" w:eastAsia="Calibri"/>
          <w:b w:val="0"/>
          <w:i w:val="0"/>
          <w:color w:val="1C1C1C"/>
          <w:sz w:val="21"/>
        </w:rPr>
        <w:t>Stock-out incidents: which items were unavailable, on which dates, and for which outlets.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SLU inventory management system and/or manual logs.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Inventory data closes the demand–supply loop. Waste and stock-outs are the failure modes the model is designed to reduce. Par levels are the current decision rules the model will replace or improve—directly transferable methods for pharmaceutical and sterile-supply management.</w:t>
      </w:r>
    </w:p>
    <w:p>
      <w:pPr>
        <w:pStyle w:val="Heading2"/>
      </w:pPr>
      <w:r>
        <w:rPr>
          <w:rFonts w:ascii="Calibri" w:hAnsi="Calibri" w:eastAsia="Calibri"/>
          <w:b/>
          <w:i w:val="0"/>
          <w:color w:val="1B4F72"/>
          <w:sz w:val="26"/>
        </w:rPr>
        <w:t>5.7 Menu &amp; Nutritional Data  (Priority: MEDIUM)</w:t>
      </w:r>
    </w:p>
    <w:p>
      <w:pPr>
        <w:pStyle w:val="ListBullet"/>
        <w:spacing w:before="20" w:after="60" w:line="264" w:lineRule="auto"/>
        <w:ind w:left="504"/>
      </w:pPr>
      <w:r>
        <w:rPr>
          <w:rFonts w:ascii="Calibri" w:hAnsi="Calibri" w:eastAsia="Calibri"/>
          <w:b w:val="0"/>
          <w:i w:val="0"/>
          <w:color w:val="1C1C1C"/>
          <w:sz w:val="21"/>
        </w:rPr>
        <w:t>Current menu cycle for all outlets: item names, categories, and serving days.</w:t>
      </w:r>
    </w:p>
    <w:p>
      <w:pPr>
        <w:pStyle w:val="ListBullet"/>
        <w:spacing w:before="20" w:after="60" w:line="264" w:lineRule="auto"/>
        <w:ind w:left="504"/>
      </w:pPr>
      <w:r>
        <w:rPr>
          <w:rFonts w:ascii="Calibri" w:hAnsi="Calibri" w:eastAsia="Calibri"/>
          <w:b w:val="0"/>
          <w:i w:val="0"/>
          <w:color w:val="1C1C1C"/>
          <w:sz w:val="21"/>
        </w:rPr>
        <w:t>Recipe and ingredient database: ingredients per dish, portion sizes, and nutrient profile (calories, protein, fat, carbohydrates, sodium, fiber, sugar).</w:t>
      </w:r>
    </w:p>
    <w:p>
      <w:pPr>
        <w:pStyle w:val="ListBullet"/>
        <w:spacing w:before="20" w:after="60" w:line="264" w:lineRule="auto"/>
        <w:ind w:left="504"/>
      </w:pPr>
      <w:r>
        <w:rPr>
          <w:rFonts w:ascii="Calibri" w:hAnsi="Calibri" w:eastAsia="Calibri"/>
          <w:b w:val="0"/>
          <w:i w:val="0"/>
          <w:color w:val="1C1C1C"/>
          <w:sz w:val="21"/>
        </w:rPr>
        <w:t>Allergen flags: items marked gluten-free, vegan, vegetarian, halal, nut-free, or dairy-free.</w:t>
      </w:r>
    </w:p>
    <w:p>
      <w:pPr>
        <w:pStyle w:val="ListBullet"/>
        <w:spacing w:before="20" w:after="60" w:line="264" w:lineRule="auto"/>
        <w:ind w:left="504"/>
      </w:pPr>
      <w:r>
        <w:rPr>
          <w:rFonts w:ascii="Calibri" w:hAnsi="Calibri" w:eastAsia="Calibri"/>
          <w:b w:val="0"/>
          <w:i w:val="0"/>
          <w:color w:val="1C1C1C"/>
          <w:sz w:val="21"/>
        </w:rPr>
        <w:t>Dietary accommodation requests: count of medically or religiously driven special-diet requests (aggregated, de-identified).</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Sodexo menu management platform and executive chef records.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Nutritional data is the clinical analog. It enables population-level dietary pattern modeling and connects the project to public health outcomes, directly bridging the NIW endeavor language around chronic-disease burden.</w:t>
      </w:r>
    </w:p>
    <w:p>
      <w:pPr>
        <w:pStyle w:val="Heading2"/>
      </w:pPr>
      <w:r>
        <w:rPr>
          <w:rFonts w:ascii="Calibri" w:hAnsi="Calibri" w:eastAsia="Calibri"/>
          <w:b/>
          <w:i w:val="0"/>
          <w:color w:val="1B4F72"/>
          <w:sz w:val="26"/>
        </w:rPr>
        <w:t>5.8 Contextual &amp; Population Data  (Priority: MEDIUM)</w:t>
      </w:r>
    </w:p>
    <w:p>
      <w:pPr>
        <w:pStyle w:val="ListBullet"/>
        <w:spacing w:before="20" w:after="60" w:line="264" w:lineRule="auto"/>
        <w:ind w:left="504"/>
      </w:pPr>
      <w:r>
        <w:rPr>
          <w:rFonts w:ascii="Calibri" w:hAnsi="Calibri" w:eastAsia="Calibri"/>
          <w:b w:val="0"/>
          <w:i w:val="0"/>
          <w:color w:val="1C1C1C"/>
          <w:sz w:val="21"/>
        </w:rPr>
        <w:t>SLU semester enrollment totals and residence hall occupancy per semester.</w:t>
      </w:r>
    </w:p>
    <w:p>
      <w:pPr>
        <w:pStyle w:val="ListBullet"/>
        <w:spacing w:before="20" w:after="60" w:line="264" w:lineRule="auto"/>
        <w:ind w:left="504"/>
      </w:pPr>
      <w:r>
        <w:rPr>
          <w:rFonts w:ascii="Calibri" w:hAnsi="Calibri" w:eastAsia="Calibri"/>
          <w:b w:val="0"/>
          <w:i w:val="0"/>
          <w:color w:val="1C1C1C"/>
          <w:sz w:val="21"/>
        </w:rPr>
        <w:t>Academic calendar covering all key dates, events, game days, and registration periods.</w:t>
      </w:r>
    </w:p>
    <w:p>
      <w:pPr>
        <w:pStyle w:val="ListBullet"/>
        <w:spacing w:before="20" w:after="60" w:line="264" w:lineRule="auto"/>
        <w:ind w:left="504"/>
      </w:pPr>
      <w:r>
        <w:rPr>
          <w:rFonts w:ascii="Calibri" w:hAnsi="Calibri" w:eastAsia="Calibri"/>
          <w:b w:val="0"/>
          <w:i w:val="0"/>
          <w:color w:val="1C1C1C"/>
          <w:sz w:val="21"/>
        </w:rPr>
        <w:t>Campus event schedule for major events that cause demand spikes.</w:t>
      </w:r>
    </w:p>
    <w:p>
      <w:pPr>
        <w:pStyle w:val="ListBullet"/>
        <w:spacing w:before="20" w:after="60" w:line="264" w:lineRule="auto"/>
        <w:ind w:left="504"/>
      </w:pPr>
      <w:r>
        <w:rPr>
          <w:rFonts w:ascii="Calibri" w:hAnsi="Calibri" w:eastAsia="Calibri"/>
          <w:b w:val="0"/>
          <w:i w:val="0"/>
          <w:color w:val="1C1C1C"/>
          <w:sz w:val="21"/>
        </w:rPr>
        <w:t>Public data to merge: St. Louis weather (NOAA), local flu/illness surveillance (CDC), USDA food price indices, and St. Louis regional population and economic indicators.</w:t>
      </w:r>
    </w:p>
    <w:p>
      <w:pPr>
        <w:spacing w:before="40" w:after="40" w:line="264" w:lineRule="auto"/>
      </w:pPr>
      <w:r>
        <w:rPr>
          <w:rFonts w:ascii="Calibri" w:hAnsi="Calibri" w:eastAsia="Calibri"/>
          <w:b/>
          <w:i w:val="0"/>
          <w:color w:val="1B4F72"/>
          <w:sz w:val="21"/>
        </w:rPr>
        <w:t xml:space="preserve">Source: </w:t>
      </w:r>
      <w:r>
        <w:rPr>
          <w:rFonts w:ascii="Calibri" w:hAnsi="Calibri" w:eastAsia="Calibri"/>
          <w:b w:val="0"/>
          <w:i w:val="0"/>
          <w:color w:val="1C1C1C"/>
          <w:sz w:val="21"/>
        </w:rPr>
        <w:t>SLU Institutional Research, SLU Events Office, and public data APIs.</w:t>
      </w:r>
    </w:p>
    <w:p>
      <w:pPr>
        <w:spacing w:before="40" w:after="40" w:line="264" w:lineRule="auto"/>
      </w:pPr>
      <w:r>
        <w:rPr>
          <w:rFonts w:ascii="Calibri" w:hAnsi="Calibri" w:eastAsia="Calibri"/>
          <w:b/>
          <w:i w:val="0"/>
          <w:color w:val="1B4F72"/>
          <w:sz w:val="21"/>
        </w:rPr>
        <w:t xml:space="preserve">Why it is needed: </w:t>
      </w:r>
      <w:r>
        <w:rPr>
          <w:rFonts w:ascii="Calibri" w:hAnsi="Calibri" w:eastAsia="Calibri"/>
          <w:b w:val="0"/>
          <w:i w:val="0"/>
          <w:color w:val="1C1C1C"/>
          <w:sz w:val="21"/>
        </w:rPr>
        <w:t>Population and contextual data are the exogenous variables in the forecasting model. They explain demand fluctuations that outlet-level data alone cannot capture and establish the bounded-population framing required for health-institution transferability.</w:t>
      </w:r>
    </w:p>
    <w:p>
      <w:pPr>
        <w:pStyle w:val="Heading1"/>
        <w:pBdr>
          <w:bottom w:val="single" w:sz="12" w:space="4" w:color="1B4F72"/>
        </w:pBdr>
      </w:pPr>
      <w:r>
        <w:rPr>
          <w:rFonts w:ascii="Calibri" w:hAnsi="Calibri" w:eastAsia="Calibri"/>
          <w:b/>
          <w:i w:val="0"/>
          <w:color w:val="1B4F72"/>
          <w:sz w:val="32"/>
        </w:rPr>
        <w:t>6. Project Execution: Stage-by-Stage Plan</w:t>
      </w:r>
    </w:p>
    <w:p>
      <w:pPr>
        <w:spacing w:before="0" w:after="160" w:line="276" w:lineRule="auto"/>
      </w:pPr>
      <w:r>
        <w:rPr>
          <w:rFonts w:ascii="Calibri" w:hAnsi="Calibri" w:eastAsia="Calibri"/>
          <w:b w:val="0"/>
          <w:i w:val="0"/>
          <w:color w:val="1C1C1C"/>
          <w:sz w:val="22"/>
        </w:rPr>
        <w:t>The project is organized into seven sequential stages spanning approximately twenty-six weeks. Each stage maps to a verb of the NIW endeavor—develop, validate, deploy, or publicly disseminate—and produces concrete, archivable deliverables.</w:t>
      </w:r>
    </w:p>
    <w:p>
      <w:pPr>
        <w:pStyle w:val="Heading2"/>
      </w:pPr>
      <w:r>
        <w:rPr>
          <w:rFonts w:ascii="Calibri" w:hAnsi="Calibri" w:eastAsia="Calibri"/>
          <w:b/>
          <w:i w:val="0"/>
          <w:color w:val="1B4F72"/>
          <w:sz w:val="26"/>
        </w:rPr>
        <w:t>Stage 1: Data Discovery, Access, and Infrastructure Setup  (Weeks 1–3)</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Before any analysis can begin, the data landscape must be mapped, access formalized, and a clean data infrastructure established. This stage ensures the project is built on a solid, reproducible foundation and that management authorization for eventual publication is secured in writing.</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Meet with the General Manager, Executive Chef, and IT/systems contacts to identify all data sources and owners.</w:t>
      </w:r>
    </w:p>
    <w:p>
      <w:pPr>
        <w:pStyle w:val="ListBullet"/>
        <w:spacing w:before="20" w:after="60" w:line="264" w:lineRule="auto"/>
        <w:ind w:left="504"/>
      </w:pPr>
      <w:r>
        <w:rPr>
          <w:rFonts w:ascii="Calibri" w:hAnsi="Calibri" w:eastAsia="Calibri"/>
          <w:b w:val="0"/>
          <w:i w:val="0"/>
          <w:color w:val="1C1C1C"/>
          <w:sz w:val="21"/>
        </w:rPr>
        <w:t>Request formal written permission from Sodexo management for the project and for eventual publication of de-identified findings.</w:t>
      </w:r>
    </w:p>
    <w:p>
      <w:pPr>
        <w:pStyle w:val="ListBullet"/>
        <w:spacing w:before="20" w:after="60" w:line="264" w:lineRule="auto"/>
        <w:ind w:left="504"/>
      </w:pPr>
      <w:r>
        <w:rPr>
          <w:rFonts w:ascii="Calibri" w:hAnsi="Calibri" w:eastAsia="Calibri"/>
          <w:b w:val="0"/>
          <w:i w:val="0"/>
          <w:color w:val="1C1C1C"/>
          <w:sz w:val="21"/>
        </w:rPr>
        <w:t>Identify and document all relevant systems: POS, GrubHub backend, procurement platform, inventory management, menu database, and meal plan enrollment system.</w:t>
      </w:r>
    </w:p>
    <w:p>
      <w:pPr>
        <w:pStyle w:val="ListBullet"/>
        <w:spacing w:before="20" w:after="60" w:line="264" w:lineRule="auto"/>
        <w:ind w:left="504"/>
      </w:pPr>
      <w:r>
        <w:rPr>
          <w:rFonts w:ascii="Calibri" w:hAnsi="Calibri" w:eastAsia="Calibri"/>
          <w:b w:val="0"/>
          <w:i w:val="0"/>
          <w:color w:val="1C1C1C"/>
          <w:sz w:val="21"/>
        </w:rPr>
        <w:t>Request a minimum of 24 months of historical data exports for all High-priority data categories.</w:t>
      </w:r>
    </w:p>
    <w:p>
      <w:pPr>
        <w:pStyle w:val="ListBullet"/>
        <w:spacing w:before="20" w:after="60" w:line="264" w:lineRule="auto"/>
        <w:ind w:left="504"/>
      </w:pPr>
      <w:r>
        <w:rPr>
          <w:rFonts w:ascii="Calibri" w:hAnsi="Calibri" w:eastAsia="Calibri"/>
          <w:b w:val="0"/>
          <w:i w:val="0"/>
          <w:color w:val="1C1C1C"/>
          <w:sz w:val="21"/>
        </w:rPr>
        <w:t>Set up a local or cloud-based data environment (Python, SQL database, version control via GitHub).</w:t>
      </w:r>
    </w:p>
    <w:p>
      <w:pPr>
        <w:pStyle w:val="ListBullet"/>
        <w:spacing w:before="20" w:after="60" w:line="264" w:lineRule="auto"/>
        <w:ind w:left="504"/>
      </w:pPr>
      <w:r>
        <w:rPr>
          <w:rFonts w:ascii="Calibri" w:hAnsi="Calibri" w:eastAsia="Calibri"/>
          <w:b w:val="0"/>
          <w:i w:val="0"/>
          <w:color w:val="1C1C1C"/>
          <w:sz w:val="21"/>
        </w:rPr>
        <w:t>Build a Master Data Dictionary documenting every data source, field definitions, update frequency, and data quality notes.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Data inventory report; access permissions on file; Data Dictionary v1.0; GitHub repository initialized.</w:t>
      </w:r>
    </w:p>
    <w:p>
      <w:pPr>
        <w:pStyle w:val="Heading2"/>
      </w:pPr>
      <w:r>
        <w:rPr>
          <w:rFonts w:ascii="Calibri" w:hAnsi="Calibri" w:eastAsia="Calibri"/>
          <w:b/>
          <w:i w:val="0"/>
          <w:color w:val="1B4F72"/>
          <w:sz w:val="26"/>
        </w:rPr>
        <w:t>Stage 2: Data Ingestion, Cleaning, and Integration  (Weeks 4–6)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Raw institutional data from multiple systems is almost always inconsistent, incomplete, or incompatible in format. Integration is the most technically demanding step and is the core of what makes this an integrated analytics system—the direct language of the NIW endeavor.</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Write automated data ingestion scripts (Python/SQL) for each data source.</w:t>
      </w:r>
    </w:p>
    <w:p>
      <w:pPr>
        <w:pStyle w:val="ListBullet"/>
        <w:spacing w:before="20" w:after="60" w:line="264" w:lineRule="auto"/>
        <w:ind w:left="504"/>
      </w:pPr>
      <w:r>
        <w:rPr>
          <w:rFonts w:ascii="Calibri" w:hAnsi="Calibri" w:eastAsia="Calibri"/>
          <w:b w:val="0"/>
          <w:i w:val="0"/>
          <w:color w:val="1C1C1C"/>
          <w:sz w:val="21"/>
        </w:rPr>
        <w:t>Perform data quality assessment: missing values, outliers, duplicate records, and format inconsistencies.</w:t>
      </w:r>
    </w:p>
    <w:p>
      <w:pPr>
        <w:pStyle w:val="ListBullet"/>
        <w:spacing w:before="20" w:after="60" w:line="264" w:lineRule="auto"/>
        <w:ind w:left="504"/>
      </w:pPr>
      <w:r>
        <w:rPr>
          <w:rFonts w:ascii="Calibri" w:hAnsi="Calibri" w:eastAsia="Calibri"/>
          <w:b w:val="0"/>
          <w:i w:val="0"/>
          <w:color w:val="1C1C1C"/>
          <w:sz w:val="21"/>
        </w:rPr>
        <w:t>Standardize date-time fields, location codes, item identifiers, and category labels across all systems.</w:t>
      </w:r>
    </w:p>
    <w:p>
      <w:pPr>
        <w:pStyle w:val="ListBullet"/>
        <w:spacing w:before="20" w:after="60" w:line="264" w:lineRule="auto"/>
        <w:ind w:left="504"/>
      </w:pPr>
      <w:r>
        <w:rPr>
          <w:rFonts w:ascii="Calibri" w:hAnsi="Calibri" w:eastAsia="Calibri"/>
          <w:b w:val="0"/>
          <w:i w:val="0"/>
          <w:color w:val="1C1C1C"/>
          <w:sz w:val="21"/>
        </w:rPr>
        <w:t>Merge datasets into a unified analytical data model (fact tables: transactions, orders, inventory; dimension tables: items, locations, time, meal plan tiers).</w:t>
      </w:r>
    </w:p>
    <w:p>
      <w:pPr>
        <w:pStyle w:val="ListBullet"/>
        <w:spacing w:before="20" w:after="60" w:line="264" w:lineRule="auto"/>
        <w:ind w:left="504"/>
      </w:pPr>
      <w:r>
        <w:rPr>
          <w:rFonts w:ascii="Calibri" w:hAnsi="Calibri" w:eastAsia="Calibri"/>
          <w:b w:val="0"/>
          <w:i w:val="0"/>
          <w:color w:val="1C1C1C"/>
          <w:sz w:val="21"/>
        </w:rPr>
        <w:t>Integrate GrubHub backend exports with POS data to create a unified demand dataset.</w:t>
      </w:r>
    </w:p>
    <w:p>
      <w:pPr>
        <w:pStyle w:val="ListBullet"/>
        <w:spacing w:before="20" w:after="60" w:line="264" w:lineRule="auto"/>
        <w:ind w:left="504"/>
      </w:pPr>
      <w:r>
        <w:rPr>
          <w:rFonts w:ascii="Calibri" w:hAnsi="Calibri" w:eastAsia="Calibri"/>
          <w:b w:val="0"/>
          <w:i w:val="0"/>
          <w:color w:val="1C1C1C"/>
          <w:sz w:val="21"/>
        </w:rPr>
        <w:t>Incorporate external contextual data (weather, academic calendar) as time-aligned feature variables.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Integrated database/data warehouse; automated ETL pipeline; data quality report; unified data model diagram.</w:t>
      </w:r>
    </w:p>
    <w:p>
      <w:pPr>
        <w:pStyle w:val="Heading2"/>
      </w:pPr>
      <w:r>
        <w:rPr>
          <w:rFonts w:ascii="Calibri" w:hAnsi="Calibri" w:eastAsia="Calibri"/>
          <w:b/>
          <w:i w:val="0"/>
          <w:color w:val="1B4F72"/>
          <w:sz w:val="26"/>
        </w:rPr>
        <w:t>Stage 3: Exploratory Data Analysis and Baseline Reporting  (Weeks 7–8)</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Before building forecasting models, the analyst must document the current state—demand patterns, procurement efficiency, and waste rates—to establish a baseline against which improvement will be measured. This baseline is essential quantitative evidence for the NIW narrative.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Perform exploratory analysis of demand patterns across all six outlets and meal periods.</w:t>
      </w:r>
    </w:p>
    <w:p>
      <w:pPr>
        <w:pStyle w:val="ListBullet"/>
        <w:spacing w:before="20" w:after="60" w:line="264" w:lineRule="auto"/>
        <w:ind w:left="504"/>
      </w:pPr>
      <w:r>
        <w:rPr>
          <w:rFonts w:ascii="Calibri" w:hAnsi="Calibri" w:eastAsia="Calibri"/>
          <w:b w:val="0"/>
          <w:i w:val="0"/>
          <w:color w:val="1C1C1C"/>
          <w:sz w:val="21"/>
        </w:rPr>
        <w:t>Identify seasonality, weekly cycles, and event-driven demand shocks in meal swipe and GrubHub data.</w:t>
      </w:r>
    </w:p>
    <w:p>
      <w:pPr>
        <w:pStyle w:val="ListBullet"/>
        <w:spacing w:before="20" w:after="60" w:line="264" w:lineRule="auto"/>
        <w:ind w:left="504"/>
      </w:pPr>
      <w:r>
        <w:rPr>
          <w:rFonts w:ascii="Calibri" w:hAnsi="Calibri" w:eastAsia="Calibri"/>
          <w:b w:val="0"/>
          <w:i w:val="0"/>
          <w:color w:val="1C1C1C"/>
          <w:sz w:val="21"/>
        </w:rPr>
        <w:t>Analyze procurement efficiency: on-time delivery rates, fill rates, and cost variance.</w:t>
      </w:r>
    </w:p>
    <w:p>
      <w:pPr>
        <w:pStyle w:val="ListBullet"/>
        <w:spacing w:before="20" w:after="60" w:line="264" w:lineRule="auto"/>
        <w:ind w:left="504"/>
      </w:pPr>
      <w:r>
        <w:rPr>
          <w:rFonts w:ascii="Calibri" w:hAnsi="Calibri" w:eastAsia="Calibri"/>
          <w:b w:val="0"/>
          <w:i w:val="0"/>
          <w:color w:val="1C1C1C"/>
          <w:sz w:val="21"/>
        </w:rPr>
        <w:t>Quantify waste and stock-out rates in both financial cost and operational frequency.</w:t>
      </w:r>
    </w:p>
    <w:p>
      <w:pPr>
        <w:pStyle w:val="ListBullet"/>
        <w:spacing w:before="20" w:after="60" w:line="264" w:lineRule="auto"/>
        <w:ind w:left="504"/>
      </w:pPr>
      <w:r>
        <w:rPr>
          <w:rFonts w:ascii="Calibri" w:hAnsi="Calibri" w:eastAsia="Calibri"/>
          <w:b w:val="0"/>
          <w:i w:val="0"/>
          <w:color w:val="1C1C1C"/>
          <w:sz w:val="21"/>
        </w:rPr>
        <w:t>Profile meal plan participation trends over the past two academic years.</w:t>
      </w:r>
    </w:p>
    <w:p>
      <w:pPr>
        <w:pStyle w:val="ListBullet"/>
        <w:spacing w:before="20" w:after="60" w:line="264" w:lineRule="auto"/>
        <w:ind w:left="504"/>
      </w:pPr>
      <w:r>
        <w:rPr>
          <w:rFonts w:ascii="Calibri" w:hAnsi="Calibri" w:eastAsia="Calibri"/>
          <w:b w:val="0"/>
          <w:i w:val="0"/>
          <w:color w:val="1C1C1C"/>
          <w:sz w:val="21"/>
        </w:rPr>
        <w:t>Build interactive baseline dashboards (Power BI, Tableau, or Python Dash).</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Baseline analytics report with visualizations; demand seasonality profile; waste and stock-out baseline metrics; management-ready dashboard v1.0.</w:t>
      </w:r>
    </w:p>
    <w:p>
      <w:pPr>
        <w:pStyle w:val="Heading2"/>
      </w:pPr>
      <w:r>
        <w:rPr>
          <w:rFonts w:ascii="Calibri" w:hAnsi="Calibri" w:eastAsia="Calibri"/>
          <w:b/>
          <w:i w:val="0"/>
          <w:color w:val="1B4F72"/>
          <w:sz w:val="26"/>
        </w:rPr>
        <w:t>Stage 4: Predictive Model Development  (Weeks 9–13)</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develop phase of the NIW endeavor. Multiple forecasting models are built for each key forecast target, tested against historical data, and prepared for rigorous benchmarking.</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Build demand forecasting models for each outlet and meal period using time-series methods (SARIMA, Prophet, gradient boosting / XGBoost), incorporating meal plan enrollment, GrubHub behavioral data, academic calendar, and weather as features.</w:t>
      </w:r>
    </w:p>
    <w:p>
      <w:pPr>
        <w:pStyle w:val="ListBullet"/>
        <w:spacing w:before="20" w:after="60" w:line="264" w:lineRule="auto"/>
        <w:ind w:left="504"/>
      </w:pPr>
      <w:r>
        <w:rPr>
          <w:rFonts w:ascii="Calibri" w:hAnsi="Calibri" w:eastAsia="Calibri"/>
          <w:b w:val="0"/>
          <w:i w:val="0"/>
          <w:color w:val="1C1C1C"/>
          <w:sz w:val="21"/>
        </w:rPr>
        <w:t>Build supply-need forecasting models that translate demand forecasts into item-level procurement quantity recommendations.</w:t>
      </w:r>
    </w:p>
    <w:p>
      <w:pPr>
        <w:pStyle w:val="ListBullet"/>
        <w:spacing w:before="20" w:after="60" w:line="264" w:lineRule="auto"/>
        <w:ind w:left="504"/>
      </w:pPr>
      <w:r>
        <w:rPr>
          <w:rFonts w:ascii="Calibri" w:hAnsi="Calibri" w:eastAsia="Calibri"/>
          <w:b w:val="0"/>
          <w:i w:val="0"/>
          <w:color w:val="1C1C1C"/>
          <w:sz w:val="21"/>
        </w:rPr>
        <w:t>Build inventory optimization models: dynamic par levels, reorder triggers, and waste-reduction production quantities.</w:t>
      </w:r>
    </w:p>
    <w:p>
      <w:pPr>
        <w:pStyle w:val="ListBullet"/>
        <w:spacing w:before="20" w:after="60" w:line="264" w:lineRule="auto"/>
        <w:ind w:left="504"/>
      </w:pPr>
      <w:r>
        <w:rPr>
          <w:rFonts w:ascii="Calibri" w:hAnsi="Calibri" w:eastAsia="Calibri"/>
          <w:b w:val="0"/>
          <w:i w:val="0"/>
          <w:color w:val="1C1C1C"/>
          <w:sz w:val="21"/>
        </w:rPr>
        <w:t>Develop a meal plan utilization model: forecast per-tier participation and average consumption rates per enrolled student.</w:t>
      </w:r>
    </w:p>
    <w:p>
      <w:pPr>
        <w:pStyle w:val="ListBullet"/>
        <w:spacing w:before="20" w:after="60" w:line="264" w:lineRule="auto"/>
        <w:ind w:left="504"/>
      </w:pPr>
      <w:r>
        <w:rPr>
          <w:rFonts w:ascii="Calibri" w:hAnsi="Calibri" w:eastAsia="Calibri"/>
          <w:b w:val="0"/>
          <w:i w:val="0"/>
          <w:color w:val="1C1C1C"/>
          <w:sz w:val="21"/>
        </w:rPr>
        <w:t>Document all model architectures, hyperparameter choices, and feature engineering decisions.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Trained forecasting models (demand, supply, inventory, utilization); model documentation; feature importance analysis; updated GitHub code repository.</w:t>
      </w:r>
    </w:p>
    <w:p>
      <w:pPr>
        <w:pStyle w:val="Heading2"/>
      </w:pPr>
      <w:r>
        <w:rPr>
          <w:rFonts w:ascii="Calibri" w:hAnsi="Calibri" w:eastAsia="Calibri"/>
          <w:b/>
          <w:i w:val="0"/>
          <w:color w:val="1B4F72"/>
          <w:sz w:val="26"/>
        </w:rPr>
        <w:t>Stage 5: Model Validation and Performance Benchmarking  (Weeks 14–16)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validate phase of the NIW endeavor. Forecasting models must be tested against held-out historical data and their accuracy compared to the current manual ordering process. This stage produces the quantitative evidence of impact that adjudicators require.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Split historical data into training (70%) and test (30%) sets; validate all models on held-out data.</w:t>
      </w:r>
    </w:p>
    <w:p>
      <w:pPr>
        <w:pStyle w:val="ListBullet"/>
        <w:spacing w:before="20" w:after="60" w:line="264" w:lineRule="auto"/>
        <w:ind w:left="504"/>
      </w:pPr>
      <w:r>
        <w:rPr>
          <w:rFonts w:ascii="Calibri" w:hAnsi="Calibri" w:eastAsia="Calibri"/>
          <w:b w:val="0"/>
          <w:i w:val="0"/>
          <w:color w:val="1C1C1C"/>
          <w:sz w:val="21"/>
        </w:rPr>
        <w:t>Calculate key accuracy metrics: MAPE (Mean Absolute Percentage Error), RMSE, and bias.</w:t>
      </w:r>
    </w:p>
    <w:p>
      <w:pPr>
        <w:pStyle w:val="ListBullet"/>
        <w:spacing w:before="20" w:after="60" w:line="264" w:lineRule="auto"/>
        <w:ind w:left="504"/>
      </w:pPr>
      <w:r>
        <w:rPr>
          <w:rFonts w:ascii="Calibri" w:hAnsi="Calibri" w:eastAsia="Calibri"/>
          <w:b w:val="0"/>
          <w:i w:val="0"/>
          <w:color w:val="1C1C1C"/>
          <w:sz w:val="21"/>
        </w:rPr>
        <w:t>Compare model forecasts to historical manual ordering quantities and document the gap.</w:t>
      </w:r>
    </w:p>
    <w:p>
      <w:pPr>
        <w:pStyle w:val="ListBullet"/>
        <w:spacing w:before="20" w:after="60" w:line="264" w:lineRule="auto"/>
        <w:ind w:left="504"/>
      </w:pPr>
      <w:r>
        <w:rPr>
          <w:rFonts w:ascii="Calibri" w:hAnsi="Calibri" w:eastAsia="Calibri"/>
          <w:b w:val="0"/>
          <w:i w:val="0"/>
          <w:color w:val="1C1C1C"/>
          <w:sz w:val="21"/>
        </w:rPr>
        <w:t>Perform sensitivity analysis: how model accuracy changes across outlet types, meal periods, and seasons.</w:t>
      </w:r>
    </w:p>
    <w:p>
      <w:pPr>
        <w:pStyle w:val="ListBullet"/>
        <w:spacing w:before="20" w:after="60" w:line="264" w:lineRule="auto"/>
        <w:ind w:left="504"/>
      </w:pPr>
      <w:r>
        <w:rPr>
          <w:rFonts w:ascii="Calibri" w:hAnsi="Calibri" w:eastAsia="Calibri"/>
          <w:b w:val="0"/>
          <w:i w:val="0"/>
          <w:color w:val="1C1C1C"/>
          <w:sz w:val="21"/>
        </w:rPr>
        <w:t>Document forecast accuracy at multiple granularities: daily, weekly, item-level, and location-level.</w:t>
      </w:r>
    </w:p>
    <w:p>
      <w:pPr>
        <w:pStyle w:val="ListBullet"/>
        <w:spacing w:before="20" w:after="60" w:line="264" w:lineRule="auto"/>
        <w:ind w:left="504"/>
      </w:pPr>
      <w:r>
        <w:rPr>
          <w:rFonts w:ascii="Calibri" w:hAnsi="Calibri" w:eastAsia="Calibri"/>
          <w:b w:val="0"/>
          <w:i w:val="0"/>
          <w:color w:val="1C1C1C"/>
          <w:sz w:val="21"/>
        </w:rPr>
        <w:t>Quantify estimated waste reduction, stock-out reduction, and procurement cost savings if model recommendations had been followed historically.</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Validation report with accuracy metrics; before/after comparison tables; estimated impact quantification; model selection rationale.</w:t>
      </w:r>
    </w:p>
    <w:p>
      <w:pPr>
        <w:pStyle w:val="Heading2"/>
      </w:pPr>
      <w:r>
        <w:rPr>
          <w:rFonts w:ascii="Calibri" w:hAnsi="Calibri" w:eastAsia="Calibri"/>
          <w:b/>
          <w:i w:val="0"/>
          <w:color w:val="1B4F72"/>
          <w:sz w:val="26"/>
        </w:rPr>
        <w:t>Stage 6: Deployment — Dashboard and Forecast Reporting System  (Weeks 17–20)</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deploy phase. The models must move beyond code into a usable decision-support tool that Sodexo managers can act on. Deployment produces the operational evidence that the system is live and in institutional use.</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Build a manager-facing forecast dashboard: next-week meal demand by outlet, recommended production quantities, recommended order quantities, and inventory alert flags.</w:t>
      </w:r>
    </w:p>
    <w:p>
      <w:pPr>
        <w:pStyle w:val="ListBullet"/>
        <w:spacing w:before="20" w:after="60" w:line="264" w:lineRule="auto"/>
        <w:ind w:left="504"/>
      </w:pPr>
      <w:r>
        <w:rPr>
          <w:rFonts w:ascii="Calibri" w:hAnsi="Calibri" w:eastAsia="Calibri"/>
          <w:b w:val="0"/>
          <w:i w:val="0"/>
          <w:color w:val="1C1C1C"/>
          <w:sz w:val="21"/>
        </w:rPr>
        <w:t>Automate weekly forecast generation: scheduled pipeline runs produce updated forecasts every Sunday for the following week.</w:t>
      </w:r>
    </w:p>
    <w:p>
      <w:pPr>
        <w:pStyle w:val="ListBullet"/>
        <w:spacing w:before="20" w:after="60" w:line="264" w:lineRule="auto"/>
        <w:ind w:left="504"/>
      </w:pPr>
      <w:r>
        <w:rPr>
          <w:rFonts w:ascii="Calibri" w:hAnsi="Calibri" w:eastAsia="Calibri"/>
          <w:b w:val="0"/>
          <w:i w:val="0"/>
          <w:color w:val="1C1C1C"/>
          <w:sz w:val="21"/>
        </w:rPr>
        <w:t>Integrate GrubHub real-time order data as a live input feature where feasible.</w:t>
      </w:r>
    </w:p>
    <w:p>
      <w:pPr>
        <w:pStyle w:val="ListBullet"/>
        <w:spacing w:before="20" w:after="60" w:line="264" w:lineRule="auto"/>
        <w:ind w:left="504"/>
      </w:pPr>
      <w:r>
        <w:rPr>
          <w:rFonts w:ascii="Calibri" w:hAnsi="Calibri" w:eastAsia="Calibri"/>
          <w:b w:val="0"/>
          <w:i w:val="0"/>
          <w:color w:val="1C1C1C"/>
          <w:sz w:val="21"/>
        </w:rPr>
        <w:t>Conduct manager training sessions and document attendance and feedback.</w:t>
      </w:r>
    </w:p>
    <w:p>
      <w:pPr>
        <w:pStyle w:val="ListBullet"/>
        <w:spacing w:before="20" w:after="60" w:line="264" w:lineRule="auto"/>
        <w:ind w:left="504"/>
      </w:pPr>
      <w:r>
        <w:rPr>
          <w:rFonts w:ascii="Calibri" w:hAnsi="Calibri" w:eastAsia="Calibri"/>
          <w:b w:val="0"/>
          <w:i w:val="0"/>
          <w:color w:val="1C1C1C"/>
          <w:sz w:val="21"/>
        </w:rPr>
        <w:t>Track actual versus forecast accuracy in production for four to six weeks.</w:t>
      </w:r>
    </w:p>
    <w:p>
      <w:pPr>
        <w:pStyle w:val="ListBullet"/>
        <w:spacing w:before="20" w:after="60" w:line="264" w:lineRule="auto"/>
        <w:ind w:left="504"/>
      </w:pPr>
      <w:r>
        <w:rPr>
          <w:rFonts w:ascii="Calibri" w:hAnsi="Calibri" w:eastAsia="Calibri"/>
          <w:b w:val="0"/>
          <w:i w:val="0"/>
          <w:color w:val="1C1C1C"/>
          <w:sz w:val="21"/>
        </w:rPr>
        <w:t>Collect operational outcome data: actual waste, stock-outs, and ordering adjustments made based on forecasts.</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Deployed dashboard; automated forecasting pipeline; manager sign-off documentation; post-deployment accuracy log; manager feedback records.</w:t>
      </w:r>
    </w:p>
    <w:p>
      <w:pPr>
        <w:pStyle w:val="Heading2"/>
      </w:pPr>
      <w:r>
        <w:rPr>
          <w:rFonts w:ascii="Calibri" w:hAnsi="Calibri" w:eastAsia="Calibri"/>
          <w:b/>
          <w:i w:val="0"/>
          <w:color w:val="1B4F72"/>
          <w:sz w:val="26"/>
        </w:rPr>
        <w:t>Stage 7: Public Dissemination and Scholarly Communication  (Weeks 21–26)</w:t>
      </w:r>
    </w:p>
    <w:p>
      <w:pPr>
        <w:spacing w:before="40" w:after="80" w:line="269" w:lineRule="auto"/>
      </w:pPr>
      <w:r>
        <w:rPr>
          <w:rFonts w:ascii="Calibri" w:hAnsi="Calibri" w:eastAsia="Calibri"/>
          <w:b/>
          <w:i/>
          <w:color w:val="1B4F72"/>
          <w:sz w:val="21"/>
        </w:rPr>
        <w:t xml:space="preserve">Rationale. </w:t>
      </w:r>
      <w:r>
        <w:rPr>
          <w:rFonts w:ascii="Calibri" w:hAnsi="Calibri" w:eastAsia="Calibri"/>
          <w:b w:val="0"/>
          <w:i w:val="0"/>
          <w:color w:val="1C1C1C"/>
          <w:sz w:val="21"/>
        </w:rPr>
        <w:t>This is the publicly disseminate phase—the final and most NIW-critical stage. Dissemination transforms a workplace project into a publicly recognized contribution. Adjudicators expect evidence that the work is available to and usable by the broader field.</w:t>
      </w:r>
    </w:p>
    <w:p>
      <w:pPr>
        <w:spacing w:before="80" w:after="40" w:line="276" w:lineRule="auto"/>
      </w:pPr>
      <w:r>
        <w:rPr>
          <w:rFonts w:ascii="Calibri" w:hAnsi="Calibri" w:eastAsia="Calibri"/>
          <w:b/>
          <w:i w:val="0"/>
          <w:color w:val="2C3E50"/>
          <w:sz w:val="21"/>
        </w:rPr>
        <w:t>Key Actions</w:t>
      </w:r>
    </w:p>
    <w:p>
      <w:pPr>
        <w:pStyle w:val="ListBullet"/>
        <w:spacing w:before="20" w:after="60" w:line="264" w:lineRule="auto"/>
        <w:ind w:left="504"/>
      </w:pPr>
      <w:r>
        <w:rPr>
          <w:rFonts w:ascii="Calibri" w:hAnsi="Calibri" w:eastAsia="Calibri"/>
          <w:b w:val="0"/>
          <w:i w:val="0"/>
          <w:color w:val="1C1C1C"/>
          <w:sz w:val="21"/>
        </w:rPr>
        <w:t>De-identify all datasets and findings (aggregate-level results only; no individual student data).</w:t>
      </w:r>
    </w:p>
    <w:p>
      <w:pPr>
        <w:pStyle w:val="ListBullet"/>
        <w:spacing w:before="20" w:after="60" w:line="264" w:lineRule="auto"/>
        <w:ind w:left="504"/>
      </w:pPr>
      <w:r>
        <w:rPr>
          <w:rFonts w:ascii="Calibri" w:hAnsi="Calibri" w:eastAsia="Calibri"/>
          <w:b w:val="0"/>
          <w:i w:val="0"/>
          <w:color w:val="1C1C1C"/>
          <w:sz w:val="21"/>
        </w:rPr>
        <w:t>Write a technical paper or case study titled approximately: Integrated Predictive Analytics for Multi-Outlet Campus Dining: A Scalable Framework for Institutional Supply and Demand Forecasting—targeting a food service management, operations research, or public health venue (e.g., Journal of Foodservice Business Research, INFORMS Annual Meeting, Academy of Nutrition and Dietetics conference).</w:t>
      </w:r>
    </w:p>
    <w:p>
      <w:pPr>
        <w:pStyle w:val="ListBullet"/>
        <w:spacing w:before="20" w:after="60" w:line="264" w:lineRule="auto"/>
        <w:ind w:left="504"/>
      </w:pPr>
      <w:r>
        <w:rPr>
          <w:rFonts w:ascii="Calibri" w:hAnsi="Calibri" w:eastAsia="Calibri"/>
          <w:b w:val="0"/>
          <w:i w:val="0"/>
          <w:color w:val="1C1C1C"/>
          <w:sz w:val="21"/>
        </w:rPr>
        <w:t>Publish an open-source code repository on GitHub with full documentation.</w:t>
      </w:r>
    </w:p>
    <w:p>
      <w:pPr>
        <w:pStyle w:val="ListBullet"/>
        <w:spacing w:before="20" w:after="60" w:line="264" w:lineRule="auto"/>
        <w:ind w:left="504"/>
      </w:pPr>
      <w:r>
        <w:rPr>
          <w:rFonts w:ascii="Calibri" w:hAnsi="Calibri" w:eastAsia="Calibri"/>
          <w:b w:val="0"/>
          <w:i w:val="0"/>
          <w:color w:val="1C1C1C"/>
          <w:sz w:val="21"/>
        </w:rPr>
        <w:t>Present findings at an internal Sodexo district or regional meeting and request a letter from management confirming the presentation and its reception.</w:t>
      </w:r>
    </w:p>
    <w:p>
      <w:pPr>
        <w:pStyle w:val="ListBullet"/>
        <w:spacing w:before="20" w:after="60" w:line="264" w:lineRule="auto"/>
        <w:ind w:left="504"/>
      </w:pPr>
      <w:r>
        <w:rPr>
          <w:rFonts w:ascii="Calibri" w:hAnsi="Calibri" w:eastAsia="Calibri"/>
          <w:b w:val="0"/>
          <w:i w:val="0"/>
          <w:color w:val="1C1C1C"/>
          <w:sz w:val="21"/>
        </w:rPr>
        <w:t>Write a public blog post or LinkedIn article summarizing the project and its scalability to health institutions.</w:t>
      </w:r>
    </w:p>
    <w:p>
      <w:pPr>
        <w:pStyle w:val="ListBullet"/>
        <w:spacing w:before="20" w:after="60" w:line="264" w:lineRule="auto"/>
        <w:ind w:left="504"/>
      </w:pPr>
      <w:r>
        <w:rPr>
          <w:rFonts w:ascii="Calibri" w:hAnsi="Calibri" w:eastAsia="Calibri"/>
          <w:b w:val="0"/>
          <w:i w:val="0"/>
          <w:color w:val="1C1C1C"/>
          <w:sz w:val="21"/>
        </w:rPr>
        <w:t>Document the replicability argument: Sodexo operates hundreds of U.S. healthcare and campus dining accounts—frame the system as deployable across them.</w:t>
      </w:r>
    </w:p>
    <w:p>
      <w:pPr>
        <w:spacing w:before="80" w:after="160" w:line="269" w:lineRule="auto"/>
      </w:pPr>
      <w:r>
        <w:rPr>
          <w:rFonts w:ascii="Calibri" w:hAnsi="Calibri" w:eastAsia="Calibri"/>
          <w:b/>
          <w:i w:val="0"/>
          <w:color w:val="1B4F72"/>
          <w:sz w:val="21"/>
        </w:rPr>
        <w:t xml:space="preserve">Deliverable. </w:t>
      </w:r>
      <w:r>
        <w:rPr>
          <w:rFonts w:ascii="Calibri" w:hAnsi="Calibri" w:eastAsia="Calibri"/>
          <w:b w:val="0"/>
          <w:i w:val="0"/>
          <w:color w:val="1C1C1C"/>
          <w:sz w:val="21"/>
        </w:rPr>
        <w:t>Submitted or published paper; open-source GitHub repository; presentation records; manager/supervisor letter confirming project value; public blog post or article.</w:t>
      </w:r>
    </w:p>
    <w:p>
      <w:pPr>
        <w:pStyle w:val="Heading1"/>
        <w:pBdr>
          <w:bottom w:val="single" w:sz="12" w:space="4" w:color="1B4F72"/>
        </w:pBdr>
      </w:pPr>
      <w:r>
        <w:rPr>
          <w:rFonts w:ascii="Calibri" w:hAnsi="Calibri" w:eastAsia="Calibri"/>
          <w:b/>
          <w:i w:val="0"/>
          <w:color w:val="1B4F72"/>
          <w:sz w:val="32"/>
        </w:rPr>
        <w:t>7. Impact Metrics: What to Measure from Day One</w:t>
      </w:r>
    </w:p>
    <w:p>
      <w:pPr>
        <w:spacing w:before="0" w:after="160" w:line="276" w:lineRule="auto"/>
      </w:pPr>
      <w:r>
        <w:rPr>
          <w:rFonts w:ascii="Calibri" w:hAnsi="Calibri" w:eastAsia="Calibri"/>
          <w:b w:val="0"/>
          <w:i w:val="0"/>
          <w:color w:val="1C1C1C"/>
          <w:sz w:val="22"/>
        </w:rPr>
        <w:t>NIW adjudicators look for measurable national benefit. Record a pre-deployment baseline for every metric below, then track continuously after models go live. Each metric is chosen both for operational value at Sodexo SLU and for its evidentiary weight in the NIW petition.</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Metric</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How to Measure</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Why It Matters for NIW</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Forecast accuracy (MAPE) for meal demand</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Compute weekly MAPE of model forecasts versus actual meal swipes/orders by outlet and meal period; compare to historical manual forecast error.</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Quantifies technical rigor and demonstrated improvement over the institutional baseline.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Food waste reduction (lbs and $)</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Compare pre- and post-deployment waste logs (quantity and dollar value) attributable to improved production forecasting.</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Provides tangible economic and environmental impact evidence at institutional scale.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Stock-out incident reduction</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Count stock-out incidents by item and outlet before versus after deployment.</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Demonstrates operational reliability improvement—service continuity is a national institutional interest.</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Procurement cost savings ($)</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Measure the differential between model-recommended ordering cost and actual (or historical manual) ordering cost.</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Supplies hard financial impact evidence transferable to health-system supply chains.</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GrubHub order forecast accuracy</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Compare predicted versus actual daily GrubHub orders by outlet and time window.</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Demonstrates behavioral-data integration capability—a differentiator for health-institution demand models.</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Meal plan utilization forecast accuracy</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Compare predicted versus actual meal swipes per enrolled student by plan tier.</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Shows population-level modeling skill analogous to patient-panel utilization forecasting.</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Manager adoption rate</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Track the number of managers consulting the forecast dashboard each week and actions taken on recommendations.</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Constitutes deployment evidence: the system is in real institutional use, not merely a research prototype.</w:t>
            </w:r>
          </w:p>
        </w:tc>
      </w:tr>
      <w:tr>
        <w:trPr>
          <w:cantSplit/>
        </w:trPr>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Estimated replicability scope</w:t>
            </w:r>
          </w:p>
        </w:tc>
        <w:tc>
          <w:tcPr>
            <w:tcW w:type="dxa" w:w="3456"/>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Document the number of Sodexo U.S. campus and healthcare sites where the architecture could be deployed.</w:t>
            </w:r>
          </w:p>
        </w:tc>
        <w:tc>
          <w:tcPr>
            <w:tcW w:type="dxa" w:w="331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Establishes the national scale of potential benefit required for the NIW substantial-merit and national-importance prongs.</w:t>
            </w:r>
          </w:p>
        </w:tc>
      </w:tr>
    </w:tbl>
    <w:p>
      <w:pPr>
        <w:spacing w:before="0" w:after="80" w:line="276" w:lineRule="auto"/>
      </w:pPr>
    </w:p>
    <w:p>
      <w:pPr>
        <w:pStyle w:val="Heading1"/>
        <w:pBdr>
          <w:bottom w:val="single" w:sz="12" w:space="4" w:color="1B4F72"/>
        </w:pBdr>
      </w:pPr>
      <w:r>
        <w:rPr>
          <w:rFonts w:ascii="Calibri" w:hAnsi="Calibri" w:eastAsia="Calibri"/>
          <w:b/>
          <w:i w:val="0"/>
          <w:color w:val="1B4F72"/>
          <w:sz w:val="32"/>
        </w:rPr>
        <w:t>8. Scalability to Health Institutions: The NIW Bridge</w:t>
      </w:r>
    </w:p>
    <w:p>
      <w:pPr>
        <w:spacing w:before="0" w:after="160" w:line="276" w:lineRule="auto"/>
      </w:pPr>
      <w:r>
        <w:rPr>
          <w:rFonts w:ascii="Calibri" w:hAnsi="Calibri" w:eastAsia="Calibri"/>
          <w:b w:val="0"/>
          <w:i w:val="0"/>
          <w:color w:val="1C1C1C"/>
          <w:sz w:val="22"/>
        </w:rPr>
        <w:t>Sodexo is one of the largest food and facilities management companies in the United States. Beyond university campuses, the company operates extensively in hospitals, long-term care facilities, and senior living communities through its Healthcare &amp; Seniors segment. The author's employment at SLU Dining therefore places the work inside the same organization that already serves health institutions. The path from Phase I (campus dining) to Phase II (hospital food and nutrition services) is an internal organizational pathway, not a speculative leap to an unrelated industry.</w:t>
      </w:r>
    </w:p>
    <w:p>
      <w:pPr>
        <w:spacing w:before="0" w:after="160" w:line="276" w:lineRule="auto"/>
      </w:pPr>
      <w:r>
        <w:rPr>
          <w:rFonts w:ascii="Calibri" w:hAnsi="Calibri" w:eastAsia="Calibri"/>
          <w:b w:val="0"/>
          <w:i w:val="0"/>
          <w:color w:val="1C1C1C"/>
          <w:sz w:val="22"/>
        </w:rPr>
        <w:t>The data pipeline and forecasting architecture developed in Phase I require no conceptual redesign to apply in Phase II or Phase III. Only the source systems change. Utilization becomes patient census and clinic visits instead of meal swipes; procurement becomes medical-supply and pharmaceutical purchase orders instead of food POs; inventory becomes pharmacy and sterile-supply stock instead of walk-in coolers; population context becomes catchment-area demographics instead of enrollment census; and clinical outcomes replace nutrition profiles as the fifth domain. The ETL design, feature engineering patterns, model families (SARIMA, Prophet, gradient boosting), validation protocol (MAPE, RMSE, held-out testing), and deployment pattern (manager dashboards, scheduled pipelines) remain the same.</w:t>
      </w:r>
    </w:p>
    <w:p>
      <w:pPr>
        <w:spacing w:before="0" w:after="160" w:line="276" w:lineRule="auto"/>
      </w:pPr>
      <w:r>
        <w:rPr>
          <w:rFonts w:ascii="Calibri" w:hAnsi="Calibri" w:eastAsia="Calibri"/>
          <w:b w:val="0"/>
          <w:i w:val="0"/>
          <w:color w:val="1C1C1C"/>
          <w:sz w:val="22"/>
        </w:rPr>
        <w:t>Methodological equivalence is not rhetorical. Demand forecasting for a university population is structurally identical to patient-flow forecasting: a bounded population consuming a service at rates driven by calendar, exogenous shocks, and individual behavioral patterns. Inventory optimization for perishable food is methodologically equivalent to pharmaceutical and medical-supply chain optimization—lead times, fill rates, spoilage, and stock-out costs obey the same mathematics. Population-level nutrition modeling is a direct upstream input to chronic-disease risk forecasting, linking the campus clinical analog to the endeavor's ultimate forecast targets.</w:t>
      </w:r>
    </w:p>
    <w:p>
      <w:pPr>
        <w:spacing w:before="0" w:after="160" w:line="276" w:lineRule="auto"/>
      </w:pPr>
      <w:r>
        <w:rPr>
          <w:rFonts w:ascii="Calibri" w:hAnsi="Calibri" w:eastAsia="Calibri"/>
          <w:b w:val="0"/>
          <w:i w:val="0"/>
          <w:color w:val="1C1C1C"/>
          <w:sz w:val="22"/>
        </w:rPr>
        <w:t>The campus dining project is therefore not a detour from the NIW proposed endeavor—it is the proof of concept. It gives the author a validated, deployed, and publicly disseminated system to cite when demonstrating that the endeavor is feasible, already in execution, and capable of scaling from a multi-outlet campus food institution to Sodexo's healthcare accounts and, ultimately, to U.S. health institutions at large. Phase I produces the evidence; Phases II and III apply it where national health-system impact is greatest.</w:t>
      </w:r>
    </w:p>
    <w:p>
      <w:pPr>
        <w:pStyle w:val="Heading1"/>
        <w:pBdr>
          <w:bottom w:val="single" w:sz="12" w:space="4" w:color="1B4F72"/>
        </w:pBdr>
      </w:pPr>
      <w:r>
        <w:rPr>
          <w:rFonts w:ascii="Calibri" w:hAnsi="Calibri" w:eastAsia="Calibri"/>
          <w:b/>
          <w:i w:val="0"/>
          <w:color w:val="1B4F72"/>
          <w:sz w:val="32"/>
        </w:rPr>
        <w:t>9. Data Ethics, Permissions, and Documentation Checklist</w:t>
      </w:r>
    </w:p>
    <w:p>
      <w:pPr>
        <w:spacing w:before="0" w:after="160" w:line="276" w:lineRule="auto"/>
      </w:pPr>
      <w:r>
        <w:rPr>
          <w:rFonts w:ascii="Calibri" w:hAnsi="Calibri" w:eastAsia="Calibri"/>
          <w:b w:val="0"/>
          <w:i w:val="0"/>
          <w:color w:val="1C1C1C"/>
          <w:sz w:val="22"/>
        </w:rPr>
        <w:t>Every item below must be completed and documented. Written permissions and de-identification controls are non-negotiable prerequisites for both ethical practice and eventual public dissemination under the NIW endeavor.</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Obtain written permission from the Sodexo General Manager and/or District Manager authorizing the project and external publication of de-identified findings.</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Confirm with SLU that use of meal plan enrollment and swipe data in aggregated form does not require FERPA review; if in doubt, request an IRB or FERPA exemption determination in writing.</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Ensure all student-level data used is aggregated or de-identified—no individual student records in any deliverable, publication, or repository.</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Confirm GrubHub data use rights with Sodexo management; document what backend data may be referenced in external publications.</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Maintain a project log recording meeting dates, decisions, approvals, and system access granted.</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Build and maintain a Master Data Dictionary—itself a project deliverable of an integrated analytics system.</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Collect a supervisor letter describing the project, the author's role in it, and its business and national value.</w:t>
      </w:r>
    </w:p>
    <w:p>
      <w:pPr>
        <w:spacing w:before="40" w:after="80" w:line="269" w:lineRule="auto"/>
        <w:ind w:left="216"/>
      </w:pPr>
      <w:r>
        <w:rPr>
          <w:rFonts w:ascii="Calibri" w:hAnsi="Calibri" w:eastAsia="Calibri"/>
          <w:b w:val="0"/>
          <w:i w:val="0"/>
          <w:color w:val="1B4F72"/>
          <w:sz w:val="22"/>
        </w:rPr>
        <w:t xml:space="preserve">☐  </w:t>
      </w:r>
      <w:r>
        <w:rPr>
          <w:rFonts w:ascii="Calibri" w:hAnsi="Calibri" w:eastAsia="Calibri"/>
          <w:b w:val="0"/>
          <w:i w:val="0"/>
          <w:color w:val="1C1C1C"/>
          <w:sz w:val="21"/>
        </w:rPr>
        <w:t>Archive all dashboards, model outputs, reports, and code in a version-controlled repository.</w:t>
      </w:r>
    </w:p>
    <w:p>
      <w:pPr>
        <w:pStyle w:val="Heading1"/>
        <w:pBdr>
          <w:bottom w:val="single" w:sz="12" w:space="4" w:color="1B4F72"/>
        </w:pBdr>
      </w:pPr>
      <w:r>
        <w:rPr>
          <w:rFonts w:ascii="Calibri" w:hAnsi="Calibri" w:eastAsia="Calibri"/>
          <w:b/>
          <w:i w:val="0"/>
          <w:color w:val="1B4F72"/>
          <w:sz w:val="32"/>
        </w:rPr>
        <w:t>10. Alignment Summary: One-Page NIW Narrative Aid</w:t>
      </w:r>
    </w:p>
    <w:p>
      <w:pPr>
        <w:spacing w:before="0" w:after="160" w:line="276" w:lineRule="auto"/>
      </w:pPr>
      <w:r>
        <w:rPr>
          <w:rFonts w:ascii="Calibri" w:hAnsi="Calibri" w:eastAsia="Calibri"/>
          <w:b w:val="0"/>
          <w:i w:val="0"/>
          <w:color w:val="1C1C1C"/>
          <w:sz w:val="22"/>
        </w:rPr>
        <w:t>The table below maps each verb of the NIW proposed endeavor to the concrete project deliverable that satisfies it. Use this as a one-page reference when drafting petition letters, personal statements, and recommendation request briefs.</w:t>
      </w:r>
    </w:p>
    <w:tbl>
      <w:tblPr>
        <w:tblStyle w:val="TableGrid"/>
        <w:tblW w:type="pct" w:w="5000"/>
        <w:jc w:val="center"/>
        <w:tblLayout w:type="autofit"/>
        <w:tblLook w:firstColumn="1" w:firstRow="1" w:lastColumn="0" w:lastRow="0" w:noHBand="0" w:noVBand="1" w:val="04A0"/>
      </w:tblPr>
      <w:tblGrid>
        <w:gridCol w:w="3120"/>
        <w:gridCol w:w="3120"/>
        <w:gridCol w:w="3120"/>
      </w:tblGrid>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NIW Endeavor Verb</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What It Means</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1B4F72" w:val="clear"/>
          </w:tcPr>
          <w:p>
            <w:pPr>
              <w:spacing w:before="40" w:after="40" w:line="259" w:lineRule="auto"/>
              <w:jc w:val="left"/>
            </w:pPr>
            <w:r>
              <w:rPr>
                <w:rFonts w:ascii="Calibri" w:hAnsi="Calibri" w:eastAsia="Calibri"/>
                <w:b/>
                <w:i w:val="0"/>
                <w:color w:val="FFFFFF"/>
                <w:sz w:val="19"/>
              </w:rPr>
              <w:t>How This Project Satisfies It</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Develop</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Build the integrated analytics system</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ETL pipeline, unified data model, and forecasting models (Python, SQL, GrubHub + POS + inventory + enrollment integration) covering all five endeavor data-domain analogs.</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Validate</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Prove it works with measurable accuracy</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Backtested accuracy metrics (MAPE, RMSE), before/after comparison versus manual ordering, and held-out test-set validation with documented impact quantification.</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i w:val="0"/>
                <w:color w:val="1C1C1C"/>
                <w:sz w:val="18"/>
              </w:rPr>
              <w:t>Deploy</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Put it into real institutional use</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FFFFF" w:val="clear"/>
          </w:tcPr>
          <w:p>
            <w:pPr>
              <w:spacing w:before="40" w:after="40" w:line="259" w:lineRule="auto"/>
              <w:jc w:val="left"/>
            </w:pPr>
            <w:r>
              <w:rPr>
                <w:rFonts w:ascii="Calibri" w:hAnsi="Calibri" w:eastAsia="Calibri"/>
                <w:b w:val="0"/>
                <w:i w:val="0"/>
                <w:color w:val="1C1C1C"/>
                <w:sz w:val="18"/>
              </w:rPr>
              <w:t>Live forecast dashboard used weekly by Sodexo SLU managers; automated forecasting pipeline in production; manager sign-off and usage logs.</w:t>
            </w:r>
          </w:p>
        </w:tc>
      </w:tr>
      <w:tr>
        <w:trPr>
          <w:cantSplit/>
        </w:trPr>
        <w:tc>
          <w:tcPr>
            <w:tcW w:type="dxa" w:w="2160"/>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i w:val="0"/>
                <w:color w:val="1C1C1C"/>
                <w:sz w:val="18"/>
              </w:rPr>
              <w:t>Publicly disseminate</w:t>
            </w:r>
          </w:p>
        </w:tc>
        <w:tc>
          <w:tcPr>
            <w:tcW w:type="dxa" w:w="2592"/>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Make it available to the field</w:t>
            </w:r>
          </w:p>
        </w:tc>
        <w:tc>
          <w:tcPr>
            <w:tcW w:type="dxa" w:w="4608"/>
            <w:tcBorders>
              <w:top w:val="single" w:sz="4" w:space="0" w:color="1B4F72"/>
              <w:left w:val="single" w:sz="4" w:space="0" w:color="1B4F72"/>
              <w:bottom w:val="single" w:sz="4" w:space="0" w:color="1B4F72"/>
              <w:right w:val="single" w:sz="4" w:space="0" w:color="1B4F72"/>
            </w:tcBorders>
            <w:tcMar>
              <w:top w:w="40" w:type="dxa"/>
              <w:left w:w="60" w:type="dxa"/>
              <w:bottom w:w="40" w:type="dxa"/>
              <w:right w:w="60" w:type="dxa"/>
            </w:tcMar>
            <w:vAlign w:val="center"/>
            <w:shd w:fill="F4F8FB" w:val="clear"/>
          </w:tcPr>
          <w:p>
            <w:pPr>
              <w:spacing w:before="40" w:after="40" w:line="259" w:lineRule="auto"/>
              <w:jc w:val="left"/>
            </w:pPr>
            <w:r>
              <w:rPr>
                <w:rFonts w:ascii="Calibri" w:hAnsi="Calibri" w:eastAsia="Calibri"/>
                <w:b w:val="0"/>
                <w:i w:val="0"/>
                <w:color w:val="1C1C1C"/>
                <w:sz w:val="18"/>
              </w:rPr>
              <w:t>Journal or conference paper, open-source GitHub repository, public blog/LinkedIn article, and Sodexo internal presentation with management confirmation letter.</w:t>
            </w:r>
          </w:p>
        </w:tc>
      </w:tr>
    </w:tbl>
    <w:p>
      <w:pPr>
        <w:spacing w:before="0" w:after="120" w:line="276" w:lineRule="auto"/>
      </w:pPr>
    </w:p>
    <w:p>
      <w:pPr>
        <w:spacing w:before="120" w:after="160" w:line="276" w:lineRule="auto"/>
      </w:pPr>
      <w:r>
        <w:rPr>
          <w:rFonts w:ascii="Calibri" w:hAnsi="Calibri" w:eastAsia="Calibri"/>
          <w:b w:val="0"/>
          <w:i w:val="0"/>
          <w:color w:val="1C1C1C"/>
          <w:sz w:val="22"/>
        </w:rPr>
        <w:t>Every deliverable produced under this blueprint is simultaneously a piece of professional work at Sodexo SLU Dining and a documented contribution to the author's NIW proposed endeavor. These are not parallel or competing activities. They are a single integrated project—executed in a real multi-outlet institutional environment, measured against operational baselines, deployed into managerial practice, and prepared for public dissemination—constituting Phase I of a scalable forecasting framework for U.S. health institutions.</w:t>
      </w:r>
    </w:p>
    <w:p>
      <w:pPr>
        <w:spacing w:before="240" w:after="120" w:line="276" w:lineRule="auto"/>
        <w:pBdr>
          <w:bottom w:val="single" w:sz="12" w:space="4" w:color="1B4F72"/>
        </w:pBdr>
      </w:pPr>
    </w:p>
    <w:p>
      <w:pPr>
        <w:spacing w:before="80" w:after="0" w:line="276" w:lineRule="auto"/>
        <w:jc w:val="center"/>
      </w:pPr>
      <w:r>
        <w:rPr>
          <w:rFonts w:ascii="Calibri" w:hAnsi="Calibri" w:eastAsia="Calibri"/>
          <w:b w:val="0"/>
          <w:i/>
          <w:color w:val="555555"/>
          <w:sz w:val="19"/>
        </w:rPr>
        <w:t>Guiding principle: every artifact produced at Sodexo SLU Dining should be describable as combining procurement, inventory, utilization, nutrition, and population data to forecast demand and supply needs for an institution serving a defined population—the NIW endeavor in action.</w:t>
      </w:r>
    </w:p>
    <w:sectPr w:rsidR="00FC693F" w:rsidRPr="0006063C" w:rsidSect="00034616">
      <w:headerReference w:type="first" r:id="rId9"/>
      <w:headerReference w:type="default" r:id="rId10"/>
      <w:footerReference w:type="defaul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76" w:lineRule="auto"/>
      <w:jc w:val="center"/>
    </w:pPr>
    <w:r>
      <w:rPr>
        <w:rFonts w:ascii="Calibri" w:hAnsi="Calibri" w:eastAsia="Calibri"/>
        <w:b w:val="0"/>
        <w:i w:val="0"/>
        <w:color w:val="555555"/>
        <w:sz w:val="16"/>
      </w:rPr>
      <w:t>Sodexo SLU Dining  ·  EB-2 NIW Continuation Project  ·  Phase I Blueprint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Sodexo SLU Dining  ·  EB-2 NIW Continuation Project  ·  Phase I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eastAsia="Calibri"/>
        <w:b w:val="0"/>
        <w:i/>
        <w:color w:val="555555"/>
        <w:sz w:val="16"/>
      </w:rPr>
      <w:t>Working Document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76" w:lineRule="auto"/>
      <w:jc w:val="left"/>
      <w:tabs>
        <w:tab w:val="right" w:pos="9360"/>
      </w:tabs>
      <w:pBdr>
        <w:bottom w:val="single" w:sz="6" w:space="4" w:color="BFBFBF"/>
      </w:pBdr>
    </w:pPr>
    <w:r>
      <w:rPr>
        <w:rFonts w:ascii="Calibri" w:hAnsi="Calibri" w:eastAsia="Calibri"/>
        <w:b w:val="0"/>
        <w:i w:val="0"/>
        <w:color w:val="555555"/>
        <w:sz w:val="17"/>
      </w:rPr>
      <w:t>Sodexo SLU Dining – NIW Continuation Project Blueprint</w:t>
    </w:r>
    <w:r>
      <w:tab/>
    </w:r>
    <w:r>
      <w:fldChar w:fldCharType="begin"/>
    </w:r>
    <w:r>
      <w:instrText xml:space="preserve"> PAGE </w:instrText>
    </w:r>
    <w:r>
      <w:fldChar w:fldCharType="separate"/>
    </w:r>
    <w:r>
      <w:rPr>
        <w:rFonts w:ascii="Calibri" w:hAnsi="Calibri" w:eastAsia="Calibri"/>
        <w:b w:val="0"/>
        <w:i w:val="0"/>
        <w:color w:val="555555"/>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Calibri" w:hAnsi="Calibri" w:eastAsia="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eastAsia="Calibr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Ajibola Ashaolu</dc:creator>
  <cp:keywords>Sodexo; Saint Louis University; inventory analytics; demand forecasting; EB-2 NIW</cp:keywords>
  <dc:description/>
  <cp:lastModifiedBy>Olawale Ajibola Ashaolu</cp:lastModifiedBy>
  <cp:revision>1</cp:revision>
  <dcterms:created xsi:type="dcterms:W3CDTF">2013-12-23T23:15:00Z</dcterms:created>
  <dcterms:modified xsi:type="dcterms:W3CDTF">2026-10-15T14:00:00Z</dcterms:modified>
  <cp:category/>
</cp:coreProperties>
</file>