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40"/>
        </w:rPr>
        <w:t>Part2 Iteration 1 NLLB Evaluation</w:t>
      </w:r>
    </w:p>
    <w:p>
      <w:pPr>
        <w:spacing w:after="240"/>
      </w:pPr>
      <w:r>
        <w:rPr>
          <w:rFonts w:ascii="Aptos" w:hAnsi="Aptos"/>
          <w:b w:val="0"/>
          <w:color w:val="404040"/>
          <w:sz w:val="21"/>
        </w:rPr>
        <w:t>NLLB translation results for the English and Cebuano parallel story-book PDFs</w:t>
      </w:r>
    </w:p>
    <w:p>
      <w:pPr>
        <w:spacing w:after="120" w:line="264" w:lineRule="auto"/>
      </w:pPr>
      <w:r>
        <w:rPr>
          <w:rFonts w:ascii="Aptos" w:hAnsi="Aptos"/>
          <w:b w:val="0"/>
          <w:color w:val="000000"/>
          <w:sz w:val="20"/>
        </w:rPr>
        <w:t>The evaluation completed both Part2 directions with the isolated NLLB provider. The detailed metadata records reproducible configuration, document outputs, hashes, scores, and stability measurements.</w:t>
      </w:r>
    </w:p>
    <w:p>
      <w:pPr>
        <w:pStyle w:val="Heading1"/>
        <w:spacing w:before="200" w:after="80"/>
      </w:pPr>
      <w:r>
        <w:rPr>
          <w:rFonts w:ascii="Aptos" w:hAnsi="Aptos"/>
          <w:b/>
          <w:color w:val="000000"/>
          <w:sz w:val="26"/>
        </w:rPr>
        <w:t>Configuration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Recorded 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Provider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NLLB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Model</w:t>
            </w:r>
          </w:p>
        </w:tc>
        <w:tc>
          <w:tcPr>
            <w:tcW w:type="dxa" w:w="5040"/>
            <w:vAlign w:val="center"/>
            <w:shd w:fill="EAF2F8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facebook/nllb-200-distilled-600M@f8d333a098d19b4fd9a8b18f94170487ad3f821d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Processing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Fast mode; automatic PDF columns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Fallback and cache</w:t>
            </w:r>
          </w:p>
        </w:tc>
        <w:tc>
          <w:tcPr>
            <w:tcW w:type="dxa" w:w="5040"/>
            <w:vAlign w:val="center"/>
            <w:shd w:fill="EAF2F8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Both disabled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Scoring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Corpus BLEU and chrF; whitespace normalized all-page extraction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Aptos" w:hAnsi="Aptos"/>
          <w:b/>
          <w:color w:val="000000"/>
          <w:sz w:val="26"/>
        </w:rPr>
        <w:t>Full Document Results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Direction</w:t>
            </w:r>
          </w:p>
        </w:tc>
        <w:tc>
          <w:tcPr>
            <w:tcW w:type="dxa" w:w="1680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680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Elapsed</w:t>
            </w:r>
          </w:p>
        </w:tc>
        <w:tc>
          <w:tcPr>
            <w:tcW w:type="dxa" w:w="1680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BLEU</w:t>
            </w:r>
          </w:p>
        </w:tc>
        <w:tc>
          <w:tcPr>
            <w:tcW w:type="dxa" w:w="1680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chrF</w:t>
            </w:r>
          </w:p>
        </w:tc>
        <w:tc>
          <w:tcPr>
            <w:tcW w:type="dxa" w:w="1680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Structure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English to Cebuano</w:t>
            </w:r>
          </w:p>
        </w:tc>
        <w:tc>
          <w:tcPr>
            <w:tcW w:type="dxa" w:w="1680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Completed</w:t>
            </w:r>
          </w:p>
        </w:tc>
        <w:tc>
          <w:tcPr>
            <w:tcW w:type="dxa" w:w="1680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3.27 min</w:t>
            </w:r>
          </w:p>
        </w:tc>
        <w:tc>
          <w:tcPr>
            <w:tcW w:type="dxa" w:w="1680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26.67</w:t>
            </w:r>
          </w:p>
        </w:tc>
        <w:tc>
          <w:tcPr>
            <w:tcW w:type="dxa" w:w="1680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58.44</w:t>
            </w:r>
          </w:p>
        </w:tc>
        <w:tc>
          <w:tcPr>
            <w:tcW w:type="dxa" w:w="1680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680"/>
            <w:vAlign w:val="center"/>
            <w:shd w:fill="EAF2F8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Cebuano to English</w:t>
            </w:r>
          </w:p>
        </w:tc>
        <w:tc>
          <w:tcPr>
            <w:tcW w:type="dxa" w:w="1680"/>
            <w:vAlign w:val="center"/>
            <w:shd w:fill="EAF2F8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Completed</w:t>
            </w:r>
          </w:p>
        </w:tc>
        <w:tc>
          <w:tcPr>
            <w:tcW w:type="dxa" w:w="1680"/>
            <w:vAlign w:val="center"/>
            <w:shd w:fill="EAF2F8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2.45 min</w:t>
            </w:r>
          </w:p>
        </w:tc>
        <w:tc>
          <w:tcPr>
            <w:tcW w:type="dxa" w:w="1680"/>
            <w:vAlign w:val="center"/>
            <w:shd w:fill="EAF2F8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31.03</w:t>
            </w:r>
          </w:p>
        </w:tc>
        <w:tc>
          <w:tcPr>
            <w:tcW w:type="dxa" w:w="1680"/>
            <w:vAlign w:val="center"/>
            <w:shd w:fill="EAF2F8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57.0</w:t>
            </w:r>
          </w:p>
        </w:tc>
        <w:tc>
          <w:tcPr>
            <w:tcW w:type="dxa" w:w="1680"/>
            <w:vAlign w:val="center"/>
            <w:shd w:fill="EAF2F8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Aptos" w:hAnsi="Aptos"/>
          <w:b/>
          <w:color w:val="000000"/>
          <w:sz w:val="26"/>
        </w:rPr>
        <w:t>Stability Results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Direction</w:t>
            </w:r>
          </w:p>
        </w:tc>
        <w:tc>
          <w:tcPr>
            <w:tcW w:type="dxa" w:w="2016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Completed</w:t>
            </w:r>
          </w:p>
        </w:tc>
        <w:tc>
          <w:tcPr>
            <w:tcW w:type="dxa" w:w="2016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Median</w:t>
            </w:r>
          </w:p>
        </w:tc>
        <w:tc>
          <w:tcPr>
            <w:tcW w:type="dxa" w:w="2016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Hashes</w:t>
            </w:r>
          </w:p>
        </w:tc>
        <w:tc>
          <w:tcPr>
            <w:tcW w:type="dxa" w:w="2016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Stable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en-to-ceb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3/3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0.25 min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True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ceb-to-en</w:t>
            </w:r>
          </w:p>
        </w:tc>
        <w:tc>
          <w:tcPr>
            <w:tcW w:type="dxa" w:w="2016"/>
            <w:vAlign w:val="center"/>
            <w:shd w:fill="EAF2F8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3/3</w:t>
            </w:r>
          </w:p>
        </w:tc>
        <w:tc>
          <w:tcPr>
            <w:tcW w:type="dxa" w:w="2016"/>
            <w:vAlign w:val="center"/>
            <w:shd w:fill="EAF2F8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0.17 min</w:t>
            </w:r>
          </w:p>
        </w:tc>
        <w:tc>
          <w:tcPr>
            <w:tcW w:type="dxa" w:w="2016"/>
            <w:vAlign w:val="center"/>
            <w:shd w:fill="EAF2F8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16"/>
            <w:vAlign w:val="center"/>
            <w:shd w:fill="EAF2F8"/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True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Aptos" w:hAnsi="Aptos"/>
          <w:b/>
          <w:color w:val="000000"/>
          <w:sz w:val="26"/>
        </w:rPr>
        <w:t>Method and Limits</w:t>
      </w:r>
    </w:p>
    <w:p>
      <w:pPr>
        <w:spacing w:after="120" w:line="264" w:lineRule="auto"/>
      </w:pPr>
      <w:r>
        <w:rPr>
          <w:rFonts w:ascii="Aptos" w:hAnsi="Aptos"/>
          <w:b w:val="0"/>
          <w:color w:val="000000"/>
          <w:sz w:val="20"/>
        </w:rPr>
        <w:t>English-to-Cebuano output is compared with the supplied Cebuano edition; Cebuano-to-English output is compared with the supplied English original. The scores describe overlap with those editions, not a substitute for bilingual or subject-matter review. Structural checks verify a 25-page output and non-empty extractable text. Rendered pages are inspected separately for visible defects.</w:t>
      </w:r>
    </w:p>
    <w:p>
      <w:pPr>
        <w:pStyle w:val="Heading1"/>
        <w:spacing w:before="200" w:after="80"/>
      </w:pPr>
      <w:r>
        <w:rPr>
          <w:rFonts w:ascii="Aptos" w:hAnsi="Aptos"/>
          <w:b/>
          <w:color w:val="000000"/>
          <w:sz w:val="26"/>
        </w:rPr>
        <w:t>Traceability</w:t>
      </w:r>
    </w:p>
    <w:p>
      <w:pPr>
        <w:spacing w:after="120" w:line="264" w:lineRule="auto"/>
      </w:pPr>
      <w:r>
        <w:rPr>
          <w:rFonts w:ascii="Aptos" w:hAnsi="Aptos"/>
          <w:b w:val="0"/>
          <w:color w:val="000000"/>
          <w:sz w:val="20"/>
        </w:rPr>
        <w:t>The JSON manifest, findings, and metadata inside the iteration folder contain the source/reference hashes, output hashes, service response evidence, and repeated-run samples. The supplied source and reference PDFs remain unchanged.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