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40"/>
        </w:rPr>
        <w:t>Part2 Iteration Comparison and Current State Logging Audit</w:t>
      </w:r>
    </w:p>
    <w:p>
      <w:pPr>
        <w:spacing w:after="240"/>
      </w:pPr>
      <w:r>
        <w:rPr>
          <w:rFonts w:ascii="Aptos" w:hAnsi="Aptos"/>
          <w:b w:val="0"/>
          <w:color w:val="404040"/>
          <w:sz w:val="21"/>
        </w:rPr>
        <w:t>Quality and structure comparison with an audit of implemented operational evidence</w:t>
      </w:r>
    </w:p>
    <w:p>
      <w:pPr>
        <w:spacing w:after="120" w:line="264" w:lineRule="auto"/>
      </w:pPr>
      <w:r>
        <w:rPr>
          <w:rFonts w:ascii="Aptos" w:hAnsi="Aptos"/>
          <w:b w:val="0"/>
          <w:color w:val="000000"/>
          <w:sz w:val="20"/>
        </w:rPr>
        <w:t>NLLB was measured in a controlled run. Existing GPT OSS PDFs were evaluated as supplied artifacts, so the comparison is limited to quality and structure rather than speed or configuration.</w:t>
      </w:r>
    </w:p>
    <w:p>
      <w:pPr>
        <w:pStyle w:val="Heading1"/>
        <w:spacing w:before="200" w:after="80"/>
      </w:pPr>
      <w:r>
        <w:rPr>
          <w:rFonts w:ascii="Aptos" w:hAnsi="Aptos"/>
          <w:b/>
          <w:color w:val="000000"/>
          <w:sz w:val="26"/>
        </w:rPr>
        <w:t>Quality and Structure Comparison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c>
          <w:tcPr>
            <w:tcW w:type="dxa" w:w="1680"/>
            <w:shd w:fill="17365D"/>
            <w:vAlign w:val="center"/>
          </w:tcPr>
          <w:p>
            <w:pPr>
              <w:jc w:val="center"/>
            </w:pPr>
            <w:r>
              <w:rPr>
                <w:rFonts w:ascii="Aptos" w:hAnsi="Aptos"/>
                <w:b/>
                <w:color w:val="FFFFFF"/>
                <w:sz w:val="17"/>
              </w:rPr>
              <w:t>Direction</w:t>
            </w:r>
          </w:p>
        </w:tc>
        <w:tc>
          <w:tcPr>
            <w:tcW w:type="dxa" w:w="1680"/>
            <w:shd w:fill="17365D"/>
            <w:vAlign w:val="center"/>
          </w:tcPr>
          <w:p>
            <w:pPr>
              <w:jc w:val="center"/>
            </w:pPr>
            <w:r>
              <w:rPr>
                <w:rFonts w:ascii="Aptos" w:hAnsi="Aptos"/>
                <w:b/>
                <w:color w:val="FFFFFF"/>
                <w:sz w:val="17"/>
              </w:rPr>
              <w:t>Iteration</w:t>
            </w:r>
          </w:p>
        </w:tc>
        <w:tc>
          <w:tcPr>
            <w:tcW w:type="dxa" w:w="1680"/>
            <w:shd w:fill="17365D"/>
            <w:vAlign w:val="center"/>
          </w:tcPr>
          <w:p>
            <w:pPr>
              <w:jc w:val="center"/>
            </w:pPr>
            <w:r>
              <w:rPr>
                <w:rFonts w:ascii="Aptos" w:hAnsi="Aptos"/>
                <w:b/>
                <w:color w:val="FFFFFF"/>
                <w:sz w:val="17"/>
              </w:rPr>
              <w:t>BLEU</w:t>
            </w:r>
          </w:p>
        </w:tc>
        <w:tc>
          <w:tcPr>
            <w:tcW w:type="dxa" w:w="1680"/>
            <w:shd w:fill="17365D"/>
            <w:vAlign w:val="center"/>
          </w:tcPr>
          <w:p>
            <w:pPr>
              <w:jc w:val="center"/>
            </w:pPr>
            <w:r>
              <w:rPr>
                <w:rFonts w:ascii="Aptos" w:hAnsi="Aptos"/>
                <w:b/>
                <w:color w:val="FFFFFF"/>
                <w:sz w:val="17"/>
              </w:rPr>
              <w:t>chrF</w:t>
            </w:r>
          </w:p>
        </w:tc>
        <w:tc>
          <w:tcPr>
            <w:tcW w:type="dxa" w:w="1680"/>
            <w:shd w:fill="17365D"/>
            <w:vAlign w:val="center"/>
          </w:tcPr>
          <w:p>
            <w:pPr>
              <w:jc w:val="center"/>
            </w:pPr>
            <w:r>
              <w:rPr>
                <w:rFonts w:ascii="Aptos" w:hAnsi="Aptos"/>
                <w:b/>
                <w:color w:val="FFFFFF"/>
                <w:sz w:val="17"/>
              </w:rPr>
              <w:t>Structure</w:t>
            </w:r>
          </w:p>
        </w:tc>
        <w:tc>
          <w:tcPr>
            <w:tcW w:type="dxa" w:w="1680"/>
            <w:shd w:fill="17365D"/>
            <w:vAlign w:val="center"/>
          </w:tcPr>
          <w:p>
            <w:pPr>
              <w:jc w:val="center"/>
            </w:pPr>
            <w:r>
              <w:rPr>
                <w:rFonts w:ascii="Aptos" w:hAnsi="Aptos"/>
                <w:b/>
                <w:color w:val="FFFFFF"/>
                <w:sz w:val="17"/>
              </w:rPr>
              <w:t>Runtime</w:t>
            </w:r>
          </w:p>
        </w:tc>
      </w:tr>
      <w:tr>
        <w:tc>
          <w:tcPr>
            <w:tcW w:type="dxa" w:w="1680"/>
            <w:vAlign w:val="center"/>
          </w:tcPr>
          <w:p>
            <w:r>
              <w:rPr>
                <w:rFonts w:ascii="Aptos" w:hAnsi="Aptos"/>
                <w:b w:val="0"/>
                <w:color w:val="000000"/>
                <w:sz w:val="17"/>
              </w:rPr>
              <w:t>English to Cebuano</w:t>
            </w:r>
          </w:p>
        </w:tc>
        <w:tc>
          <w:tcPr>
            <w:tcW w:type="dxa" w:w="1680"/>
            <w:vAlign w:val="center"/>
          </w:tcPr>
          <w:p>
            <w:r>
              <w:rPr>
                <w:rFonts w:ascii="Aptos" w:hAnsi="Aptos"/>
                <w:b w:val="0"/>
                <w:color w:val="000000"/>
                <w:sz w:val="17"/>
              </w:rPr>
              <w:t>NLLB</w:t>
            </w:r>
          </w:p>
        </w:tc>
        <w:tc>
          <w:tcPr>
            <w:tcW w:type="dxa" w:w="1680"/>
            <w:vAlign w:val="center"/>
          </w:tcPr>
          <w:p>
            <w:r>
              <w:rPr>
                <w:rFonts w:ascii="Aptos" w:hAnsi="Aptos"/>
                <w:b w:val="0"/>
                <w:color w:val="000000"/>
                <w:sz w:val="17"/>
              </w:rPr>
              <w:t>26.67</w:t>
            </w:r>
          </w:p>
        </w:tc>
        <w:tc>
          <w:tcPr>
            <w:tcW w:type="dxa" w:w="1680"/>
            <w:vAlign w:val="center"/>
          </w:tcPr>
          <w:p>
            <w:r>
              <w:rPr>
                <w:rFonts w:ascii="Aptos" w:hAnsi="Aptos"/>
                <w:b w:val="0"/>
                <w:color w:val="000000"/>
                <w:sz w:val="17"/>
              </w:rPr>
              <w:t>58.44</w:t>
            </w:r>
          </w:p>
        </w:tc>
        <w:tc>
          <w:tcPr>
            <w:tcW w:type="dxa" w:w="1680"/>
            <w:vAlign w:val="center"/>
          </w:tcPr>
          <w:p>
            <w:r>
              <w:rPr>
                <w:rFonts w:ascii="Aptos" w:hAnsi="Aptos"/>
                <w:b w:val="0"/>
                <w:color w:val="000000"/>
                <w:sz w:val="17"/>
              </w:rPr>
              <w:t>Pass</w:t>
            </w:r>
          </w:p>
        </w:tc>
        <w:tc>
          <w:tcPr>
            <w:tcW w:type="dxa" w:w="1680"/>
            <w:vAlign w:val="center"/>
          </w:tcPr>
          <w:p>
            <w:r>
              <w:rPr>
                <w:rFonts w:ascii="Aptos" w:hAnsi="Aptos"/>
                <w:b w:val="0"/>
                <w:color w:val="000000"/>
                <w:sz w:val="17"/>
              </w:rPr>
              <w:t>3.27 min</w:t>
            </w:r>
          </w:p>
        </w:tc>
      </w:tr>
      <w:tr>
        <w:tc>
          <w:tcPr>
            <w:tcW w:type="dxa" w:w="1680"/>
            <w:vAlign w:val="center"/>
            <w:shd w:fill="EAF2F8"/>
          </w:tcPr>
          <w:p>
            <w:r>
              <w:rPr>
                <w:rFonts w:ascii="Aptos" w:hAnsi="Aptos"/>
                <w:b w:val="0"/>
                <w:color w:val="000000"/>
                <w:sz w:val="17"/>
              </w:rPr>
              <w:t>English to Cebuano</w:t>
            </w:r>
          </w:p>
        </w:tc>
        <w:tc>
          <w:tcPr>
            <w:tcW w:type="dxa" w:w="1680"/>
            <w:vAlign w:val="center"/>
            <w:shd w:fill="EAF2F8"/>
          </w:tcPr>
          <w:p>
            <w:r>
              <w:rPr>
                <w:rFonts w:ascii="Aptos" w:hAnsi="Aptos"/>
                <w:b w:val="0"/>
                <w:color w:val="000000"/>
                <w:sz w:val="17"/>
              </w:rPr>
              <w:t>GPT OSS</w:t>
            </w:r>
          </w:p>
        </w:tc>
        <w:tc>
          <w:tcPr>
            <w:tcW w:type="dxa" w:w="1680"/>
            <w:vAlign w:val="center"/>
            <w:shd w:fill="EAF2F8"/>
          </w:tcPr>
          <w:p>
            <w:r>
              <w:rPr>
                <w:rFonts w:ascii="Aptos" w:hAnsi="Aptos"/>
                <w:b w:val="0"/>
                <w:color w:val="000000"/>
                <w:sz w:val="17"/>
              </w:rPr>
              <w:t>29.68</w:t>
            </w:r>
          </w:p>
        </w:tc>
        <w:tc>
          <w:tcPr>
            <w:tcW w:type="dxa" w:w="1680"/>
            <w:vAlign w:val="center"/>
            <w:shd w:fill="EAF2F8"/>
          </w:tcPr>
          <w:p>
            <w:r>
              <w:rPr>
                <w:rFonts w:ascii="Aptos" w:hAnsi="Aptos"/>
                <w:b w:val="0"/>
                <w:color w:val="000000"/>
                <w:sz w:val="17"/>
              </w:rPr>
              <w:t>61.86</w:t>
            </w:r>
          </w:p>
        </w:tc>
        <w:tc>
          <w:tcPr>
            <w:tcW w:type="dxa" w:w="1680"/>
            <w:vAlign w:val="center"/>
            <w:shd w:fill="EAF2F8"/>
          </w:tcPr>
          <w:p>
            <w:r>
              <w:rPr>
                <w:rFonts w:ascii="Aptos" w:hAnsi="Aptos"/>
                <w:b w:val="0"/>
                <w:color w:val="000000"/>
                <w:sz w:val="17"/>
              </w:rPr>
              <w:t>Pass</w:t>
            </w:r>
          </w:p>
        </w:tc>
        <w:tc>
          <w:tcPr>
            <w:tcW w:type="dxa" w:w="1680"/>
            <w:vAlign w:val="center"/>
            <w:shd w:fill="EAF2F8"/>
          </w:tcPr>
          <w:p>
            <w:r>
              <w:rPr>
                <w:rFonts w:ascii="Aptos" w:hAnsi="Aptos"/>
                <w:b w:val="0"/>
                <w:color w:val="000000"/>
                <w:sz w:val="17"/>
              </w:rPr>
              <w:t>Not supplied</w:t>
            </w:r>
          </w:p>
        </w:tc>
      </w:tr>
      <w:tr>
        <w:tc>
          <w:tcPr>
            <w:tcW w:type="dxa" w:w="1680"/>
            <w:vAlign w:val="center"/>
          </w:tcPr>
          <w:p>
            <w:r>
              <w:rPr>
                <w:rFonts w:ascii="Aptos" w:hAnsi="Aptos"/>
                <w:b w:val="0"/>
                <w:color w:val="000000"/>
                <w:sz w:val="17"/>
              </w:rPr>
              <w:t>Cebuano to English</w:t>
            </w:r>
          </w:p>
        </w:tc>
        <w:tc>
          <w:tcPr>
            <w:tcW w:type="dxa" w:w="1680"/>
            <w:vAlign w:val="center"/>
          </w:tcPr>
          <w:p>
            <w:r>
              <w:rPr>
                <w:rFonts w:ascii="Aptos" w:hAnsi="Aptos"/>
                <w:b w:val="0"/>
                <w:color w:val="000000"/>
                <w:sz w:val="17"/>
              </w:rPr>
              <w:t>NLLB</w:t>
            </w:r>
          </w:p>
        </w:tc>
        <w:tc>
          <w:tcPr>
            <w:tcW w:type="dxa" w:w="1680"/>
            <w:vAlign w:val="center"/>
          </w:tcPr>
          <w:p>
            <w:r>
              <w:rPr>
                <w:rFonts w:ascii="Aptos" w:hAnsi="Aptos"/>
                <w:b w:val="0"/>
                <w:color w:val="000000"/>
                <w:sz w:val="17"/>
              </w:rPr>
              <w:t>31.03</w:t>
            </w:r>
          </w:p>
        </w:tc>
        <w:tc>
          <w:tcPr>
            <w:tcW w:type="dxa" w:w="1680"/>
            <w:vAlign w:val="center"/>
          </w:tcPr>
          <w:p>
            <w:r>
              <w:rPr>
                <w:rFonts w:ascii="Aptos" w:hAnsi="Aptos"/>
                <w:b w:val="0"/>
                <w:color w:val="000000"/>
                <w:sz w:val="17"/>
              </w:rPr>
              <w:t>57.0</w:t>
            </w:r>
          </w:p>
        </w:tc>
        <w:tc>
          <w:tcPr>
            <w:tcW w:type="dxa" w:w="1680"/>
            <w:vAlign w:val="center"/>
          </w:tcPr>
          <w:p>
            <w:r>
              <w:rPr>
                <w:rFonts w:ascii="Aptos" w:hAnsi="Aptos"/>
                <w:b w:val="0"/>
                <w:color w:val="000000"/>
                <w:sz w:val="17"/>
              </w:rPr>
              <w:t>Pass</w:t>
            </w:r>
          </w:p>
        </w:tc>
        <w:tc>
          <w:tcPr>
            <w:tcW w:type="dxa" w:w="1680"/>
            <w:vAlign w:val="center"/>
          </w:tcPr>
          <w:p>
            <w:r>
              <w:rPr>
                <w:rFonts w:ascii="Aptos" w:hAnsi="Aptos"/>
                <w:b w:val="0"/>
                <w:color w:val="000000"/>
                <w:sz w:val="17"/>
              </w:rPr>
              <w:t>2.45 min</w:t>
            </w:r>
          </w:p>
        </w:tc>
      </w:tr>
      <w:tr>
        <w:tc>
          <w:tcPr>
            <w:tcW w:type="dxa" w:w="1680"/>
            <w:vAlign w:val="center"/>
            <w:shd w:fill="EAF2F8"/>
          </w:tcPr>
          <w:p>
            <w:r>
              <w:rPr>
                <w:rFonts w:ascii="Aptos" w:hAnsi="Aptos"/>
                <w:b w:val="0"/>
                <w:color w:val="000000"/>
                <w:sz w:val="17"/>
              </w:rPr>
              <w:t>Cebuano to English</w:t>
            </w:r>
          </w:p>
        </w:tc>
        <w:tc>
          <w:tcPr>
            <w:tcW w:type="dxa" w:w="1680"/>
            <w:vAlign w:val="center"/>
            <w:shd w:fill="EAF2F8"/>
          </w:tcPr>
          <w:p>
            <w:r>
              <w:rPr>
                <w:rFonts w:ascii="Aptos" w:hAnsi="Aptos"/>
                <w:b w:val="0"/>
                <w:color w:val="000000"/>
                <w:sz w:val="17"/>
              </w:rPr>
              <w:t>GPT OSS</w:t>
            </w:r>
          </w:p>
        </w:tc>
        <w:tc>
          <w:tcPr>
            <w:tcW w:type="dxa" w:w="1680"/>
            <w:vAlign w:val="center"/>
            <w:shd w:fill="EAF2F8"/>
          </w:tcPr>
          <w:p>
            <w:r>
              <w:rPr>
                <w:rFonts w:ascii="Aptos" w:hAnsi="Aptos"/>
                <w:b w:val="0"/>
                <w:color w:val="000000"/>
                <w:sz w:val="17"/>
              </w:rPr>
              <w:t>52.52</w:t>
            </w:r>
          </w:p>
        </w:tc>
        <w:tc>
          <w:tcPr>
            <w:tcW w:type="dxa" w:w="1680"/>
            <w:vAlign w:val="center"/>
            <w:shd w:fill="EAF2F8"/>
          </w:tcPr>
          <w:p>
            <w:r>
              <w:rPr>
                <w:rFonts w:ascii="Aptos" w:hAnsi="Aptos"/>
                <w:b w:val="0"/>
                <w:color w:val="000000"/>
                <w:sz w:val="17"/>
              </w:rPr>
              <w:t>74.33</w:t>
            </w:r>
          </w:p>
        </w:tc>
        <w:tc>
          <w:tcPr>
            <w:tcW w:type="dxa" w:w="1680"/>
            <w:vAlign w:val="center"/>
            <w:shd w:fill="EAF2F8"/>
          </w:tcPr>
          <w:p>
            <w:r>
              <w:rPr>
                <w:rFonts w:ascii="Aptos" w:hAnsi="Aptos"/>
                <w:b w:val="0"/>
                <w:color w:val="000000"/>
                <w:sz w:val="17"/>
              </w:rPr>
              <w:t>Pass</w:t>
            </w:r>
          </w:p>
        </w:tc>
        <w:tc>
          <w:tcPr>
            <w:tcW w:type="dxa" w:w="1680"/>
            <w:vAlign w:val="center"/>
            <w:shd w:fill="EAF2F8"/>
          </w:tcPr>
          <w:p>
            <w:r>
              <w:rPr>
                <w:rFonts w:ascii="Aptos" w:hAnsi="Aptos"/>
                <w:b w:val="0"/>
                <w:color w:val="000000"/>
                <w:sz w:val="17"/>
              </w:rPr>
              <w:t>Not supplied</w:t>
            </w:r>
          </w:p>
        </w:tc>
      </w:tr>
    </w:tbl>
    <w:p>
      <w:pPr>
        <w:spacing w:after="40"/>
      </w:pPr>
    </w:p>
    <w:p>
      <w:pPr>
        <w:spacing w:after="120" w:line="264" w:lineRule="auto"/>
      </w:pPr>
      <w:r>
        <w:rPr>
          <w:rFonts w:ascii="Aptos" w:hAnsi="Aptos"/>
          <w:b w:val="0"/>
          <w:color w:val="000000"/>
          <w:sz w:val="20"/>
        </w:rPr>
        <w:t>Both GPT OSS artifacts contain 25 pages and extractable text. Their scores use the same all-page whitespace-normalized method as NLLB. The supplied PDFs do not include runtime configuration, cache/fallback state, model details, or elapsed time.</w:t>
      </w:r>
    </w:p>
    <w:p>
      <w:pPr>
        <w:pStyle w:val="Heading1"/>
        <w:spacing w:before="200" w:after="80"/>
      </w:pPr>
      <w:r>
        <w:rPr>
          <w:rFonts w:ascii="Aptos" w:hAnsi="Aptos"/>
          <w:b/>
          <w:color w:val="000000"/>
          <w:sz w:val="26"/>
        </w:rPr>
        <w:t>Current Logging and Metrics</w:t>
      </w:r>
    </w:p>
    <w:p>
      <w:pPr>
        <w:spacing w:after="120" w:line="264" w:lineRule="auto"/>
      </w:pPr>
      <w:r>
        <w:rPr>
          <w:rFonts w:ascii="Aptos" w:hAnsi="Aptos"/>
          <w:b w:val="0"/>
          <w:color w:val="000000"/>
          <w:sz w:val="20"/>
        </w:rPr>
        <w:t>Laravel uses a default stack with the single file channel, while a daily 14-day channel is defined but not selected by default. Queue jobs record terminal failures and non-fatal errors. The Python translation service writes console diagnostics for document work. The database records translation history, job state, review/block evidence, edit audit data, and engine metrics.</w:t>
      </w:r>
    </w:p>
    <w:p>
      <w:pPr>
        <w:pStyle w:val="Heading1"/>
        <w:spacing w:before="200" w:after="80"/>
      </w:pPr>
      <w:r>
        <w:rPr>
          <w:rFonts w:ascii="Aptos" w:hAnsi="Aptos"/>
          <w:b/>
          <w:color w:val="000000"/>
          <w:sz w:val="26"/>
        </w:rPr>
        <w:t>Audit Findings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7365D"/>
            <w:vAlign w:val="center"/>
          </w:tcPr>
          <w:p>
            <w:pPr>
              <w:jc w:val="center"/>
            </w:pPr>
            <w:r>
              <w:rPr>
                <w:rFonts w:ascii="Aptos" w:hAnsi="Aptos"/>
                <w:b/>
                <w:color w:val="FFFFFF"/>
                <w:sz w:val="17"/>
              </w:rPr>
              <w:t>Area</w:t>
            </w:r>
          </w:p>
        </w:tc>
        <w:tc>
          <w:tcPr>
            <w:tcW w:type="dxa" w:w="3360"/>
            <w:shd w:fill="17365D"/>
            <w:vAlign w:val="center"/>
          </w:tcPr>
          <w:p>
            <w:pPr>
              <w:jc w:val="center"/>
            </w:pPr>
            <w:r>
              <w:rPr>
                <w:rFonts w:ascii="Aptos" w:hAnsi="Aptos"/>
                <w:b/>
                <w:color w:val="FFFFFF"/>
                <w:sz w:val="17"/>
              </w:rPr>
              <w:t>Observed condition</w:t>
            </w:r>
          </w:p>
        </w:tc>
        <w:tc>
          <w:tcPr>
            <w:tcW w:type="dxa" w:w="3360"/>
            <w:shd w:fill="17365D"/>
            <w:vAlign w:val="center"/>
          </w:tcPr>
          <w:p>
            <w:pPr>
              <w:jc w:val="center"/>
            </w:pPr>
            <w:r>
              <w:rPr>
                <w:rFonts w:ascii="Aptos" w:hAnsi="Aptos"/>
                <w:b/>
                <w:color w:val="FFFFFF"/>
                <w:sz w:val="17"/>
              </w:rPr>
              <w:t>Why it matters</w:t>
            </w:r>
          </w:p>
        </w:tc>
      </w:tr>
      <w:tr>
        <w:tc>
          <w:tcPr>
            <w:tcW w:type="dxa" w:w="3360"/>
            <w:vAlign w:val="center"/>
          </w:tcPr>
          <w:p>
            <w:r>
              <w:rPr>
                <w:rFonts w:ascii="Aptos" w:hAnsi="Aptos"/>
                <w:b w:val="0"/>
                <w:color w:val="000000"/>
                <w:sz w:val="17"/>
              </w:rPr>
              <w:t>Sensitive context</w:t>
            </w:r>
          </w:p>
        </w:tc>
        <w:tc>
          <w:tcPr>
            <w:tcW w:type="dxa" w:w="3360"/>
            <w:vAlign w:val="center"/>
          </w:tcPr>
          <w:p>
            <w:r>
              <w:rPr>
                <w:rFonts w:ascii="Aptos" w:hAnsi="Aptos"/>
                <w:b w:val="0"/>
                <w:color w:val="000000"/>
                <w:sz w:val="17"/>
              </w:rPr>
              <w:t>Logs can contain filenames, user IDs, exception text, and terminal traces.</w:t>
            </w:r>
          </w:p>
        </w:tc>
        <w:tc>
          <w:tcPr>
            <w:tcW w:type="dxa" w:w="3360"/>
            <w:vAlign w:val="center"/>
          </w:tcPr>
          <w:p>
            <w:r>
              <w:rPr>
                <w:rFonts w:ascii="Aptos" w:hAnsi="Aptos"/>
                <w:b w:val="0"/>
                <w:color w:val="000000"/>
                <w:sz w:val="17"/>
              </w:rPr>
              <w:t>Operational logs may expose user or document-related information.</w:t>
            </w:r>
          </w:p>
        </w:tc>
      </w:tr>
      <w:tr>
        <w:tc>
          <w:tcPr>
            <w:tcW w:type="dxa" w:w="3360"/>
            <w:vAlign w:val="center"/>
            <w:shd w:fill="EAF2F8"/>
          </w:tcPr>
          <w:p>
            <w:r>
              <w:rPr>
                <w:rFonts w:ascii="Aptos" w:hAnsi="Aptos"/>
                <w:b w:val="0"/>
                <w:color w:val="000000"/>
                <w:sz w:val="17"/>
              </w:rPr>
              <w:t>Python output</w:t>
            </w:r>
          </w:p>
        </w:tc>
        <w:tc>
          <w:tcPr>
            <w:tcW w:type="dxa" w:w="3360"/>
            <w:vAlign w:val="center"/>
            <w:shd w:fill="EAF2F8"/>
          </w:tcPr>
          <w:p>
            <w:r>
              <w:rPr>
                <w:rFonts w:ascii="Aptos" w:hAnsi="Aptos"/>
                <w:b w:val="0"/>
                <w:color w:val="000000"/>
                <w:sz w:val="17"/>
              </w:rPr>
              <w:t>Service diagnostics include document/language context and errors.</w:t>
            </w:r>
          </w:p>
        </w:tc>
        <w:tc>
          <w:tcPr>
            <w:tcW w:type="dxa" w:w="3360"/>
            <w:vAlign w:val="center"/>
            <w:shd w:fill="EAF2F8"/>
          </w:tcPr>
          <w:p>
            <w:r>
              <w:rPr>
                <w:rFonts w:ascii="Aptos" w:hAnsi="Aptos"/>
                <w:b w:val="0"/>
                <w:color w:val="000000"/>
                <w:sz w:val="17"/>
              </w:rPr>
              <w:t>Production sinks need an explicit content-minimization review.</w:t>
            </w:r>
          </w:p>
        </w:tc>
      </w:tr>
      <w:tr>
        <w:tc>
          <w:tcPr>
            <w:tcW w:type="dxa" w:w="3360"/>
            <w:vAlign w:val="center"/>
          </w:tcPr>
          <w:p>
            <w:r>
              <w:rPr>
                <w:rFonts w:ascii="Aptos" w:hAnsi="Aptos"/>
                <w:b w:val="0"/>
                <w:color w:val="000000"/>
                <w:sz w:val="17"/>
              </w:rPr>
              <w:t>Correlation</w:t>
            </w:r>
          </w:p>
        </w:tc>
        <w:tc>
          <w:tcPr>
            <w:tcW w:type="dxa" w:w="3360"/>
            <w:vAlign w:val="center"/>
          </w:tcPr>
          <w:p>
            <w:r>
              <w:rPr>
                <w:rFonts w:ascii="Aptos" w:hAnsi="Aptos"/>
                <w:b w:val="0"/>
                <w:color w:val="000000"/>
                <w:sz w:val="17"/>
              </w:rPr>
              <w:t>No single cross-service correlation field is evident.</w:t>
            </w:r>
          </w:p>
        </w:tc>
        <w:tc>
          <w:tcPr>
            <w:tcW w:type="dxa" w:w="3360"/>
            <w:vAlign w:val="center"/>
          </w:tcPr>
          <w:p>
            <w:r>
              <w:rPr>
                <w:rFonts w:ascii="Aptos" w:hAnsi="Aptos"/>
                <w:b w:val="0"/>
                <w:color w:val="000000"/>
                <w:sz w:val="17"/>
              </w:rPr>
              <w:t>Investigating one translation across services is harder.</w:t>
            </w:r>
          </w:p>
        </w:tc>
      </w:tr>
      <w:tr>
        <w:tc>
          <w:tcPr>
            <w:tcW w:type="dxa" w:w="3360"/>
            <w:vAlign w:val="center"/>
            <w:shd w:fill="EAF2F8"/>
          </w:tcPr>
          <w:p>
            <w:r>
              <w:rPr>
                <w:rFonts w:ascii="Aptos" w:hAnsi="Aptos"/>
                <w:b w:val="0"/>
                <w:color w:val="000000"/>
                <w:sz w:val="17"/>
              </w:rPr>
              <w:t>Retention</w:t>
            </w:r>
          </w:p>
        </w:tc>
        <w:tc>
          <w:tcPr>
            <w:tcW w:type="dxa" w:w="3360"/>
            <w:vAlign w:val="center"/>
            <w:shd w:fill="EAF2F8"/>
          </w:tcPr>
          <w:p>
            <w:r>
              <w:rPr>
                <w:rFonts w:ascii="Aptos" w:hAnsi="Aptos"/>
                <w:b w:val="0"/>
                <w:color w:val="000000"/>
                <w:sz w:val="17"/>
              </w:rPr>
              <w:t>Default single-file logging does not define rotation; daily logging has 14 days.</w:t>
            </w:r>
          </w:p>
        </w:tc>
        <w:tc>
          <w:tcPr>
            <w:tcW w:type="dxa" w:w="3360"/>
            <w:vAlign w:val="center"/>
            <w:shd w:fill="EAF2F8"/>
          </w:tcPr>
          <w:p>
            <w:r>
              <w:rPr>
                <w:rFonts w:ascii="Aptos" w:hAnsi="Aptos"/>
                <w:b w:val="0"/>
                <w:color w:val="000000"/>
                <w:sz w:val="17"/>
              </w:rPr>
              <w:t>Retention behavior is inconsistent.</w:t>
            </w:r>
          </w:p>
        </w:tc>
      </w:tr>
      <w:tr>
        <w:tc>
          <w:tcPr>
            <w:tcW w:type="dxa" w:w="3360"/>
            <w:vAlign w:val="center"/>
          </w:tcPr>
          <w:p>
            <w:r>
              <w:rPr>
                <w:rFonts w:ascii="Aptos" w:hAnsi="Aptos"/>
                <w:b w:val="0"/>
                <w:color w:val="000000"/>
                <w:sz w:val="17"/>
              </w:rPr>
              <w:t>Evidence types</w:t>
            </w:r>
          </w:p>
        </w:tc>
        <w:tc>
          <w:tcPr>
            <w:tcW w:type="dxa" w:w="3360"/>
            <w:vAlign w:val="center"/>
          </w:tcPr>
          <w:p>
            <w:r>
              <w:rPr>
                <w:rFonts w:ascii="Aptos" w:hAnsi="Aptos"/>
                <w:b w:val="0"/>
                <w:color w:val="000000"/>
                <w:sz w:val="17"/>
              </w:rPr>
              <w:t>Logs, metrics, and review/audit tables are separate stores.</w:t>
            </w:r>
          </w:p>
        </w:tc>
        <w:tc>
          <w:tcPr>
            <w:tcW w:type="dxa" w:w="3360"/>
            <w:vAlign w:val="center"/>
          </w:tcPr>
          <w:p>
            <w:r>
              <w:rPr>
                <w:rFonts w:ascii="Aptos" w:hAnsi="Aptos"/>
                <w:b w:val="0"/>
                <w:color w:val="000000"/>
                <w:sz w:val="17"/>
              </w:rPr>
              <w:t>They need distinct access and retention controls.</w:t>
            </w:r>
          </w:p>
        </w:tc>
      </w:tr>
    </w:tbl>
    <w:p>
      <w:pPr>
        <w:spacing w:after="40"/>
      </w:pPr>
    </w:p>
    <w:p>
      <w:pPr>
        <w:pStyle w:val="Heading1"/>
        <w:spacing w:before="200" w:after="80"/>
      </w:pPr>
      <w:r>
        <w:rPr>
          <w:rFonts w:ascii="Aptos" w:hAnsi="Aptos"/>
          <w:b/>
          <w:color w:val="000000"/>
          <w:sz w:val="26"/>
        </w:rPr>
        <w:t>Recommendations</w:t>
      </w:r>
    </w:p>
    <w:p>
      <w:pPr>
        <w:spacing w:after="120" w:line="264" w:lineRule="auto"/>
      </w:pPr>
      <w:r>
        <w:rPr>
          <w:rFonts w:ascii="Aptos" w:hAnsi="Aptos"/>
          <w:b w:val="0"/>
          <w:color w:val="000000"/>
          <w:sz w:val="20"/>
        </w:rPr>
        <w:t>The next logging improvement should use structured correlation-aware events, minimize or hash file identifiers, avoid routine full stack traces, define retention and access controls for each evidence type, and verify that source and translated text never reaches production logs. This audit does not change production logging.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