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40"/>
        </w:rPr>
        <w:t>Part2 Translation Quality Layout and Speed Improvement Report</w:t>
      </w:r>
    </w:p>
    <w:p>
      <w:pPr>
        <w:spacing w:after="240"/>
      </w:pPr>
      <w:r>
        <w:rPr>
          <w:rFonts w:ascii="Aptos" w:hAnsi="Aptos"/>
          <w:b w:val="0"/>
          <w:color w:val="404040"/>
          <w:sz w:val="21"/>
        </w:rPr>
        <w:t>Evidence-based actions for grammar tone coherence layout integrity and NLLB performance</w:t>
      </w:r>
    </w:p>
    <w:p>
      <w:pPr>
        <w:spacing w:after="120" w:line="264" w:lineRule="auto"/>
      </w:pPr>
      <w:r>
        <w:rPr>
          <w:rFonts w:ascii="Aptos" w:hAnsi="Aptos"/>
          <w:b w:val="0"/>
          <w:color w:val="000000"/>
          <w:sz w:val="20"/>
        </w:rPr>
        <w:t>NLLB completed both Part2 translations with 25-page outputs and deterministic repeat results, but the supplied GPT OSS artifacts score higher in both directions. The recommended path is to improve translation quality and layout verification first, then optimize NLLB inference without relaxing the quality gate.</w:t>
      </w:r>
    </w:p>
    <w:p>
      <w:pPr>
        <w:pStyle w:val="Heading1"/>
        <w:spacing w:before="200" w:after="80"/>
      </w:pPr>
      <w:r>
        <w:rPr>
          <w:rFonts w:ascii="Aptos" w:hAnsi="Aptos"/>
          <w:b/>
          <w:color w:val="000000"/>
          <w:sz w:val="26"/>
        </w:rPr>
        <w:t>Evidence</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60"/>
        <w:gridCol w:w="1260"/>
        <w:gridCol w:w="1260"/>
        <w:gridCol w:w="1260"/>
        <w:gridCol w:w="1260"/>
        <w:gridCol w:w="1260"/>
        <w:gridCol w:w="1260"/>
        <w:gridCol w:w="1260"/>
      </w:tblGrid>
      <w:tr>
        <w:tc>
          <w:tcPr>
            <w:tcW w:type="dxa" w:w="1260"/>
            <w:shd w:fill="17365D"/>
            <w:vAlign w:val="center"/>
          </w:tcPr>
          <w:p>
            <w:pPr>
              <w:jc w:val="center"/>
            </w:pPr>
            <w:r>
              <w:rPr>
                <w:rFonts w:ascii="Aptos" w:hAnsi="Aptos"/>
                <w:b/>
                <w:color w:val="FFFFFF"/>
                <w:sz w:val="17"/>
              </w:rPr>
              <w:t>Direction</w:t>
            </w:r>
          </w:p>
        </w:tc>
        <w:tc>
          <w:tcPr>
            <w:tcW w:type="dxa" w:w="1260"/>
            <w:shd w:fill="17365D"/>
            <w:vAlign w:val="center"/>
          </w:tcPr>
          <w:p>
            <w:pPr>
              <w:jc w:val="center"/>
            </w:pPr>
            <w:r>
              <w:rPr>
                <w:rFonts w:ascii="Aptos" w:hAnsi="Aptos"/>
                <w:b/>
                <w:color w:val="FFFFFF"/>
                <w:sz w:val="17"/>
              </w:rPr>
              <w:t>NLLB BLEU</w:t>
            </w:r>
          </w:p>
        </w:tc>
        <w:tc>
          <w:tcPr>
            <w:tcW w:type="dxa" w:w="1260"/>
            <w:shd w:fill="17365D"/>
            <w:vAlign w:val="center"/>
          </w:tcPr>
          <w:p>
            <w:pPr>
              <w:jc w:val="center"/>
            </w:pPr>
            <w:r>
              <w:rPr>
                <w:rFonts w:ascii="Aptos" w:hAnsi="Aptos"/>
                <w:b/>
                <w:color w:val="FFFFFF"/>
                <w:sz w:val="17"/>
              </w:rPr>
              <w:t>NLLB chrF</w:t>
            </w:r>
          </w:p>
        </w:tc>
        <w:tc>
          <w:tcPr>
            <w:tcW w:type="dxa" w:w="1260"/>
            <w:shd w:fill="17365D"/>
            <w:vAlign w:val="center"/>
          </w:tcPr>
          <w:p>
            <w:pPr>
              <w:jc w:val="center"/>
            </w:pPr>
            <w:r>
              <w:rPr>
                <w:rFonts w:ascii="Aptos" w:hAnsi="Aptos"/>
                <w:b/>
                <w:color w:val="FFFFFF"/>
                <w:sz w:val="17"/>
              </w:rPr>
              <w:t>NLLB time</w:t>
            </w:r>
          </w:p>
        </w:tc>
        <w:tc>
          <w:tcPr>
            <w:tcW w:type="dxa" w:w="1260"/>
            <w:shd w:fill="17365D"/>
            <w:vAlign w:val="center"/>
          </w:tcPr>
          <w:p>
            <w:pPr>
              <w:jc w:val="center"/>
            </w:pPr>
            <w:r>
              <w:rPr>
                <w:rFonts w:ascii="Aptos" w:hAnsi="Aptos"/>
                <w:b/>
                <w:color w:val="FFFFFF"/>
                <w:sz w:val="17"/>
              </w:rPr>
              <w:t>Calls</w:t>
            </w:r>
          </w:p>
        </w:tc>
        <w:tc>
          <w:tcPr>
            <w:tcW w:type="dxa" w:w="1260"/>
            <w:shd w:fill="17365D"/>
            <w:vAlign w:val="center"/>
          </w:tcPr>
          <w:p>
            <w:pPr>
              <w:jc w:val="center"/>
            </w:pPr>
            <w:r>
              <w:rPr>
                <w:rFonts w:ascii="Aptos" w:hAnsi="Aptos"/>
                <w:b/>
                <w:color w:val="FFFFFF"/>
                <w:sz w:val="17"/>
              </w:rPr>
              <w:t>Model calls</w:t>
            </w:r>
          </w:p>
        </w:tc>
        <w:tc>
          <w:tcPr>
            <w:tcW w:type="dxa" w:w="1260"/>
            <w:shd w:fill="17365D"/>
            <w:vAlign w:val="center"/>
          </w:tcPr>
          <w:p>
            <w:pPr>
              <w:jc w:val="center"/>
            </w:pPr>
            <w:r>
              <w:rPr>
                <w:rFonts w:ascii="Aptos" w:hAnsi="Aptos"/>
                <w:b/>
                <w:color w:val="FFFFFF"/>
                <w:sz w:val="17"/>
              </w:rPr>
              <w:t>GPT BLEU</w:t>
            </w:r>
          </w:p>
        </w:tc>
        <w:tc>
          <w:tcPr>
            <w:tcW w:type="dxa" w:w="1260"/>
            <w:shd w:fill="17365D"/>
            <w:vAlign w:val="center"/>
          </w:tcPr>
          <w:p>
            <w:pPr>
              <w:jc w:val="center"/>
            </w:pPr>
            <w:r>
              <w:rPr>
                <w:rFonts w:ascii="Aptos" w:hAnsi="Aptos"/>
                <w:b/>
                <w:color w:val="FFFFFF"/>
                <w:sz w:val="17"/>
              </w:rPr>
              <w:t>GPT chrF</w:t>
            </w:r>
          </w:p>
        </w:tc>
      </w:tr>
      <w:tr>
        <w:tc>
          <w:tcPr>
            <w:tcW w:type="dxa" w:w="1260"/>
            <w:vAlign w:val="center"/>
          </w:tcPr>
          <w:p>
            <w:r>
              <w:rPr>
                <w:rFonts w:ascii="Aptos" w:hAnsi="Aptos"/>
                <w:b w:val="0"/>
                <w:color w:val="000000"/>
                <w:sz w:val="17"/>
              </w:rPr>
              <w:t>English to Cebuano</w:t>
            </w:r>
          </w:p>
        </w:tc>
        <w:tc>
          <w:tcPr>
            <w:tcW w:type="dxa" w:w="1260"/>
            <w:vAlign w:val="center"/>
          </w:tcPr>
          <w:p>
            <w:r>
              <w:rPr>
                <w:rFonts w:ascii="Aptos" w:hAnsi="Aptos"/>
                <w:b w:val="0"/>
                <w:color w:val="000000"/>
                <w:sz w:val="17"/>
              </w:rPr>
              <w:t>26.67</w:t>
            </w:r>
          </w:p>
        </w:tc>
        <w:tc>
          <w:tcPr>
            <w:tcW w:type="dxa" w:w="1260"/>
            <w:vAlign w:val="center"/>
          </w:tcPr>
          <w:p>
            <w:r>
              <w:rPr>
                <w:rFonts w:ascii="Aptos" w:hAnsi="Aptos"/>
                <w:b w:val="0"/>
                <w:color w:val="000000"/>
                <w:sz w:val="17"/>
              </w:rPr>
              <w:t>58.44</w:t>
            </w:r>
          </w:p>
        </w:tc>
        <w:tc>
          <w:tcPr>
            <w:tcW w:type="dxa" w:w="1260"/>
            <w:vAlign w:val="center"/>
          </w:tcPr>
          <w:p>
            <w:r>
              <w:rPr>
                <w:rFonts w:ascii="Aptos" w:hAnsi="Aptos"/>
                <w:b w:val="0"/>
                <w:color w:val="000000"/>
                <w:sz w:val="17"/>
              </w:rPr>
              <w:t>3.27 min</w:t>
            </w:r>
          </w:p>
        </w:tc>
        <w:tc>
          <w:tcPr>
            <w:tcW w:type="dxa" w:w="1260"/>
            <w:vAlign w:val="center"/>
          </w:tcPr>
          <w:p>
            <w:r>
              <w:rPr>
                <w:rFonts w:ascii="Aptos" w:hAnsi="Aptos"/>
                <w:b w:val="0"/>
                <w:color w:val="000000"/>
                <w:sz w:val="17"/>
              </w:rPr>
              <w:t>49</w:t>
            </w:r>
          </w:p>
        </w:tc>
        <w:tc>
          <w:tcPr>
            <w:tcW w:type="dxa" w:w="1260"/>
            <w:vAlign w:val="center"/>
          </w:tcPr>
          <w:p>
            <w:r>
              <w:rPr>
                <w:rFonts w:ascii="Aptos" w:hAnsi="Aptos"/>
                <w:b w:val="0"/>
                <w:color w:val="000000"/>
                <w:sz w:val="17"/>
              </w:rPr>
              <w:t>79.3%</w:t>
            </w:r>
          </w:p>
        </w:tc>
        <w:tc>
          <w:tcPr>
            <w:tcW w:type="dxa" w:w="1260"/>
            <w:vAlign w:val="center"/>
          </w:tcPr>
          <w:p>
            <w:r>
              <w:rPr>
                <w:rFonts w:ascii="Aptos" w:hAnsi="Aptos"/>
                <w:b w:val="0"/>
                <w:color w:val="000000"/>
                <w:sz w:val="17"/>
              </w:rPr>
              <w:t>29.68</w:t>
            </w:r>
          </w:p>
        </w:tc>
        <w:tc>
          <w:tcPr>
            <w:tcW w:type="dxa" w:w="1260"/>
            <w:vAlign w:val="center"/>
          </w:tcPr>
          <w:p>
            <w:r>
              <w:rPr>
                <w:rFonts w:ascii="Aptos" w:hAnsi="Aptos"/>
                <w:b w:val="0"/>
                <w:color w:val="000000"/>
                <w:sz w:val="17"/>
              </w:rPr>
              <w:t>61.86</w:t>
            </w:r>
          </w:p>
        </w:tc>
      </w:tr>
      <w:tr>
        <w:tc>
          <w:tcPr>
            <w:tcW w:type="dxa" w:w="1260"/>
            <w:vAlign w:val="center"/>
            <w:shd w:fill="EAF2F8"/>
          </w:tcPr>
          <w:p>
            <w:r>
              <w:rPr>
                <w:rFonts w:ascii="Aptos" w:hAnsi="Aptos"/>
                <w:b w:val="0"/>
                <w:color w:val="000000"/>
                <w:sz w:val="17"/>
              </w:rPr>
              <w:t>Cebuano to English</w:t>
            </w:r>
          </w:p>
        </w:tc>
        <w:tc>
          <w:tcPr>
            <w:tcW w:type="dxa" w:w="1260"/>
            <w:vAlign w:val="center"/>
            <w:shd w:fill="EAF2F8"/>
          </w:tcPr>
          <w:p>
            <w:r>
              <w:rPr>
                <w:rFonts w:ascii="Aptos" w:hAnsi="Aptos"/>
                <w:b w:val="0"/>
                <w:color w:val="000000"/>
                <w:sz w:val="17"/>
              </w:rPr>
              <w:t>31.03</w:t>
            </w:r>
          </w:p>
        </w:tc>
        <w:tc>
          <w:tcPr>
            <w:tcW w:type="dxa" w:w="1260"/>
            <w:vAlign w:val="center"/>
            <w:shd w:fill="EAF2F8"/>
          </w:tcPr>
          <w:p>
            <w:r>
              <w:rPr>
                <w:rFonts w:ascii="Aptos" w:hAnsi="Aptos"/>
                <w:b w:val="0"/>
                <w:color w:val="000000"/>
                <w:sz w:val="17"/>
              </w:rPr>
              <w:t>57.0</w:t>
            </w:r>
          </w:p>
        </w:tc>
        <w:tc>
          <w:tcPr>
            <w:tcW w:type="dxa" w:w="1260"/>
            <w:vAlign w:val="center"/>
            <w:shd w:fill="EAF2F8"/>
          </w:tcPr>
          <w:p>
            <w:r>
              <w:rPr>
                <w:rFonts w:ascii="Aptos" w:hAnsi="Aptos"/>
                <w:b w:val="0"/>
                <w:color w:val="000000"/>
                <w:sz w:val="17"/>
              </w:rPr>
              <w:t>2.45 min</w:t>
            </w:r>
          </w:p>
        </w:tc>
        <w:tc>
          <w:tcPr>
            <w:tcW w:type="dxa" w:w="1260"/>
            <w:vAlign w:val="center"/>
            <w:shd w:fill="EAF2F8"/>
          </w:tcPr>
          <w:p>
            <w:r>
              <w:rPr>
                <w:rFonts w:ascii="Aptos" w:hAnsi="Aptos"/>
                <w:b w:val="0"/>
                <w:color w:val="000000"/>
                <w:sz w:val="17"/>
              </w:rPr>
              <w:t>48</w:t>
            </w:r>
          </w:p>
        </w:tc>
        <w:tc>
          <w:tcPr>
            <w:tcW w:type="dxa" w:w="1260"/>
            <w:vAlign w:val="center"/>
            <w:shd w:fill="EAF2F8"/>
          </w:tcPr>
          <w:p>
            <w:r>
              <w:rPr>
                <w:rFonts w:ascii="Aptos" w:hAnsi="Aptos"/>
                <w:b w:val="0"/>
                <w:color w:val="000000"/>
                <w:sz w:val="17"/>
              </w:rPr>
              <w:t>90.6%</w:t>
            </w:r>
          </w:p>
        </w:tc>
        <w:tc>
          <w:tcPr>
            <w:tcW w:type="dxa" w:w="1260"/>
            <w:vAlign w:val="center"/>
            <w:shd w:fill="EAF2F8"/>
          </w:tcPr>
          <w:p>
            <w:r>
              <w:rPr>
                <w:rFonts w:ascii="Aptos" w:hAnsi="Aptos"/>
                <w:b w:val="0"/>
                <w:color w:val="000000"/>
                <w:sz w:val="17"/>
              </w:rPr>
              <w:t>52.52</w:t>
            </w:r>
          </w:p>
        </w:tc>
        <w:tc>
          <w:tcPr>
            <w:tcW w:type="dxa" w:w="1260"/>
            <w:vAlign w:val="center"/>
            <w:shd w:fill="EAF2F8"/>
          </w:tcPr>
          <w:p>
            <w:r>
              <w:rPr>
                <w:rFonts w:ascii="Aptos" w:hAnsi="Aptos"/>
                <w:b w:val="0"/>
                <w:color w:val="000000"/>
                <w:sz w:val="17"/>
              </w:rPr>
              <w:t>74.33</w:t>
            </w:r>
          </w:p>
        </w:tc>
      </w:tr>
    </w:tbl>
    <w:p>
      <w:pPr>
        <w:spacing w:after="40"/>
      </w:pPr>
    </w:p>
    <w:p>
      <w:pPr>
        <w:spacing w:after="120" w:line="264" w:lineRule="auto"/>
      </w:pPr>
      <w:r>
        <w:rPr>
          <w:rFonts w:ascii="Aptos" w:hAnsi="Aptos"/>
          <w:b w:val="0"/>
          <w:color w:val="000000"/>
          <w:sz w:val="20"/>
        </w:rPr>
        <w:t>Both NLLB outputs have 25 pages and non-empty text. First, middle, and final rendered pages were visually clean in this story-book corpus. The corpus has no complex tables, so it does not prove table-layout quality.</w:t>
      </w:r>
    </w:p>
    <w:p>
      <w:pPr>
        <w:pStyle w:val="Heading1"/>
        <w:spacing w:before="200" w:after="80"/>
      </w:pPr>
      <w:r>
        <w:rPr>
          <w:rFonts w:ascii="Aptos" w:hAnsi="Aptos"/>
          <w:b/>
          <w:color w:val="000000"/>
          <w:sz w:val="26"/>
        </w:rPr>
        <w:t>Improve Translation Quality</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520"/>
            <w:shd w:fill="17365D"/>
            <w:vAlign w:val="center"/>
          </w:tcPr>
          <w:p>
            <w:pPr>
              <w:jc w:val="center"/>
            </w:pPr>
            <w:r>
              <w:rPr>
                <w:rFonts w:ascii="Aptos" w:hAnsi="Aptos"/>
                <w:b/>
                <w:color w:val="FFFFFF"/>
                <w:sz w:val="17"/>
              </w:rPr>
              <w:t>Priority</w:t>
            </w:r>
          </w:p>
        </w:tc>
        <w:tc>
          <w:tcPr>
            <w:tcW w:type="dxa" w:w="2520"/>
            <w:shd w:fill="17365D"/>
            <w:vAlign w:val="center"/>
          </w:tcPr>
          <w:p>
            <w:pPr>
              <w:jc w:val="center"/>
            </w:pPr>
            <w:r>
              <w:rPr>
                <w:rFonts w:ascii="Aptos" w:hAnsi="Aptos"/>
                <w:b/>
                <w:color w:val="FFFFFF"/>
                <w:sz w:val="17"/>
              </w:rPr>
              <w:t>Change</w:t>
            </w:r>
          </w:p>
        </w:tc>
        <w:tc>
          <w:tcPr>
            <w:tcW w:type="dxa" w:w="2520"/>
            <w:shd w:fill="17365D"/>
            <w:vAlign w:val="center"/>
          </w:tcPr>
          <w:p>
            <w:pPr>
              <w:jc w:val="center"/>
            </w:pPr>
            <w:r>
              <w:rPr>
                <w:rFonts w:ascii="Aptos" w:hAnsi="Aptos"/>
                <w:b/>
                <w:color w:val="FFFFFF"/>
                <w:sz w:val="17"/>
              </w:rPr>
              <w:t>Expected effect</w:t>
            </w:r>
          </w:p>
        </w:tc>
        <w:tc>
          <w:tcPr>
            <w:tcW w:type="dxa" w:w="2520"/>
            <w:shd w:fill="17365D"/>
            <w:vAlign w:val="center"/>
          </w:tcPr>
          <w:p>
            <w:pPr>
              <w:jc w:val="center"/>
            </w:pPr>
            <w:r>
              <w:rPr>
                <w:rFonts w:ascii="Aptos" w:hAnsi="Aptos"/>
                <w:b/>
                <w:color w:val="FFFFFF"/>
                <w:sz w:val="17"/>
              </w:rPr>
              <w:t>Validation</w:t>
            </w:r>
          </w:p>
        </w:tc>
      </w:tr>
      <w:tr>
        <w:tc>
          <w:tcPr>
            <w:tcW w:type="dxa" w:w="2520"/>
            <w:vAlign w:val="center"/>
          </w:tcPr>
          <w:p>
            <w:r>
              <w:rPr>
                <w:rFonts w:ascii="Aptos" w:hAnsi="Aptos"/>
                <w:b w:val="0"/>
                <w:color w:val="000000"/>
                <w:sz w:val="17"/>
              </w:rPr>
              <w:t>P0</w:t>
            </w:r>
          </w:p>
        </w:tc>
        <w:tc>
          <w:tcPr>
            <w:tcW w:type="dxa" w:w="2520"/>
            <w:vAlign w:val="center"/>
          </w:tcPr>
          <w:p>
            <w:r>
              <w:rPr>
                <w:rFonts w:ascii="Aptos" w:hAnsi="Aptos"/>
                <w:b w:val="0"/>
                <w:color w:val="000000"/>
                <w:sz w:val="17"/>
              </w:rPr>
              <w:t>Evaluate balanced mode as the normal NLLB path</w:t>
            </w:r>
          </w:p>
        </w:tc>
        <w:tc>
          <w:tcPr>
            <w:tcW w:type="dxa" w:w="2520"/>
            <w:vAlign w:val="center"/>
          </w:tcPr>
          <w:p>
            <w:r>
              <w:rPr>
                <w:rFonts w:ascii="Aptos" w:hAnsi="Aptos"/>
                <w:b w:val="0"/>
                <w:color w:val="000000"/>
                <w:sz w:val="17"/>
              </w:rPr>
              <w:t>Adds document analysis, memory, semantic chunking, prompts, review, cache, and prepass</w:t>
            </w:r>
          </w:p>
        </w:tc>
        <w:tc>
          <w:tcPr>
            <w:tcW w:type="dxa" w:w="2520"/>
            <w:vAlign w:val="center"/>
          </w:tcPr>
          <w:p>
            <w:r>
              <w:rPr>
                <w:rFonts w:ascii="Aptos" w:hAnsi="Aptos"/>
                <w:b w:val="0"/>
                <w:color w:val="000000"/>
                <w:sz w:val="17"/>
              </w:rPr>
              <w:t>Compare with fast baseline using bilingual rubric</w:t>
            </w:r>
          </w:p>
        </w:tc>
      </w:tr>
      <w:tr>
        <w:tc>
          <w:tcPr>
            <w:tcW w:type="dxa" w:w="2520"/>
            <w:vAlign w:val="center"/>
            <w:shd w:fill="EAF2F8"/>
          </w:tcPr>
          <w:p>
            <w:r>
              <w:rPr>
                <w:rFonts w:ascii="Aptos" w:hAnsi="Aptos"/>
                <w:b w:val="0"/>
                <w:color w:val="000000"/>
                <w:sz w:val="17"/>
              </w:rPr>
              <w:t>P0</w:t>
            </w:r>
          </w:p>
        </w:tc>
        <w:tc>
          <w:tcPr>
            <w:tcW w:type="dxa" w:w="2520"/>
            <w:vAlign w:val="center"/>
            <w:shd w:fill="EAF2F8"/>
          </w:tcPr>
          <w:p>
            <w:r>
              <w:rPr>
                <w:rFonts w:ascii="Aptos" w:hAnsi="Aptos"/>
                <w:b w:val="0"/>
                <w:color w:val="000000"/>
                <w:sz w:val="17"/>
              </w:rPr>
              <w:t>Create bilingual grammar, tone, coherence, and terminology review set</w:t>
            </w:r>
          </w:p>
        </w:tc>
        <w:tc>
          <w:tcPr>
            <w:tcW w:type="dxa" w:w="2520"/>
            <w:vAlign w:val="center"/>
            <w:shd w:fill="EAF2F8"/>
          </w:tcPr>
          <w:p>
            <w:r>
              <w:rPr>
                <w:rFonts w:ascii="Aptos" w:hAnsi="Aptos"/>
                <w:b w:val="0"/>
                <w:color w:val="000000"/>
                <w:sz w:val="17"/>
              </w:rPr>
              <w:t>Makes acceptance reflect natural educational language</w:t>
            </w:r>
          </w:p>
        </w:tc>
        <w:tc>
          <w:tcPr>
            <w:tcW w:type="dxa" w:w="2520"/>
            <w:vAlign w:val="center"/>
            <w:shd w:fill="EAF2F8"/>
          </w:tcPr>
          <w:p>
            <w:r>
              <w:rPr>
                <w:rFonts w:ascii="Aptos" w:hAnsi="Aptos"/>
                <w:b w:val="0"/>
                <w:color w:val="000000"/>
                <w:sz w:val="17"/>
              </w:rPr>
              <w:t>No critical reviewer defect</w:t>
            </w:r>
          </w:p>
        </w:tc>
      </w:tr>
      <w:tr>
        <w:tc>
          <w:tcPr>
            <w:tcW w:type="dxa" w:w="2520"/>
            <w:vAlign w:val="center"/>
          </w:tcPr>
          <w:p>
            <w:r>
              <w:rPr>
                <w:rFonts w:ascii="Aptos" w:hAnsi="Aptos"/>
                <w:b w:val="0"/>
                <w:color w:val="000000"/>
                <w:sz w:val="17"/>
              </w:rPr>
              <w:t>P1</w:t>
            </w:r>
          </w:p>
        </w:tc>
        <w:tc>
          <w:tcPr>
            <w:tcW w:type="dxa" w:w="2520"/>
            <w:vAlign w:val="center"/>
          </w:tcPr>
          <w:p>
            <w:r>
              <w:rPr>
                <w:rFonts w:ascii="Aptos" w:hAnsi="Aptos"/>
                <w:b w:val="0"/>
                <w:color w:val="000000"/>
                <w:sz w:val="17"/>
              </w:rPr>
              <w:t>Use glossary and document memory for recurring terms</w:t>
            </w:r>
          </w:p>
        </w:tc>
        <w:tc>
          <w:tcPr>
            <w:tcW w:type="dxa" w:w="2520"/>
            <w:vAlign w:val="center"/>
          </w:tcPr>
          <w:p>
            <w:r>
              <w:rPr>
                <w:rFonts w:ascii="Aptos" w:hAnsi="Aptos"/>
                <w:b w:val="0"/>
                <w:color w:val="000000"/>
                <w:sz w:val="17"/>
              </w:rPr>
              <w:t>Improves terminology and cross-page consistency</w:t>
            </w:r>
          </w:p>
        </w:tc>
        <w:tc>
          <w:tcPr>
            <w:tcW w:type="dxa" w:w="2520"/>
            <w:vAlign w:val="center"/>
          </w:tcPr>
          <w:p>
            <w:r>
              <w:rPr>
                <w:rFonts w:ascii="Aptos" w:hAnsi="Aptos"/>
                <w:b w:val="0"/>
                <w:color w:val="000000"/>
                <w:sz w:val="17"/>
              </w:rPr>
              <w:t>Term consistency by language pair</w:t>
            </w:r>
          </w:p>
        </w:tc>
      </w:tr>
      <w:tr>
        <w:tc>
          <w:tcPr>
            <w:tcW w:type="dxa" w:w="2520"/>
            <w:vAlign w:val="center"/>
            <w:shd w:fill="EAF2F8"/>
          </w:tcPr>
          <w:p>
            <w:r>
              <w:rPr>
                <w:rFonts w:ascii="Aptos" w:hAnsi="Aptos"/>
                <w:b w:val="0"/>
                <w:color w:val="000000"/>
                <w:sz w:val="17"/>
              </w:rPr>
              <w:t>P1</w:t>
            </w:r>
          </w:p>
        </w:tc>
        <w:tc>
          <w:tcPr>
            <w:tcW w:type="dxa" w:w="2520"/>
            <w:vAlign w:val="center"/>
            <w:shd w:fill="EAF2F8"/>
          </w:tcPr>
          <w:p>
            <w:r>
              <w:rPr>
                <w:rFonts w:ascii="Aptos" w:hAnsi="Aptos"/>
                <w:b w:val="0"/>
                <w:color w:val="000000"/>
                <w:sz w:val="17"/>
              </w:rPr>
              <w:t>Use quality review and coherence polish after validation</w:t>
            </w:r>
          </w:p>
        </w:tc>
        <w:tc>
          <w:tcPr>
            <w:tcW w:type="dxa" w:w="2520"/>
            <w:vAlign w:val="center"/>
            <w:shd w:fill="EAF2F8"/>
          </w:tcPr>
          <w:p>
            <w:r>
              <w:rPr>
                <w:rFonts w:ascii="Aptos" w:hAnsi="Aptos"/>
                <w:b w:val="0"/>
                <w:color w:val="000000"/>
                <w:sz w:val="17"/>
              </w:rPr>
              <w:t>Targets awkward phrasing and cohesion defects</w:t>
            </w:r>
          </w:p>
        </w:tc>
        <w:tc>
          <w:tcPr>
            <w:tcW w:type="dxa" w:w="2520"/>
            <w:vAlign w:val="center"/>
            <w:shd w:fill="EAF2F8"/>
          </w:tcPr>
          <w:p>
            <w:r>
              <w:rPr>
                <w:rFonts w:ascii="Aptos" w:hAnsi="Aptos"/>
                <w:b w:val="0"/>
                <w:color w:val="000000"/>
                <w:sz w:val="17"/>
              </w:rPr>
              <w:t>Review after every repair</w:t>
            </w:r>
          </w:p>
        </w:tc>
      </w:tr>
      <w:tr>
        <w:tc>
          <w:tcPr>
            <w:tcW w:type="dxa" w:w="2520"/>
            <w:vAlign w:val="center"/>
          </w:tcPr>
          <w:p>
            <w:r>
              <w:rPr>
                <w:rFonts w:ascii="Aptos" w:hAnsi="Aptos"/>
                <w:b w:val="0"/>
                <w:color w:val="000000"/>
                <w:sz w:val="17"/>
              </w:rPr>
              <w:t>P1</w:t>
            </w:r>
          </w:p>
        </w:tc>
        <w:tc>
          <w:tcPr>
            <w:tcW w:type="dxa" w:w="2520"/>
            <w:vAlign w:val="center"/>
          </w:tcPr>
          <w:p>
            <w:r>
              <w:rPr>
                <w:rFonts w:ascii="Aptos" w:hAnsi="Aptos"/>
                <w:b w:val="0"/>
                <w:color w:val="000000"/>
                <w:sz w:val="17"/>
              </w:rPr>
              <w:t>Protect non-translatable spans</w:t>
            </w:r>
          </w:p>
        </w:tc>
        <w:tc>
          <w:tcPr>
            <w:tcW w:type="dxa" w:w="2520"/>
            <w:vAlign w:val="center"/>
          </w:tcPr>
          <w:p>
            <w:r>
              <w:rPr>
                <w:rFonts w:ascii="Aptos" w:hAnsi="Aptos"/>
                <w:b w:val="0"/>
                <w:color w:val="000000"/>
                <w:sz w:val="17"/>
              </w:rPr>
              <w:t>Avoids title/header false failures and source echoes</w:t>
            </w:r>
          </w:p>
        </w:tc>
        <w:tc>
          <w:tcPr>
            <w:tcW w:type="dxa" w:w="2520"/>
            <w:vAlign w:val="center"/>
          </w:tcPr>
          <w:p>
            <w:r>
              <w:rPr>
                <w:rFonts w:ascii="Aptos" w:hAnsi="Aptos"/>
                <w:b w:val="0"/>
                <w:color w:val="000000"/>
                <w:sz w:val="17"/>
              </w:rPr>
              <w:t>Span-level regression tests</w:t>
            </w:r>
          </w:p>
        </w:tc>
      </w:tr>
    </w:tbl>
    <w:p>
      <w:pPr>
        <w:spacing w:after="40"/>
      </w:pPr>
    </w:p>
    <w:p>
      <w:pPr>
        <w:pStyle w:val="Heading1"/>
        <w:spacing w:before="200" w:after="80"/>
      </w:pPr>
      <w:r>
        <w:rPr>
          <w:rFonts w:ascii="Aptos" w:hAnsi="Aptos"/>
          <w:b/>
          <w:color w:val="000000"/>
          <w:sz w:val="26"/>
        </w:rPr>
        <w:t>Improve Layout Quality</w:t>
      </w:r>
    </w:p>
    <w:p>
      <w:pPr>
        <w:spacing w:after="120" w:line="264" w:lineRule="auto"/>
      </w:pPr>
      <w:r>
        <w:rPr>
          <w:rFonts w:ascii="Aptos" w:hAnsi="Aptos"/>
          <w:b w:val="0"/>
          <w:color w:val="000000"/>
          <w:sz w:val="20"/>
        </w:rPr>
        <w:t>The current PDF writer first expands a text rectangle, then reduces font size down to 6 pt, then attempts a continuation box. Add a preflight fit measurement, log every intervention, and fail layout QA on clipping or collision. Build fixtures with tables, long cells, captions, multicolumn layouts, headers/footers, and mixed fonts because this story-book corpus cannot validate them.</w:t>
      </w:r>
    </w:p>
    <w:p>
      <w:pPr>
        <w:pStyle w:val="Heading1"/>
        <w:spacing w:before="200" w:after="80"/>
      </w:pPr>
      <w:r>
        <w:rPr>
          <w:rFonts w:ascii="Aptos" w:hAnsi="Aptos"/>
          <w:b/>
          <w:color w:val="000000"/>
          <w:sz w:val="26"/>
        </w:rPr>
        <w:t>Improve Speed</w:t>
      </w:r>
    </w:p>
    <w:p>
      <w:pPr>
        <w:spacing w:after="120" w:line="264" w:lineRule="auto"/>
      </w:pPr>
      <w:r>
        <w:rPr>
          <w:rFonts w:ascii="Aptos" w:hAnsi="Aptos"/>
          <w:b w:val="0"/>
          <w:color w:val="000000"/>
          <w:sz w:val="20"/>
        </w:rPr>
        <w:t>Engine-recorded model-call time consumed 79.3 percent of English-to-Cebuano runtime and 90.6 percent of Cebuano-to-English runtime. NLLB translates one block at a time, serializes generation, and uses four beams. Prioritize batched generation, a measured Torch-thread sweep, and a beam-count ablation. Keep exact-block cache for privacy-reviewed production use, not controlled first-pass evaluation.</w:t>
      </w:r>
    </w:p>
    <w:p>
      <w:pPr>
        <w:pStyle w:val="Heading1"/>
        <w:spacing w:before="200" w:after="80"/>
      </w:pPr>
      <w:r>
        <w:rPr>
          <w:rFonts w:ascii="Aptos" w:hAnsi="Aptos"/>
          <w:b/>
          <w:color w:val="000000"/>
          <w:sz w:val="26"/>
        </w:rPr>
        <w:t>Release Gate</w:t>
      </w:r>
    </w:p>
    <w:p>
      <w:pPr>
        <w:spacing w:after="120" w:line="264" w:lineRule="auto"/>
      </w:pPr>
      <w:r>
        <w:rPr>
          <w:rFonts w:ascii="Aptos" w:hAnsi="Aptos"/>
          <w:b w:val="0"/>
          <w:color w:val="000000"/>
          <w:sz w:val="20"/>
        </w:rPr>
        <w:t>Release only when every page renders cleanly, no table or text box clips or overlaps, no protected span triggers a false failure, bilingual review finds no critical meaning, grammar, tone, or cohesion defect, automatic scores remain within the approved tolerance, and median latency is acceptable for the selected quality mode.</w:t>
      </w:r>
    </w:p>
    <w:p>
      <w:pPr>
        <w:pStyle w:val="Heading1"/>
        <w:spacing w:before="200" w:after="80"/>
      </w:pPr>
      <w:r>
        <w:rPr>
          <w:rFonts w:ascii="Aptos" w:hAnsi="Aptos"/>
          <w:b/>
          <w:color w:val="000000"/>
          <w:sz w:val="26"/>
        </w:rPr>
        <w:t>Recommended Order</w:t>
      </w:r>
    </w:p>
    <w:p>
      <w:pPr>
        <w:spacing w:after="120" w:line="264" w:lineRule="auto"/>
      </w:pPr>
      <w:r>
        <w:rPr>
          <w:rFonts w:ascii="Aptos" w:hAnsi="Aptos"/>
          <w:b w:val="0"/>
          <w:color w:val="000000"/>
          <w:sz w:val="20"/>
        </w:rPr>
        <w:t>Establish bilingual and layout fixtures first. Then test NLLB balanced mode with glossary, memory, review, and coherence polish against fast mode. Next benchmark batching, threads, and beams. Finally run GPT OSS and NLLB with the same timed protocol before selecting a provider.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