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40"/>
        </w:rPr>
        <w:t>TriLingua Provider Neutral Pipeline Improvement Report</w:t>
      </w:r>
    </w:p>
    <w:p>
      <w:pPr>
        <w:spacing w:after="240"/>
      </w:pPr>
      <w:r>
        <w:rPr>
          <w:rFonts w:ascii="Aptos" w:hAnsi="Aptos"/>
          <w:b w:val="0"/>
          <w:color w:val="404040"/>
          <w:sz w:val="21"/>
        </w:rPr>
        <w:t>A quality layout and speed roadmap independent of the selected translation model</w:t>
      </w:r>
    </w:p>
    <w:p>
      <w:pPr>
        <w:spacing w:after="120" w:line="264" w:lineRule="auto"/>
      </w:pPr>
      <w:r>
        <w:rPr>
          <w:rFonts w:ascii="Aptos" w:hAnsi="Aptos"/>
          <w:b w:val="0"/>
          <w:color w:val="000000"/>
          <w:sz w:val="20"/>
        </w:rPr>
        <w:t>Improve the pipeline independently of NLLB or GPT OSS. NLLB is a reproducible Part2 benchmark, not the architecture reference. GPT OSS is a quality candidate, not a permanent default. Every provider must receive the same context, terminology controls, review gate, layout protection, scheduler, and evidence requirements.</w:t>
      </w:r>
    </w:p>
    <w:p>
      <w:pPr>
        <w:pStyle w:val="Heading1"/>
        <w:spacing w:before="200" w:after="80"/>
      </w:pPr>
      <w:r>
        <w:rPr>
          <w:rFonts w:ascii="Aptos" w:hAnsi="Aptos"/>
          <w:b/>
          <w:color w:val="000000"/>
          <w:sz w:val="26"/>
        </w:rPr>
        <w:t>Evidence</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c>
          <w:tcPr>
            <w:tcW w:type="dxa" w:w="2016"/>
            <w:shd w:fill="17365D"/>
            <w:vAlign w:val="center"/>
          </w:tcPr>
          <w:p>
            <w:pPr>
              <w:jc w:val="center"/>
            </w:pPr>
            <w:r>
              <w:rPr>
                <w:rFonts w:ascii="Aptos" w:hAnsi="Aptos"/>
                <w:b/>
                <w:color w:val="FFFFFF"/>
                <w:sz w:val="17"/>
              </w:rPr>
              <w:t>Direction</w:t>
            </w:r>
          </w:p>
        </w:tc>
        <w:tc>
          <w:tcPr>
            <w:tcW w:type="dxa" w:w="2016"/>
            <w:shd w:fill="17365D"/>
            <w:vAlign w:val="center"/>
          </w:tcPr>
          <w:p>
            <w:pPr>
              <w:jc w:val="center"/>
            </w:pPr>
            <w:r>
              <w:rPr>
                <w:rFonts w:ascii="Aptos" w:hAnsi="Aptos"/>
                <w:b/>
                <w:color w:val="FFFFFF"/>
                <w:sz w:val="17"/>
              </w:rPr>
              <w:t>NLLB BLEU chrF</w:t>
            </w:r>
          </w:p>
        </w:tc>
        <w:tc>
          <w:tcPr>
            <w:tcW w:type="dxa" w:w="2016"/>
            <w:shd w:fill="17365D"/>
            <w:vAlign w:val="center"/>
          </w:tcPr>
          <w:p>
            <w:pPr>
              <w:jc w:val="center"/>
            </w:pPr>
            <w:r>
              <w:rPr>
                <w:rFonts w:ascii="Aptos" w:hAnsi="Aptos"/>
                <w:b/>
                <w:color w:val="FFFFFF"/>
                <w:sz w:val="17"/>
              </w:rPr>
              <w:t>NLLB time</w:t>
            </w:r>
          </w:p>
        </w:tc>
        <w:tc>
          <w:tcPr>
            <w:tcW w:type="dxa" w:w="2016"/>
            <w:shd w:fill="17365D"/>
            <w:vAlign w:val="center"/>
          </w:tcPr>
          <w:p>
            <w:pPr>
              <w:jc w:val="center"/>
            </w:pPr>
            <w:r>
              <w:rPr>
                <w:rFonts w:ascii="Aptos" w:hAnsi="Aptos"/>
                <w:b/>
                <w:color w:val="FFFFFF"/>
                <w:sz w:val="17"/>
              </w:rPr>
              <w:t>GPT OSS BLEU chrF</w:t>
            </w:r>
          </w:p>
        </w:tc>
        <w:tc>
          <w:tcPr>
            <w:tcW w:type="dxa" w:w="2016"/>
            <w:shd w:fill="17365D"/>
            <w:vAlign w:val="center"/>
          </w:tcPr>
          <w:p>
            <w:pPr>
              <w:jc w:val="center"/>
            </w:pPr>
            <w:r>
              <w:rPr>
                <w:rFonts w:ascii="Aptos" w:hAnsi="Aptos"/>
                <w:b/>
                <w:color w:val="FFFFFF"/>
                <w:sz w:val="17"/>
              </w:rPr>
              <w:t>Structure</w:t>
            </w:r>
          </w:p>
        </w:tc>
      </w:tr>
      <w:tr>
        <w:tc>
          <w:tcPr>
            <w:tcW w:type="dxa" w:w="2016"/>
            <w:vAlign w:val="center"/>
          </w:tcPr>
          <w:p>
            <w:r>
              <w:rPr>
                <w:rFonts w:ascii="Aptos" w:hAnsi="Aptos"/>
                <w:b w:val="0"/>
                <w:color w:val="000000"/>
                <w:sz w:val="17"/>
              </w:rPr>
              <w:t>English to Cebuano</w:t>
            </w:r>
          </w:p>
        </w:tc>
        <w:tc>
          <w:tcPr>
            <w:tcW w:type="dxa" w:w="2016"/>
            <w:vAlign w:val="center"/>
          </w:tcPr>
          <w:p>
            <w:r>
              <w:rPr>
                <w:rFonts w:ascii="Aptos" w:hAnsi="Aptos"/>
                <w:b w:val="0"/>
                <w:color w:val="000000"/>
                <w:sz w:val="17"/>
              </w:rPr>
              <w:t>26.67 / 58.44</w:t>
            </w:r>
          </w:p>
        </w:tc>
        <w:tc>
          <w:tcPr>
            <w:tcW w:type="dxa" w:w="2016"/>
            <w:vAlign w:val="center"/>
          </w:tcPr>
          <w:p>
            <w:r>
              <w:rPr>
                <w:rFonts w:ascii="Aptos" w:hAnsi="Aptos"/>
                <w:b w:val="0"/>
                <w:color w:val="000000"/>
                <w:sz w:val="17"/>
              </w:rPr>
              <w:t>3.27 min</w:t>
            </w:r>
          </w:p>
        </w:tc>
        <w:tc>
          <w:tcPr>
            <w:tcW w:type="dxa" w:w="2016"/>
            <w:vAlign w:val="center"/>
          </w:tcPr>
          <w:p>
            <w:r>
              <w:rPr>
                <w:rFonts w:ascii="Aptos" w:hAnsi="Aptos"/>
                <w:b w:val="0"/>
                <w:color w:val="000000"/>
                <w:sz w:val="17"/>
              </w:rPr>
              <w:t>29.68 / 61.86</w:t>
            </w:r>
          </w:p>
        </w:tc>
        <w:tc>
          <w:tcPr>
            <w:tcW w:type="dxa" w:w="2016"/>
            <w:vAlign w:val="center"/>
          </w:tcPr>
          <w:p>
            <w:r>
              <w:rPr>
                <w:rFonts w:ascii="Aptos" w:hAnsi="Aptos"/>
                <w:b w:val="0"/>
                <w:color w:val="000000"/>
                <w:sz w:val="17"/>
              </w:rPr>
              <w:t>25 pages; non-empty text for both</w:t>
            </w:r>
          </w:p>
        </w:tc>
      </w:tr>
      <w:tr>
        <w:tc>
          <w:tcPr>
            <w:tcW w:type="dxa" w:w="2016"/>
            <w:vAlign w:val="center"/>
            <w:shd w:fill="EAF2F8"/>
          </w:tcPr>
          <w:p>
            <w:r>
              <w:rPr>
                <w:rFonts w:ascii="Aptos" w:hAnsi="Aptos"/>
                <w:b w:val="0"/>
                <w:color w:val="000000"/>
                <w:sz w:val="17"/>
              </w:rPr>
              <w:t>Cebuano to English</w:t>
            </w:r>
          </w:p>
        </w:tc>
        <w:tc>
          <w:tcPr>
            <w:tcW w:type="dxa" w:w="2016"/>
            <w:vAlign w:val="center"/>
            <w:shd w:fill="EAF2F8"/>
          </w:tcPr>
          <w:p>
            <w:r>
              <w:rPr>
                <w:rFonts w:ascii="Aptos" w:hAnsi="Aptos"/>
                <w:b w:val="0"/>
                <w:color w:val="000000"/>
                <w:sz w:val="17"/>
              </w:rPr>
              <w:t>31.03 / 57.0</w:t>
            </w:r>
          </w:p>
        </w:tc>
        <w:tc>
          <w:tcPr>
            <w:tcW w:type="dxa" w:w="2016"/>
            <w:vAlign w:val="center"/>
            <w:shd w:fill="EAF2F8"/>
          </w:tcPr>
          <w:p>
            <w:r>
              <w:rPr>
                <w:rFonts w:ascii="Aptos" w:hAnsi="Aptos"/>
                <w:b w:val="0"/>
                <w:color w:val="000000"/>
                <w:sz w:val="17"/>
              </w:rPr>
              <w:t>2.45 min</w:t>
            </w:r>
          </w:p>
        </w:tc>
        <w:tc>
          <w:tcPr>
            <w:tcW w:type="dxa" w:w="2016"/>
            <w:vAlign w:val="center"/>
            <w:shd w:fill="EAF2F8"/>
          </w:tcPr>
          <w:p>
            <w:r>
              <w:rPr>
                <w:rFonts w:ascii="Aptos" w:hAnsi="Aptos"/>
                <w:b w:val="0"/>
                <w:color w:val="000000"/>
                <w:sz w:val="17"/>
              </w:rPr>
              <w:t>52.52 / 74.33</w:t>
            </w:r>
          </w:p>
        </w:tc>
        <w:tc>
          <w:tcPr>
            <w:tcW w:type="dxa" w:w="2016"/>
            <w:vAlign w:val="center"/>
            <w:shd w:fill="EAF2F8"/>
          </w:tcPr>
          <w:p>
            <w:r>
              <w:rPr>
                <w:rFonts w:ascii="Aptos" w:hAnsi="Aptos"/>
                <w:b w:val="0"/>
                <w:color w:val="000000"/>
                <w:sz w:val="17"/>
              </w:rPr>
              <w:t>25 pages; non-empty text for both</w:t>
            </w:r>
          </w:p>
        </w:tc>
      </w:tr>
    </w:tbl>
    <w:p>
      <w:pPr>
        <w:spacing w:after="40"/>
      </w:pPr>
    </w:p>
    <w:p>
      <w:pPr>
        <w:spacing w:after="120" w:line="264" w:lineRule="auto"/>
      </w:pPr>
      <w:r>
        <w:rPr>
          <w:rFonts w:ascii="Aptos" w:hAnsi="Aptos"/>
          <w:b w:val="0"/>
          <w:color w:val="000000"/>
          <w:sz w:val="20"/>
        </w:rPr>
        <w:t>NLLB produced deterministic short samples and 25-page outputs. Supplied GPT OSS PDFs scored higher in both directions, but lack reproducible timing and configuration evidence. This supports a controlled provider comparison rather than an unconditional provider decision.</w:t>
      </w:r>
    </w:p>
    <w:p>
      <w:pPr>
        <w:pStyle w:val="Heading1"/>
        <w:spacing w:before="200" w:after="80"/>
      </w:pPr>
      <w:r>
        <w:rPr>
          <w:rFonts w:ascii="Aptos" w:hAnsi="Aptos"/>
          <w:b/>
          <w:color w:val="000000"/>
          <w:sz w:val="26"/>
        </w:rPr>
        <w:t>Target Pipeline</w:t>
      </w:r>
    </w:p>
    <w:p>
      <w:pPr>
        <w:spacing w:after="120" w:line="264" w:lineRule="auto"/>
      </w:pPr>
      <w:r>
        <w:rPr>
          <w:rFonts w:ascii="Aptos" w:hAnsi="Aptos"/>
          <w:b w:val="0"/>
          <w:color w:val="000000"/>
          <w:sz w:val="20"/>
        </w:rPr>
        <w:t>Extract PDF structure, build a document map and reading order, identify protected spans and glossary terms, group semantic translation units with local context, schedule provider-neutral translation tasks, review and selectively repair, preflight layout fit, reconstruct, render, validate, and persist privacy-safe evidence.</w:t>
      </w:r>
    </w:p>
    <w:p>
      <w:pPr>
        <w:pStyle w:val="Heading1"/>
        <w:spacing w:before="200" w:after="80"/>
      </w:pPr>
      <w:r>
        <w:rPr>
          <w:rFonts w:ascii="Aptos" w:hAnsi="Aptos"/>
          <w:b/>
          <w:color w:val="000000"/>
          <w:sz w:val="26"/>
        </w:rPr>
        <w:t>Provider Neutral Interfaces</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5040"/>
            <w:shd w:fill="17365D"/>
            <w:vAlign w:val="center"/>
          </w:tcPr>
          <w:p>
            <w:pPr>
              <w:jc w:val="center"/>
            </w:pPr>
            <w:r>
              <w:rPr>
                <w:rFonts w:ascii="Aptos" w:hAnsi="Aptos"/>
                <w:b/>
                <w:color w:val="FFFFFF"/>
                <w:sz w:val="17"/>
              </w:rPr>
              <w:t>Interface</w:t>
            </w:r>
          </w:p>
        </w:tc>
        <w:tc>
          <w:tcPr>
            <w:tcW w:type="dxa" w:w="5040"/>
            <w:shd w:fill="17365D"/>
            <w:vAlign w:val="center"/>
          </w:tcPr>
          <w:p>
            <w:pPr>
              <w:jc w:val="center"/>
            </w:pPr>
            <w:r>
              <w:rPr>
                <w:rFonts w:ascii="Aptos" w:hAnsi="Aptos"/>
                <w:b/>
                <w:color w:val="FFFFFF"/>
                <w:sz w:val="17"/>
              </w:rPr>
              <w:t>Required responsibility</w:t>
            </w:r>
          </w:p>
        </w:tc>
      </w:tr>
      <w:tr>
        <w:tc>
          <w:tcPr>
            <w:tcW w:type="dxa" w:w="5040"/>
            <w:vAlign w:val="center"/>
          </w:tcPr>
          <w:p>
            <w:r>
              <w:rPr>
                <w:rFonts w:ascii="Aptos" w:hAnsi="Aptos"/>
                <w:b w:val="0"/>
                <w:color w:val="000000"/>
                <w:sz w:val="17"/>
              </w:rPr>
              <w:t>TranslationUnit</w:t>
            </w:r>
          </w:p>
        </w:tc>
        <w:tc>
          <w:tcPr>
            <w:tcW w:type="dxa" w:w="5040"/>
            <w:vAlign w:val="center"/>
          </w:tcPr>
          <w:p>
            <w:r>
              <w:rPr>
                <w:rFonts w:ascii="Aptos" w:hAnsi="Aptos"/>
                <w:b w:val="0"/>
                <w:color w:val="000000"/>
                <w:sz w:val="17"/>
              </w:rPr>
              <w:t>Carries unit ID, page, reading order, box, role, section, local context, table headers, source text, and protected spans.</w:t>
            </w:r>
          </w:p>
        </w:tc>
      </w:tr>
      <w:tr>
        <w:tc>
          <w:tcPr>
            <w:tcW w:type="dxa" w:w="5040"/>
            <w:vAlign w:val="center"/>
            <w:shd w:fill="EAF2F8"/>
          </w:tcPr>
          <w:p>
            <w:r>
              <w:rPr>
                <w:rFonts w:ascii="Aptos" w:hAnsi="Aptos"/>
                <w:b w:val="0"/>
                <w:color w:val="000000"/>
                <w:sz w:val="17"/>
              </w:rPr>
              <w:t>ProviderCapabilities</w:t>
            </w:r>
          </w:p>
        </w:tc>
        <w:tc>
          <w:tcPr>
            <w:tcW w:type="dxa" w:w="5040"/>
            <w:vAlign w:val="center"/>
            <w:shd w:fill="EAF2F8"/>
          </w:tcPr>
          <w:p>
            <w:r>
              <w:rPr>
                <w:rFonts w:ascii="Aptos" w:hAnsi="Aptos"/>
                <w:b w:val="0"/>
                <w:color w:val="000000"/>
                <w:sz w:val="17"/>
              </w:rPr>
              <w:t>Declares batch, concurrency, context, language, and latency capabilities for the scheduler.</w:t>
            </w:r>
          </w:p>
        </w:tc>
      </w:tr>
      <w:tr>
        <w:tc>
          <w:tcPr>
            <w:tcW w:type="dxa" w:w="5040"/>
            <w:vAlign w:val="center"/>
          </w:tcPr>
          <w:p>
            <w:r>
              <w:rPr>
                <w:rFonts w:ascii="Aptos" w:hAnsi="Aptos"/>
                <w:b w:val="0"/>
                <w:color w:val="000000"/>
                <w:sz w:val="17"/>
              </w:rPr>
              <w:t>translate_many</w:t>
            </w:r>
          </w:p>
        </w:tc>
        <w:tc>
          <w:tcPr>
            <w:tcW w:type="dxa" w:w="5040"/>
            <w:vAlign w:val="center"/>
          </w:tcPr>
          <w:p>
            <w:r>
              <w:rPr>
                <w:rFonts w:ascii="Aptos" w:hAnsi="Aptos"/>
                <w:b w:val="0"/>
                <w:color w:val="000000"/>
                <w:sz w:val="17"/>
              </w:rPr>
              <w:t>Returns ordered per-unit status/error results without losing unit identity on retries.</w:t>
            </w:r>
          </w:p>
        </w:tc>
      </w:tr>
      <w:tr>
        <w:tc>
          <w:tcPr>
            <w:tcW w:type="dxa" w:w="5040"/>
            <w:vAlign w:val="center"/>
            <w:shd w:fill="EAF2F8"/>
          </w:tcPr>
          <w:p>
            <w:r>
              <w:rPr>
                <w:rFonts w:ascii="Aptos" w:hAnsi="Aptos"/>
                <w:b w:val="0"/>
                <w:color w:val="000000"/>
                <w:sz w:val="17"/>
              </w:rPr>
              <w:t>QualityResult</w:t>
            </w:r>
          </w:p>
        </w:tc>
        <w:tc>
          <w:tcPr>
            <w:tcW w:type="dxa" w:w="5040"/>
            <w:vAlign w:val="center"/>
            <w:shd w:fill="EAF2F8"/>
          </w:tcPr>
          <w:p>
            <w:r>
              <w:rPr>
                <w:rFonts w:ascii="Aptos" w:hAnsi="Aptos"/>
                <w:b w:val="0"/>
                <w:color w:val="000000"/>
                <w:sz w:val="17"/>
              </w:rPr>
              <w:t>Records review score, issue, repair eligibility, snippets, and reviewer provenance.</w:t>
            </w:r>
          </w:p>
        </w:tc>
      </w:tr>
      <w:tr>
        <w:tc>
          <w:tcPr>
            <w:tcW w:type="dxa" w:w="5040"/>
            <w:vAlign w:val="center"/>
          </w:tcPr>
          <w:p>
            <w:r>
              <w:rPr>
                <w:rFonts w:ascii="Aptos" w:hAnsi="Aptos"/>
                <w:b w:val="0"/>
                <w:color w:val="000000"/>
                <w:sz w:val="17"/>
              </w:rPr>
              <w:t>LayoutResult</w:t>
            </w:r>
          </w:p>
        </w:tc>
        <w:tc>
          <w:tcPr>
            <w:tcW w:type="dxa" w:w="5040"/>
            <w:vAlign w:val="center"/>
          </w:tcPr>
          <w:p>
            <w:r>
              <w:rPr>
                <w:rFonts w:ascii="Aptos" w:hAnsi="Aptos"/>
                <w:b w:val="0"/>
                <w:color w:val="000000"/>
                <w:sz w:val="17"/>
              </w:rPr>
              <w:t>Records fit actions, final geometry/font, collision state, and clipping state.</w:t>
            </w:r>
          </w:p>
        </w:tc>
      </w:tr>
    </w:tbl>
    <w:p>
      <w:pPr>
        <w:spacing w:after="40"/>
      </w:pPr>
    </w:p>
    <w:p>
      <w:pPr>
        <w:pStyle w:val="Heading1"/>
        <w:spacing w:before="200" w:after="80"/>
      </w:pPr>
      <w:r>
        <w:rPr>
          <w:rFonts w:ascii="Aptos" w:hAnsi="Aptos"/>
          <w:b/>
          <w:color w:val="000000"/>
          <w:sz w:val="26"/>
        </w:rPr>
        <w:t>Quality and Cohesion</w:t>
      </w:r>
    </w:p>
    <w:p>
      <w:pPr>
        <w:spacing w:after="120" w:line="264" w:lineRule="auto"/>
      </w:pPr>
      <w:r>
        <w:rPr>
          <w:rFonts w:ascii="Aptos" w:hAnsi="Aptos"/>
          <w:b w:val="0"/>
          <w:color w:val="000000"/>
          <w:sz w:val="20"/>
        </w:rPr>
        <w:t>Replace isolated PDF boxes with semantic units. Paragraphs retain their heading and neighboring context; table cells retain their row/column headers; recurring headers and footers are treated as document furniture. Build a document summary and terminology memory once, protect non-translatable spans, and judge grammar, tone, coherence, terminology, and meaning with a bilingual rubric. Review and selectively retry only flagged units with their context.</w:t>
      </w:r>
    </w:p>
    <w:p>
      <w:pPr>
        <w:pStyle w:val="Heading1"/>
        <w:spacing w:before="200" w:after="80"/>
      </w:pPr>
      <w:r>
        <w:rPr>
          <w:rFonts w:ascii="Aptos" w:hAnsi="Aptos"/>
          <w:b/>
          <w:color w:val="000000"/>
          <w:sz w:val="26"/>
        </w:rPr>
        <w:t>Layout Integrity</w:t>
      </w:r>
    </w:p>
    <w:p>
      <w:pPr>
        <w:spacing w:after="120" w:line="264" w:lineRule="auto"/>
      </w:pPr>
      <w:r>
        <w:rPr>
          <w:rFonts w:ascii="Aptos" w:hAnsi="Aptos"/>
          <w:b w:val="0"/>
          <w:color w:val="000000"/>
          <w:sz w:val="20"/>
        </w:rPr>
        <w:t>Preflight translated text inside its rectangle before painting it. Preserve source styles where target glyphs support them, record every expansion/reduction/continuation, and fail on clipping, overlap, or text outside the page box. Add fixtures for tables, long cells, columns, captions, headers/footers, images, and mixed fonts; the current story-book corpus cannot validate those structures.</w:t>
      </w:r>
    </w:p>
    <w:p>
      <w:pPr>
        <w:pStyle w:val="Heading1"/>
        <w:spacing w:before="200" w:after="80"/>
      </w:pPr>
      <w:r>
        <w:rPr>
          <w:rFonts w:ascii="Aptos" w:hAnsi="Aptos"/>
          <w:b/>
          <w:color w:val="000000"/>
          <w:sz w:val="26"/>
        </w:rPr>
        <w:t>Speed</w:t>
      </w:r>
    </w:p>
    <w:p>
      <w:pPr>
        <w:spacing w:after="120" w:line="264" w:lineRule="auto"/>
      </w:pPr>
      <w:r>
        <w:rPr>
          <w:rFonts w:ascii="Aptos" w:hAnsi="Aptos"/>
          <w:b w:val="0"/>
          <w:color w:val="000000"/>
          <w:sz w:val="20"/>
        </w:rPr>
        <w:t>Use capability-based batching and bounded concurrency, with per-unit retries and ordered output. Benchmark local batch size, Torch threads, and beam count against the same quality gate. For remote providers, measure queue wait separately, limit inflight work, and retry only affected units. Cache only privacy-safe, approved exact results in a namespace that includes provider/model, glossary version, and quality profile.</w:t>
      </w:r>
    </w:p>
    <w:p>
      <w:pPr>
        <w:pStyle w:val="Heading1"/>
        <w:spacing w:before="200" w:after="80"/>
      </w:pPr>
      <w:r>
        <w:rPr>
          <w:rFonts w:ascii="Aptos" w:hAnsi="Aptos"/>
          <w:b/>
          <w:color w:val="000000"/>
          <w:sz w:val="26"/>
        </w:rPr>
        <w:t>Provider Policy</w:t>
      </w:r>
    </w:p>
    <w:p>
      <w:pPr>
        <w:spacing w:after="120" w:line="264" w:lineRule="auto"/>
      </w:pPr>
      <w:r>
        <w:rPr>
          <w:rFonts w:ascii="Aptos" w:hAnsi="Aptos"/>
          <w:b w:val="0"/>
          <w:color w:val="000000"/>
          <w:sz w:val="20"/>
        </w:rPr>
        <w:t>Keep GPT OSS as the leading final-quality candidate because the supplied Part2 artifacts scored higher, but do not make it mandatory until it passes a reproducible same-pipeline latency and reliability benchmark. Keep NLLB as a local baseline and possible draft/offline provider. Select each provider through the same quality, layout, reliability, and latency gate.</w:t>
      </w:r>
    </w:p>
    <w:p>
      <w:pPr>
        <w:pStyle w:val="Heading1"/>
        <w:spacing w:before="200" w:after="80"/>
      </w:pPr>
      <w:r>
        <w:rPr>
          <w:rFonts w:ascii="Aptos" w:hAnsi="Aptos"/>
          <w:b/>
          <w:color w:val="000000"/>
          <w:sz w:val="26"/>
        </w:rPr>
        <w:t>Implementation Order</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5040"/>
            <w:shd w:fill="17365D"/>
            <w:vAlign w:val="center"/>
          </w:tcPr>
          <w:p>
            <w:pPr>
              <w:jc w:val="center"/>
            </w:pPr>
            <w:r>
              <w:rPr>
                <w:rFonts w:ascii="Aptos" w:hAnsi="Aptos"/>
                <w:b/>
                <w:color w:val="FFFFFF"/>
                <w:sz w:val="17"/>
              </w:rPr>
              <w:t>Phase</w:t>
            </w:r>
          </w:p>
        </w:tc>
        <w:tc>
          <w:tcPr>
            <w:tcW w:type="dxa" w:w="5040"/>
            <w:shd w:fill="17365D"/>
            <w:vAlign w:val="center"/>
          </w:tcPr>
          <w:p>
            <w:pPr>
              <w:jc w:val="center"/>
            </w:pPr>
            <w:r>
              <w:rPr>
                <w:rFonts w:ascii="Aptos" w:hAnsi="Aptos"/>
                <w:b/>
                <w:color w:val="FFFFFF"/>
                <w:sz w:val="17"/>
              </w:rPr>
              <w:t>Deliverable</w:t>
            </w:r>
          </w:p>
        </w:tc>
      </w:tr>
      <w:tr>
        <w:tc>
          <w:tcPr>
            <w:tcW w:type="dxa" w:w="5040"/>
            <w:vAlign w:val="center"/>
          </w:tcPr>
          <w:p>
            <w:r>
              <w:rPr>
                <w:rFonts w:ascii="Aptos" w:hAnsi="Aptos"/>
                <w:b w:val="0"/>
                <w:color w:val="000000"/>
                <w:sz w:val="17"/>
              </w:rPr>
              <w:t>1</w:t>
            </w:r>
          </w:p>
        </w:tc>
        <w:tc>
          <w:tcPr>
            <w:tcW w:type="dxa" w:w="5040"/>
            <w:vAlign w:val="center"/>
          </w:tcPr>
          <w:p>
            <w:r>
              <w:rPr>
                <w:rFonts w:ascii="Aptos" w:hAnsi="Aptos"/>
                <w:b w:val="0"/>
                <w:color w:val="000000"/>
                <w:sz w:val="17"/>
              </w:rPr>
              <w:t>Document map, protected spans, and provider-capability interfaces with tests.</w:t>
            </w:r>
          </w:p>
        </w:tc>
      </w:tr>
      <w:tr>
        <w:tc>
          <w:tcPr>
            <w:tcW w:type="dxa" w:w="5040"/>
            <w:vAlign w:val="center"/>
            <w:shd w:fill="EAF2F8"/>
          </w:tcPr>
          <w:p>
            <w:r>
              <w:rPr>
                <w:rFonts w:ascii="Aptos" w:hAnsi="Aptos"/>
                <w:b w:val="0"/>
                <w:color w:val="000000"/>
                <w:sz w:val="17"/>
              </w:rPr>
              <w:t>2</w:t>
            </w:r>
          </w:p>
        </w:tc>
        <w:tc>
          <w:tcPr>
            <w:tcW w:type="dxa" w:w="5040"/>
            <w:vAlign w:val="center"/>
            <w:shd w:fill="EAF2F8"/>
          </w:tcPr>
          <w:p>
            <w:r>
              <w:rPr>
                <w:rFonts w:ascii="Aptos" w:hAnsi="Aptos"/>
                <w:b w:val="0"/>
                <w:color w:val="000000"/>
                <w:sz w:val="17"/>
              </w:rPr>
              <w:t>Semantic grouping, section context, and glossary memory.</w:t>
            </w:r>
          </w:p>
        </w:tc>
      </w:tr>
      <w:tr>
        <w:tc>
          <w:tcPr>
            <w:tcW w:type="dxa" w:w="5040"/>
            <w:vAlign w:val="center"/>
          </w:tcPr>
          <w:p>
            <w:r>
              <w:rPr>
                <w:rFonts w:ascii="Aptos" w:hAnsi="Aptos"/>
                <w:b w:val="0"/>
                <w:color w:val="000000"/>
                <w:sz w:val="17"/>
              </w:rPr>
              <w:t>3</w:t>
            </w:r>
          </w:p>
        </w:tc>
        <w:tc>
          <w:tcPr>
            <w:tcW w:type="dxa" w:w="5040"/>
            <w:vAlign w:val="center"/>
          </w:tcPr>
          <w:p>
            <w:r>
              <w:rPr>
                <w:rFonts w:ascii="Aptos" w:hAnsi="Aptos"/>
                <w:b w:val="0"/>
                <w:color w:val="000000"/>
                <w:sz w:val="17"/>
              </w:rPr>
              <w:t>Provider-neutral review/repair and bilingual acceptance fixtures.</w:t>
            </w:r>
          </w:p>
        </w:tc>
      </w:tr>
      <w:tr>
        <w:tc>
          <w:tcPr>
            <w:tcW w:type="dxa" w:w="5040"/>
            <w:vAlign w:val="center"/>
            <w:shd w:fill="EAF2F8"/>
          </w:tcPr>
          <w:p>
            <w:r>
              <w:rPr>
                <w:rFonts w:ascii="Aptos" w:hAnsi="Aptos"/>
                <w:b w:val="0"/>
                <w:color w:val="000000"/>
                <w:sz w:val="17"/>
              </w:rPr>
              <w:t>4</w:t>
            </w:r>
          </w:p>
        </w:tc>
        <w:tc>
          <w:tcPr>
            <w:tcW w:type="dxa" w:w="5040"/>
            <w:vAlign w:val="center"/>
            <w:shd w:fill="EAF2F8"/>
          </w:tcPr>
          <w:p>
            <w:r>
              <w:rPr>
                <w:rFonts w:ascii="Aptos" w:hAnsi="Aptos"/>
                <w:b w:val="0"/>
                <w:color w:val="000000"/>
                <w:sz w:val="17"/>
              </w:rPr>
              <w:t>Layout preflight, overflow events, table fixtures, and rendered regression checks.</w:t>
            </w:r>
          </w:p>
        </w:tc>
      </w:tr>
      <w:tr>
        <w:tc>
          <w:tcPr>
            <w:tcW w:type="dxa" w:w="5040"/>
            <w:vAlign w:val="center"/>
          </w:tcPr>
          <w:p>
            <w:r>
              <w:rPr>
                <w:rFonts w:ascii="Aptos" w:hAnsi="Aptos"/>
                <w:b w:val="0"/>
                <w:color w:val="000000"/>
                <w:sz w:val="17"/>
              </w:rPr>
              <w:t>5</w:t>
            </w:r>
          </w:p>
        </w:tc>
        <w:tc>
          <w:tcPr>
            <w:tcW w:type="dxa" w:w="5040"/>
            <w:vAlign w:val="center"/>
          </w:tcPr>
          <w:p>
            <w:r>
              <w:rPr>
                <w:rFonts w:ascii="Aptos" w:hAnsi="Aptos"/>
                <w:b w:val="0"/>
                <w:color w:val="000000"/>
                <w:sz w:val="17"/>
              </w:rPr>
              <w:t>Capability-based scheduling, cache namespaces, and stage timing.</w:t>
            </w:r>
          </w:p>
        </w:tc>
      </w:tr>
      <w:tr>
        <w:tc>
          <w:tcPr>
            <w:tcW w:type="dxa" w:w="5040"/>
            <w:vAlign w:val="center"/>
            <w:shd w:fill="EAF2F8"/>
          </w:tcPr>
          <w:p>
            <w:r>
              <w:rPr>
                <w:rFonts w:ascii="Aptos" w:hAnsi="Aptos"/>
                <w:b w:val="0"/>
                <w:color w:val="000000"/>
                <w:sz w:val="17"/>
              </w:rPr>
              <w:t>6</w:t>
            </w:r>
          </w:p>
        </w:tc>
        <w:tc>
          <w:tcPr>
            <w:tcW w:type="dxa" w:w="5040"/>
            <w:vAlign w:val="center"/>
            <w:shd w:fill="EAF2F8"/>
          </w:tcPr>
          <w:p>
            <w:r>
              <w:rPr>
                <w:rFonts w:ascii="Aptos" w:hAnsi="Aptos"/>
                <w:b w:val="0"/>
                <w:color w:val="000000"/>
                <w:sz w:val="17"/>
              </w:rPr>
              <w:t>Identical NLLB and GPT OSS benchmark and provider selection per quality profile.</w:t>
            </w:r>
          </w:p>
        </w:tc>
      </w:tr>
    </w:tbl>
    <w:p>
      <w:pPr>
        <w:spacing w:after="40"/>
      </w:pP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