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pPr>
      <w:r>
        <w:rPr>
          <w:b/>
          <w:bCs/>
          <w:sz w:val="32"/>
          <w:szCs w:val="32"/>
        </w:rPr>
        <w:t>Connectivity Report: System Integration &amp; Infrastructure Verification</w:t>
      </w:r>
    </w:p>
    <w:p>
      <w:pPr>
        <w:spacing w:after="40"/>
      </w:pPr>
      <w:r>
        <w:rPr>
          <w:b/>
          <w:bCs/>
          <w:sz w:val="21"/>
          <w:szCs w:val="21"/>
        </w:rPr>
        <w:t>Ulat sa Konektibidad: Pag</w:t>
      </w:r>
      <w:r>
        <w:rPr>
          <w:sz w:val="21"/>
          <w:szCs w:val="21"/>
        </w:rPr>
        <w:t>sasama ng Sistema &amp; Pagpapatunay ng Imprastruktura</w:t>
      </w:r>
    </w:p>
    <w:p>
      <w:pPr>
        <w:spacing w:after="240"/>
      </w:pPr>
      <w:r>
        <w:rPr>
          <w:b/>
          <w:bCs/>
          <w:sz w:val="21"/>
          <w:szCs w:val="21"/>
        </w:rPr>
        <w:t xml:space="preserve">Pamagat ng Teknolohiya: </w:t>
      </w:r>
      <w:r>
        <w:rPr>
          <w:sz w:val="21"/>
          <w:szCs w:val="21"/>
        </w:rPr>
        <w:t>LearnShift isang AI Learning Platform</w:t>
      </w:r>
    </w:p>
    <w:p>
      <w:pPr>
        <w:spacing w:after="80" w:before="280"/>
      </w:pPr>
      <w:r>
        <w:rPr>
          <w:b/>
          <w:bCs/>
          <w:sz w:val="25"/>
          <w:szCs w:val="25"/>
        </w:rPr>
        <w:t>Pangalan ng Negosyo: LearnShift (PrimeraAI)</w:t>
      </w:r>
    </w:p>
    <w:p>
      <w:pPr>
        <w:spacing w:after="160"/>
      </w:pPr>
      <w:r>
        <w:rPr>
          <w:b/>
          <w:bCs/>
          <w:sz w:val="21"/>
          <w:szCs w:val="21"/>
        </w:rPr>
        <w:t>I. Dashb</w:t>
      </w:r>
      <w:r>
        <w:rPr>
          <w:sz w:val="21"/>
          <w:szCs w:val="21"/>
        </w:rPr>
        <w:t>oard: Pagsusuri ng Kalusugan ng Konektibidad</w:t>
      </w:r>
    </w:p>
    <w:p>
      <w:pPr>
        <w:spacing w:after="120"/>
      </w:pPr>
      <w:r>
        <w:rPr>
          <w:i/>
          <w:iCs/>
          <w:sz w:val="20"/>
          <w:szCs w:val="20"/>
        </w:rPr>
        <w:t>Kasalukuyang Kalagayan: Dilaw (Naka-ugnay ang Core Layers — Dev-Only Configuration Pending Production Hardening)</w:t>
      </w:r>
    </w:p>
    <w:p>
      <w:pPr>
        <w:spacing w:after="160"/>
      </w:pPr>
      <w:r>
        <w:rPr>
          <w:sz w:val="21"/>
          <w:szCs w:val="21"/>
        </w:rPr>
        <w:t>Paglalarawan ng Milestone: Tinutukoy ng ulat na ito ang pagpapatunay ng end-to-end connectivity sa buong stack ng LearnShift (PrimeraAI) — frontend, backend, database, AI providers, at cloud storage — na nagpapatunay na matagumpay na naabot ng bawat layer ang mga dependencies nito sa kasalukuyang development environment.</w:t>
      </w:r>
    </w:p>
    <w:p>
      <w:pPr>
        <w:spacing w:after="160"/>
      </w:pPr>
      <w:r>
        <w:rPr>
          <w:b/>
          <w:bCs/>
          <w:sz w:val="21"/>
          <w:szCs w:val="21"/>
        </w:rPr>
        <w:t>Ang lahat ng pangun</w:t>
      </w:r>
      <w:r>
        <w:rPr>
          <w:sz w:val="21"/>
          <w:szCs w:val="21"/>
        </w:rPr>
        <w:t>ahing integration paths (frontend ↔ backend, backend ↔ database, backend ↔ AI providers, backend ↔ storage) ay na-verify na gumagana. Ang maliit na hanay ng mga item ay naka-configure lamang para sa development environment at naka-flag sa Section V para sa resolusyon bago ang pilot deployment.</w:t>
      </w:r>
    </w:p>
    <w:p>
      <w:pPr>
        <w:spacing w:after="80" w:before="280"/>
      </w:pPr>
      <w:r>
        <w:rPr>
          <w:b/>
          <w:bCs/>
          <w:sz w:val="25"/>
          <w:szCs w:val="25"/>
        </w:rPr>
        <w:t>Pagsugpo ng Risko: Ang mga item na kasalukuyang naka-scope sa development-only configuration (CORS origin whitelist, Realtime/Reverb messaging) ay sinusubaybayan sa Section V na may may-ari at target na resolusyon bago ang unang school pilot, upang maiwasan ang mga pagkabigo sa konektibidad sa production environment.</w:t>
      </w:r>
    </w:p>
    <w:p>
      <w:pPr>
        <w:spacing w:after="120"/>
      </w:pPr>
      <w:r>
        <w:rPr>
          <w:i/>
          <w:iCs/>
          <w:sz w:val="20"/>
          <w:szCs w:val="20"/>
        </w:rPr>
        <w:t>II. Mapa ng Konektibidad ng Sistema</w:t>
      </w:r>
    </w:p>
    <w:tbl>
      <w:tblPr>
        <w:tblW w:type="dxa" w:w="9350"/>
        <w:tblBorders>
          <w:top w:val="single" w:color="000000" w:sz="4"/>
          <w:left w:val="single" w:color="000000" w:sz="4"/>
          <w:bottom w:val="single" w:color="000000" w:sz="4"/>
          <w:right w:val="single" w:color="000000" w:sz="4"/>
          <w:insideH w:val="single" w:color="000000" w:sz="4"/>
          <w:insideV w:val="single" w:color="000000" w:sz="4"/>
        </w:tblBorders>
      </w:tblPr>
      <w:tblGrid>
        <w:gridCol w:w="1100"/>
        <w:gridCol w:w="2200"/>
        <w:gridCol w:w="2000"/>
        <w:gridCol w:w="3050"/>
        <w:gridCol w:w="1000"/>
      </w:tblGrid>
      <w:tr>
        <w:trPr>
          <w:tblHeader/>
        </w:trPr>
        <w:tc>
          <w:tcPr>
            <w:tcW w:type="dxa" w:w="1100"/>
            <w:tcMar>
              <w:top w:type="dxa" w:w="80"/>
              <w:left w:type="dxa" w:w="100"/>
              <w:bottom w:type="dxa" w:w="80"/>
              <w:right w:type="dxa" w:w="100"/>
            </w:tcMar>
            <w:vAlign w:val="center"/>
          </w:tcPr>
          <w:p>
            <w:r>
              <w:rPr>
                <w:b/>
                <w:bCs/>
                <w:sz w:val="19"/>
                <w:szCs w:val="19"/>
              </w:rPr>
              <w:t>Layer</w:t>
            </w:r>
          </w:p>
        </w:tc>
        <w:tc>
          <w:tcPr>
            <w:tcW w:type="dxa" w:w="2200"/>
            <w:tcMar>
              <w:top w:type="dxa" w:w="80"/>
              <w:left w:type="dxa" w:w="100"/>
              <w:bottom w:type="dxa" w:w="80"/>
              <w:right w:type="dxa" w:w="100"/>
            </w:tcMar>
            <w:vAlign w:val="center"/>
          </w:tcPr>
          <w:p>
            <w:r>
              <w:rPr>
                <w:b/>
                <w:bCs/>
                <w:sz w:val="19"/>
                <w:szCs w:val="19"/>
              </w:rPr>
              <w:t>Technology</w:t>
            </w:r>
          </w:p>
        </w:tc>
        <w:tc>
          <w:tcPr>
            <w:tcW w:type="dxa" w:w="2000"/>
            <w:tcMar>
              <w:top w:type="dxa" w:w="80"/>
              <w:left w:type="dxa" w:w="100"/>
              <w:bottom w:type="dxa" w:w="80"/>
              <w:right w:type="dxa" w:w="100"/>
            </w:tcMar>
            <w:vAlign w:val="center"/>
          </w:tcPr>
          <w:p>
            <w:r>
              <w:rPr>
                <w:b/>
                <w:bCs/>
                <w:sz w:val="19"/>
                <w:szCs w:val="19"/>
              </w:rPr>
              <w:t>Connects To</w:t>
            </w:r>
          </w:p>
        </w:tc>
        <w:tc>
          <w:tcPr>
            <w:tcW w:type="dxa" w:w="3050"/>
            <w:tcMar>
              <w:top w:type="dxa" w:w="80"/>
              <w:left w:type="dxa" w:w="100"/>
              <w:bottom w:type="dxa" w:w="80"/>
              <w:right w:type="dxa" w:w="100"/>
            </w:tcMar>
            <w:vAlign w:val="center"/>
          </w:tcPr>
          <w:p>
            <w:r>
              <w:rPr>
                <w:b/>
                <w:bCs/>
                <w:sz w:val="19"/>
                <w:szCs w:val="19"/>
              </w:rPr>
              <w:t>Connection Method</w:t>
            </w:r>
          </w:p>
        </w:tc>
        <w:tc>
          <w:tcPr>
            <w:tcW w:type="dxa" w:w="1000"/>
            <w:tcMar>
              <w:top w:type="dxa" w:w="80"/>
              <w:left w:type="dxa" w:w="100"/>
              <w:bottom w:type="dxa" w:w="80"/>
              <w:right w:type="dxa" w:w="100"/>
            </w:tcMar>
            <w:vAlign w:val="center"/>
          </w:tcPr>
          <w:p>
            <w:r>
              <w:rPr>
                <w:b/>
                <w:bCs/>
                <w:sz w:val="19"/>
                <w:szCs w:val="19"/>
              </w:rPr>
              <w:t>Katayuan</w:t>
            </w:r>
          </w:p>
        </w:tc>
      </w:tr>
      <w:tr>
        <w:tc>
          <w:tcPr>
            <w:tcW w:type="dxa" w:w="1100"/>
            <w:tcMar>
              <w:top w:type="dxa" w:w="70"/>
              <w:left w:type="dxa" w:w="100"/>
              <w:bottom w:type="dxa" w:w="70"/>
              <w:right w:type="dxa" w:w="100"/>
            </w:tcMar>
            <w:vAlign w:val="center"/>
          </w:tcPr>
          <w:p>
            <w:r>
              <w:rPr>
                <w:sz w:val="18"/>
                <w:szCs w:val="18"/>
              </w:rPr>
              <w:t>Frontend</w:t>
            </w:r>
          </w:p>
        </w:tc>
        <w:tc>
          <w:tcPr>
            <w:tcW w:type="dxa" w:w="2200"/>
            <w:tcMar>
              <w:top w:type="dxa" w:w="70"/>
              <w:left w:type="dxa" w:w="100"/>
              <w:bottom w:type="dxa" w:w="70"/>
              <w:right w:type="dxa" w:w="100"/>
            </w:tcMar>
            <w:vAlign w:val="center"/>
          </w:tcPr>
          <w:p>
            <w:r>
              <w:rPr>
                <w:sz w:val="18"/>
                <w:szCs w:val="18"/>
              </w:rPr>
              <w:t>React 18 + TypeScript (Vite SPA)</w:t>
            </w:r>
          </w:p>
        </w:tc>
        <w:tc>
          <w:tcPr>
            <w:tcW w:type="dxa" w:w="2000"/>
            <w:tcMar>
              <w:top w:type="dxa" w:w="70"/>
              <w:left w:type="dxa" w:w="100"/>
              <w:bottom w:type="dxa" w:w="70"/>
              <w:right w:type="dxa" w:w="100"/>
            </w:tcMar>
            <w:vAlign w:val="center"/>
          </w:tcPr>
          <w:p>
            <w:r>
              <w:rPr>
                <w:sz w:val="18"/>
                <w:szCs w:val="18"/>
              </w:rPr>
              <w:t>Backend API</w:t>
            </w:r>
          </w:p>
        </w:tc>
        <w:tc>
          <w:tcPr>
            <w:tcW w:type="dxa" w:w="3050"/>
            <w:tcMar>
              <w:top w:type="dxa" w:w="70"/>
              <w:left w:type="dxa" w:w="100"/>
              <w:bottom w:type="dxa" w:w="70"/>
              <w:right w:type="dxa" w:w="100"/>
            </w:tcMar>
            <w:vAlign w:val="center"/>
          </w:tcPr>
          <w:p>
            <w:r>
              <w:rPr>
                <w:sz w:val="18"/>
                <w:szCs w:val="18"/>
              </w:rPr>
              <w:t>REST via Axios; ang Vite dev proxy ay nagreroute ng /api at /sanctum sa port 8000</w:t>
            </w:r>
          </w:p>
        </w:tc>
        <w:tc>
          <w:tcPr>
            <w:tcW w:type="dxa" w:w="1000"/>
            <w:tcMar>
              <w:top w:type="dxa" w:w="70"/>
              <w:left w:type="dxa" w:w="100"/>
              <w:bottom w:type="dxa" w:w="70"/>
              <w:right w:type="dxa" w:w="100"/>
            </w:tcMar>
            <w:vAlign w:val="center"/>
          </w:tcPr>
          <w:p>
            <w:r>
              <w:rPr>
                <w:sz w:val="18"/>
                <w:szCs w:val="18"/>
              </w:rPr>
              <w:t>Konektado (Dev)</w:t>
            </w:r>
          </w:p>
        </w:tc>
      </w:tr>
      <w:tr>
        <w:tc>
          <w:tcPr>
            <w:tcW w:type="dxa" w:w="1100"/>
            <w:tcMar>
              <w:top w:type="dxa" w:w="70"/>
              <w:left w:type="dxa" w:w="100"/>
              <w:bottom w:type="dxa" w:w="70"/>
              <w:right w:type="dxa" w:w="100"/>
            </w:tcMar>
            <w:vAlign w:val="center"/>
          </w:tcPr>
          <w:p>
            <w:r>
              <w:rPr>
                <w:sz w:val="18"/>
                <w:szCs w:val="18"/>
              </w:rPr>
              <w:t>Backend</w:t>
            </w:r>
          </w:p>
        </w:tc>
        <w:tc>
          <w:tcPr>
            <w:tcW w:type="dxa" w:w="2200"/>
            <w:tcMar>
              <w:top w:type="dxa" w:w="70"/>
              <w:left w:type="dxa" w:w="100"/>
              <w:bottom w:type="dxa" w:w="70"/>
              <w:right w:type="dxa" w:w="100"/>
            </w:tcMar>
            <w:vAlign w:val="center"/>
          </w:tcPr>
          <w:p>
            <w:r>
              <w:rPr>
                <w:sz w:val="18"/>
                <w:szCs w:val="18"/>
              </w:rPr>
              <w:t>Laravel 12 / PHP 8.2+</w:t>
            </w:r>
          </w:p>
        </w:tc>
        <w:tc>
          <w:tcPr>
            <w:tcW w:type="dxa" w:w="2000"/>
            <w:tcMar>
              <w:top w:type="dxa" w:w="70"/>
              <w:left w:type="dxa" w:w="100"/>
              <w:bottom w:type="dxa" w:w="70"/>
              <w:right w:type="dxa" w:w="100"/>
            </w:tcMar>
            <w:vAlign w:val="center"/>
          </w:tcPr>
          <w:p>
            <w:r>
              <w:rPr>
                <w:sz w:val="18"/>
                <w:szCs w:val="18"/>
              </w:rPr>
              <w:t>Database</w:t>
            </w:r>
          </w:p>
        </w:tc>
        <w:tc>
          <w:tcPr>
            <w:tcW w:type="dxa" w:w="3050"/>
            <w:tcMar>
              <w:top w:type="dxa" w:w="70"/>
              <w:left w:type="dxa" w:w="100"/>
              <w:bottom w:type="dxa" w:w="70"/>
              <w:right w:type="dxa" w:w="100"/>
            </w:tcMar>
            <w:vAlign w:val="center"/>
          </w:tcPr>
          <w:p>
            <w:r>
              <w:rPr>
                <w:sz w:val="18"/>
                <w:szCs w:val="18"/>
              </w:rPr>
              <w:t>Eloquent ORM sa PostgreSQL</w:t>
            </w:r>
          </w:p>
        </w:tc>
        <w:tc>
          <w:tcPr>
            <w:tcW w:type="dxa" w:w="1000"/>
            <w:tcMar>
              <w:top w:type="dxa" w:w="70"/>
              <w:left w:type="dxa" w:w="100"/>
              <w:bottom w:type="dxa" w:w="70"/>
              <w:right w:type="dxa" w:w="100"/>
            </w:tcMar>
            <w:vAlign w:val="center"/>
          </w:tcPr>
          <w:p>
            <w:r>
              <w:rPr>
                <w:sz w:val="18"/>
                <w:szCs w:val="18"/>
              </w:rPr>
              <w:t>Nakakonekta</w:t>
            </w:r>
          </w:p>
        </w:tc>
      </w:tr>
      <w:tr>
        <w:tc>
          <w:tcPr>
            <w:tcW w:type="dxa" w:w="1100"/>
            <w:tcMar>
              <w:top w:type="dxa" w:w="70"/>
              <w:left w:type="dxa" w:w="100"/>
              <w:bottom w:type="dxa" w:w="70"/>
              <w:right w:type="dxa" w:w="100"/>
            </w:tcMar>
            <w:vAlign w:val="center"/>
          </w:tcPr>
          <w:p>
            <w:r>
              <w:rPr>
                <w:sz w:val="18"/>
                <w:szCs w:val="18"/>
              </w:rPr>
              <w:t>Backend</w:t>
            </w:r>
          </w:p>
        </w:tc>
        <w:tc>
          <w:tcPr>
            <w:tcW w:type="dxa" w:w="2200"/>
            <w:tcMar>
              <w:top w:type="dxa" w:w="70"/>
              <w:left w:type="dxa" w:w="100"/>
              <w:bottom w:type="dxa" w:w="70"/>
              <w:right w:type="dxa" w:w="100"/>
            </w:tcMar>
            <w:vAlign w:val="center"/>
          </w:tcPr>
          <w:p>
            <w:r>
              <w:rPr>
                <w:sz w:val="18"/>
                <w:szCs w:val="18"/>
              </w:rPr>
              <w:t>Laravel Sanctum</w:t>
            </w:r>
          </w:p>
        </w:tc>
        <w:tc>
          <w:tcPr>
            <w:tcW w:type="dxa" w:w="2000"/>
            <w:tcMar>
              <w:top w:type="dxa" w:w="70"/>
              <w:left w:type="dxa" w:w="100"/>
              <w:bottom w:type="dxa" w:w="70"/>
              <w:right w:type="dxa" w:w="100"/>
            </w:tcMar>
            <w:vAlign w:val="center"/>
          </w:tcPr>
          <w:p>
            <w:r>
              <w:rPr>
                <w:sz w:val="18"/>
                <w:szCs w:val="18"/>
              </w:rPr>
              <w:t>Frontend session/auth</w:t>
            </w:r>
          </w:p>
        </w:tc>
        <w:tc>
          <w:tcPr>
            <w:tcW w:type="dxa" w:w="3050"/>
            <w:tcMar>
              <w:top w:type="dxa" w:w="70"/>
              <w:left w:type="dxa" w:w="100"/>
              <w:bottom w:type="dxa" w:w="70"/>
              <w:right w:type="dxa" w:w="100"/>
            </w:tcMar>
            <w:vAlign w:val="center"/>
          </w:tcPr>
          <w:p>
            <w:r>
              <w:rPr>
                <w:sz w:val="18"/>
                <w:szCs w:val="18"/>
              </w:rPr>
              <w:t>Bearer token + CSRF cookie (/sanctum/csrf-cookie) + pagbawi ng session sa pamamagitan ng /auth/me</w:t>
            </w:r>
          </w:p>
        </w:tc>
        <w:tc>
          <w:tcPr>
            <w:tcW w:type="dxa" w:w="1000"/>
            <w:tcMar>
              <w:top w:type="dxa" w:w="70"/>
              <w:left w:type="dxa" w:w="100"/>
              <w:bottom w:type="dxa" w:w="70"/>
              <w:right w:type="dxa" w:w="100"/>
            </w:tcMar>
            <w:vAlign w:val="center"/>
          </w:tcPr>
          <w:p>
            <w:r>
              <w:rPr>
                <w:sz w:val="18"/>
                <w:szCs w:val="18"/>
              </w:rPr>
              <w:t>Nakakonekta</w:t>
            </w:r>
          </w:p>
        </w:tc>
      </w:tr>
      <w:tr>
        <w:tc>
          <w:tcPr>
            <w:tcW w:type="dxa" w:w="1100"/>
            <w:tcMar>
              <w:top w:type="dxa" w:w="70"/>
              <w:left w:type="dxa" w:w="100"/>
              <w:bottom w:type="dxa" w:w="70"/>
              <w:right w:type="dxa" w:w="100"/>
            </w:tcMar>
            <w:vAlign w:val="center"/>
          </w:tcPr>
          <w:p>
            <w:r>
              <w:rPr>
                <w:sz w:val="18"/>
                <w:szCs w:val="18"/>
              </w:rPr>
              <w:t>Backend</w:t>
            </w:r>
          </w:p>
        </w:tc>
        <w:tc>
          <w:tcPr>
            <w:tcW w:type="dxa" w:w="2200"/>
            <w:tcMar>
              <w:top w:type="dxa" w:w="70"/>
              <w:left w:type="dxa" w:w="100"/>
              <w:bottom w:type="dxa" w:w="70"/>
              <w:right w:type="dxa" w:w="100"/>
            </w:tcMar>
            <w:vAlign w:val="center"/>
          </w:tcPr>
          <w:p>
            <w:r>
              <w:rPr>
                <w:sz w:val="18"/>
                <w:szCs w:val="18"/>
              </w:rPr>
              <w:t>AI Provider Abstraksyon (AiProviderInterface)</w:t>
            </w:r>
          </w:p>
        </w:tc>
        <w:tc>
          <w:tcPr>
            <w:tcW w:type="dxa" w:w="2000"/>
            <w:tcMar>
              <w:top w:type="dxa" w:w="70"/>
              <w:left w:type="dxa" w:w="100"/>
              <w:bottom w:type="dxa" w:w="70"/>
              <w:right w:type="dxa" w:w="100"/>
            </w:tcMar>
            <w:vAlign w:val="center"/>
          </w:tcPr>
          <w:p>
            <w:r>
              <w:rPr>
                <w:sz w:val="18"/>
                <w:szCs w:val="18"/>
              </w:rPr>
              <w:t>Mistral AI (pangunahing)</w:t>
            </w:r>
          </w:p>
        </w:tc>
        <w:tc>
          <w:tcPr>
            <w:tcW w:type="dxa" w:w="3050"/>
            <w:tcMar>
              <w:top w:type="dxa" w:w="70"/>
              <w:left w:type="dxa" w:w="100"/>
              <w:bottom w:type="dxa" w:w="70"/>
              <w:right w:type="dxa" w:w="100"/>
            </w:tcMar>
            <w:vAlign w:val="center"/>
          </w:tcPr>
          <w:p>
            <w:r>
              <w:rPr>
                <w:sz w:val="18"/>
                <w:szCs w:val="18"/>
              </w:rPr>
              <w:t>REST calls for embeddings, chat, vision</w:t>
            </w:r>
          </w:p>
        </w:tc>
        <w:tc>
          <w:tcPr>
            <w:tcW w:type="dxa" w:w="1000"/>
            <w:tcMar>
              <w:top w:type="dxa" w:w="70"/>
              <w:left w:type="dxa" w:w="100"/>
              <w:bottom w:type="dxa" w:w="70"/>
              <w:right w:type="dxa" w:w="100"/>
            </w:tcMar>
            <w:vAlign w:val="center"/>
          </w:tcPr>
          <w:p>
            <w:r>
              <w:rPr>
                <w:sz w:val="18"/>
                <w:szCs w:val="18"/>
              </w:rPr>
              <w:t>Konektado</w:t>
            </w:r>
          </w:p>
        </w:tc>
      </w:tr>
      <w:tr>
        <w:tc>
          <w:tcPr>
            <w:tcW w:type="dxa" w:w="1100"/>
            <w:tcMar>
              <w:top w:type="dxa" w:w="70"/>
              <w:left w:type="dxa" w:w="100"/>
              <w:bottom w:type="dxa" w:w="70"/>
              <w:right w:type="dxa" w:w="100"/>
            </w:tcMar>
            <w:vAlign w:val="center"/>
          </w:tcPr>
          <w:p>
            <w:r>
              <w:rPr>
                <w:sz w:val="18"/>
                <w:szCs w:val="18"/>
              </w:rPr>
              <w:t>Backend</w:t>
            </w:r>
          </w:p>
        </w:tc>
        <w:tc>
          <w:tcPr>
            <w:tcW w:type="dxa" w:w="2200"/>
            <w:tcMar>
              <w:top w:type="dxa" w:w="70"/>
              <w:left w:type="dxa" w:w="100"/>
              <w:bottom w:type="dxa" w:w="70"/>
              <w:right w:type="dxa" w:w="100"/>
            </w:tcMar>
            <w:vAlign w:val="center"/>
          </w:tcPr>
          <w:p>
            <w:r>
              <w:rPr>
                <w:sz w:val="18"/>
                <w:szCs w:val="18"/>
              </w:rPr>
              <w:t>Abstraksyon ng AI Provider</w:t>
            </w:r>
          </w:p>
        </w:tc>
        <w:tc>
          <w:tcPr>
            <w:tcW w:type="dxa" w:w="2000"/>
            <w:tcMar>
              <w:top w:type="dxa" w:w="70"/>
              <w:left w:type="dxa" w:w="100"/>
              <w:bottom w:type="dxa" w:w="70"/>
              <w:right w:type="dxa" w:w="100"/>
            </w:tcMar>
            <w:vAlign w:val="center"/>
          </w:tcPr>
          <w:p>
            <w:r>
              <w:rPr>
                <w:sz w:val="18"/>
                <w:szCs w:val="18"/>
              </w:rPr>
              <w:t>Ollama Cloud (fallback)</w:t>
            </w:r>
          </w:p>
        </w:tc>
        <w:tc>
          <w:tcPr>
            <w:tcW w:type="dxa" w:w="3050"/>
            <w:tcMar>
              <w:top w:type="dxa" w:w="70"/>
              <w:left w:type="dxa" w:w="100"/>
              <w:bottom w:type="dxa" w:w="70"/>
              <w:right w:type="dxa" w:w="100"/>
            </w:tcMar>
            <w:vAlign w:val="center"/>
          </w:tcPr>
          <w:p>
            <w:r>
              <w:rPr>
                <w:sz w:val="18"/>
                <w:szCs w:val="18"/>
              </w:rPr>
              <w:t>Factory-pattern failover para sa chat</w:t>
            </w:r>
          </w:p>
        </w:tc>
        <w:tc>
          <w:tcPr>
            <w:tcW w:type="dxa" w:w="1000"/>
            <w:tcMar>
              <w:top w:type="dxa" w:w="70"/>
              <w:left w:type="dxa" w:w="100"/>
              <w:bottom w:type="dxa" w:w="70"/>
              <w:right w:type="dxa" w:w="100"/>
            </w:tcMar>
            <w:vAlign w:val="center"/>
          </w:tcPr>
          <w:p>
            <w:r>
              <w:rPr>
                <w:sz w:val="18"/>
                <w:szCs w:val="18"/>
              </w:rPr>
              <w:t>Konektado</w:t>
            </w:r>
          </w:p>
        </w:tc>
      </w:tr>
      <w:tr>
        <w:tc>
          <w:tcPr>
            <w:tcW w:type="dxa" w:w="1100"/>
            <w:tcMar>
              <w:top w:type="dxa" w:w="70"/>
              <w:left w:type="dxa" w:w="100"/>
              <w:bottom w:type="dxa" w:w="70"/>
              <w:right w:type="dxa" w:w="100"/>
            </w:tcMar>
            <w:vAlign w:val="center"/>
          </w:tcPr>
          <w:p>
            <w:r>
              <w:rPr>
                <w:sz w:val="18"/>
                <w:szCs w:val="18"/>
              </w:rPr>
              <w:t>Backend</w:t>
            </w:r>
          </w:p>
        </w:tc>
        <w:tc>
          <w:tcPr>
            <w:tcW w:type="dxa" w:w="2200"/>
            <w:tcMar>
              <w:top w:type="dxa" w:w="70"/>
              <w:left w:type="dxa" w:w="100"/>
              <w:bottom w:type="dxa" w:w="70"/>
              <w:right w:type="dxa" w:w="100"/>
            </w:tcMar>
            <w:vAlign w:val="center"/>
          </w:tcPr>
          <w:p>
            <w:r>
              <w:rPr>
                <w:sz w:val="18"/>
                <w:szCs w:val="18"/>
              </w:rPr>
              <w:t>Layer ng Imbakan</w:t>
            </w:r>
          </w:p>
        </w:tc>
        <w:tc>
          <w:tcPr>
            <w:tcW w:type="dxa" w:w="2000"/>
            <w:tcMar>
              <w:top w:type="dxa" w:w="70"/>
              <w:left w:type="dxa" w:w="100"/>
              <w:bottom w:type="dxa" w:w="70"/>
              <w:right w:type="dxa" w:w="100"/>
            </w:tcMar>
            <w:vAlign w:val="center"/>
          </w:tcPr>
          <w:p>
            <w:r>
              <w:rPr>
                <w:sz w:val="18"/>
                <w:szCs w:val="18"/>
              </w:rPr>
              <w:t>Supabase Storage (learnshift bucket)</w:t>
            </w:r>
          </w:p>
        </w:tc>
        <w:tc>
          <w:tcPr>
            <w:tcW w:type="dxa" w:w="3050"/>
            <w:tcMar>
              <w:top w:type="dxa" w:w="70"/>
              <w:left w:type="dxa" w:w="100"/>
              <w:bottom w:type="dxa" w:w="70"/>
              <w:right w:type="dxa" w:w="100"/>
            </w:tcMar>
            <w:vAlign w:val="center"/>
          </w:tcPr>
          <w:p>
            <w:r>
              <w:rPr>
                <w:sz w:val="18"/>
                <w:szCs w:val="18"/>
              </w:rPr>
              <w:t>S3-compatible API, na-protektado ng RLS</w:t>
            </w:r>
          </w:p>
        </w:tc>
        <w:tc>
          <w:tcPr>
            <w:tcW w:type="dxa" w:w="1000"/>
            <w:tcMar>
              <w:top w:type="dxa" w:w="70"/>
              <w:left w:type="dxa" w:w="100"/>
              <w:bottom w:type="dxa" w:w="70"/>
              <w:right w:type="dxa" w:w="100"/>
            </w:tcMar>
            <w:vAlign w:val="center"/>
          </w:tcPr>
          <w:p>
            <w:r>
              <w:rPr>
                <w:sz w:val="18"/>
                <w:szCs w:val="18"/>
              </w:rPr>
              <w:t>Konektado</w:t>
            </w:r>
          </w:p>
        </w:tc>
      </w:tr>
      <w:tr>
        <w:tc>
          <w:tcPr>
            <w:tcW w:type="dxa" w:w="1100"/>
            <w:tcMar>
              <w:top w:type="dxa" w:w="70"/>
              <w:left w:type="dxa" w:w="100"/>
              <w:bottom w:type="dxa" w:w="70"/>
              <w:right w:type="dxa" w:w="100"/>
            </w:tcMar>
            <w:vAlign w:val="center"/>
          </w:tcPr>
          <w:p>
            <w:r>
              <w:rPr>
                <w:sz w:val="18"/>
                <w:szCs w:val="18"/>
              </w:rPr>
              <w:t>Backend</w:t>
            </w:r>
          </w:p>
        </w:tc>
        <w:tc>
          <w:tcPr>
            <w:tcW w:type="dxa" w:w="2200"/>
            <w:tcMar>
              <w:top w:type="dxa" w:w="70"/>
              <w:left w:type="dxa" w:w="100"/>
              <w:bottom w:type="dxa" w:w="70"/>
              <w:right w:type="dxa" w:w="100"/>
            </w:tcMar>
            <w:vAlign w:val="center"/>
          </w:tcPr>
          <w:p>
            <w:r>
              <w:rPr>
                <w:sz w:val="18"/>
                <w:szCs w:val="18"/>
              </w:rPr>
              <w:t>Real-time Layer</w:t>
            </w:r>
          </w:p>
        </w:tc>
        <w:tc>
          <w:tcPr>
            <w:tcW w:type="dxa" w:w="2000"/>
            <w:tcMar>
              <w:top w:type="dxa" w:w="70"/>
              <w:left w:type="dxa" w:w="100"/>
              <w:bottom w:type="dxa" w:w="70"/>
              <w:right w:type="dxa" w:w="100"/>
            </w:tcMar>
            <w:vAlign w:val="center"/>
          </w:tcPr>
          <w:p>
            <w:r>
              <w:rPr>
                <w:sz w:val="18"/>
                <w:szCs w:val="18"/>
              </w:rPr>
              <w:t>Pusher.js / Laravel Reverb</w:t>
            </w:r>
          </w:p>
        </w:tc>
        <w:tc>
          <w:tcPr>
            <w:tcW w:type="dxa" w:w="3050"/>
            <w:tcMar>
              <w:top w:type="dxa" w:w="70"/>
              <w:left w:type="dxa" w:w="100"/>
              <w:bottom w:type="dxa" w:w="70"/>
              <w:right w:type="dxa" w:w="100"/>
            </w:tcMar>
            <w:vAlign w:val="center"/>
          </w:tcPr>
          <w:p>
            <w:r>
              <w:rPr>
                <w:sz w:val="18"/>
                <w:szCs w:val="18"/>
              </w:rPr>
              <w:t>WebSocket</w:t>
            </w:r>
          </w:p>
        </w:tc>
        <w:tc>
          <w:tcPr>
            <w:tcW w:type="dxa" w:w="1000"/>
            <w:tcMar>
              <w:top w:type="dxa" w:w="70"/>
              <w:left w:type="dxa" w:w="100"/>
              <w:bottom w:type="dxa" w:w="70"/>
              <w:right w:type="dxa" w:w="100"/>
            </w:tcMar>
            <w:vAlign w:val="center"/>
          </w:tcPr>
          <w:p>
            <w:r>
              <w:rPr>
                <w:sz w:val="18"/>
                <w:szCs w:val="18"/>
              </w:rPr>
              <w:t>Konektado (Para sa Developer)</w:t>
            </w:r>
          </w:p>
        </w:tc>
      </w:tr>
      <w:tr>
        <w:tc>
          <w:tcPr>
            <w:tcW w:type="dxa" w:w="1100"/>
            <w:tcMar>
              <w:top w:type="dxa" w:w="70"/>
              <w:left w:type="dxa" w:w="100"/>
              <w:bottom w:type="dxa" w:w="70"/>
              <w:right w:type="dxa" w:w="100"/>
            </w:tcMar>
            <w:vAlign w:val="center"/>
          </w:tcPr>
          <w:p>
            <w:r>
              <w:rPr>
                <w:sz w:val="18"/>
                <w:szCs w:val="18"/>
              </w:rPr>
              <w:t>Database</w:t>
            </w:r>
          </w:p>
        </w:tc>
        <w:tc>
          <w:tcPr>
            <w:tcW w:type="dxa" w:w="2200"/>
            <w:tcMar>
              <w:top w:type="dxa" w:w="70"/>
              <w:left w:type="dxa" w:w="100"/>
              <w:bottom w:type="dxa" w:w="70"/>
              <w:right w:type="dxa" w:w="100"/>
            </w:tcMar>
            <w:vAlign w:val="center"/>
          </w:tcPr>
          <w:p>
            <w:r>
              <w:rPr>
                <w:sz w:val="18"/>
                <w:szCs w:val="18"/>
              </w:rPr>
              <w:t>PostgreSQL (Supabase) + pgvector</w:t>
            </w:r>
          </w:p>
        </w:tc>
        <w:tc>
          <w:tcPr>
            <w:tcW w:type="dxa" w:w="2000"/>
            <w:tcMar>
              <w:top w:type="dxa" w:w="70"/>
              <w:left w:type="dxa" w:w="100"/>
              <w:bottom w:type="dxa" w:w="70"/>
              <w:right w:type="dxa" w:w="100"/>
            </w:tcMar>
            <w:vAlign w:val="center"/>
          </w:tcPr>
          <w:p>
            <w:r>
              <w:rPr>
                <w:sz w:val="18"/>
                <w:szCs w:val="18"/>
              </w:rPr>
              <w:t>AI/RAG Engine</w:t>
            </w:r>
          </w:p>
        </w:tc>
        <w:tc>
          <w:tcPr>
            <w:tcW w:type="dxa" w:w="3050"/>
            <w:tcMar>
              <w:top w:type="dxa" w:w="70"/>
              <w:left w:type="dxa" w:w="100"/>
              <w:bottom w:type="dxa" w:w="70"/>
              <w:right w:type="dxa" w:w="100"/>
            </w:tcMar>
            <w:vAlign w:val="center"/>
          </w:tcPr>
          <w:p>
            <w:r>
              <w:rPr>
                <w:sz w:val="18"/>
                <w:szCs w:val="18"/>
              </w:rPr>
              <w:t>Paghahanap ng cosine similarity sa mga naimbak na embeddings</w:t>
            </w:r>
          </w:p>
        </w:tc>
        <w:tc>
          <w:tcPr>
            <w:tcW w:type="dxa" w:w="1000"/>
            <w:tcMar>
              <w:top w:type="dxa" w:w="70"/>
              <w:left w:type="dxa" w:w="100"/>
              <w:bottom w:type="dxa" w:w="70"/>
              <w:right w:type="dxa" w:w="100"/>
            </w:tcMar>
            <w:vAlign w:val="center"/>
          </w:tcPr>
          <w:p>
            <w:r>
              <w:rPr>
                <w:sz w:val="18"/>
                <w:szCs w:val="18"/>
              </w:rPr>
              <w:t>Konektado</w:t>
            </w:r>
          </w:p>
        </w:tc>
      </w:tr>
    </w:tbl>
    <w:p>
      <w:pPr>
        <w:spacing w:after="80" w:before="280"/>
      </w:pPr>
      <w:r>
        <w:rPr>
          <w:b/>
          <w:bCs/>
          <w:sz w:val="25"/>
          <w:szCs w:val="25"/>
        </w:rPr>
        <w:t>Paano ang bawat layer ng platform ay kumokonekta sa mga dependencies nito.</w:t>
      </w:r>
    </w:p>
    <w:p>
      <w:pPr>
        <w:spacing w:after="120"/>
      </w:pPr>
      <w:r>
        <w:rPr>
          <w:i/>
          <w:iCs/>
          <w:sz w:val="20"/>
          <w:szCs w:val="20"/>
        </w:rPr>
        <w:t>III. Pagpapatunay ng Data Flow — Sample Path: AI Lesson Chat (RAG)</w:t>
      </w:r>
    </w:p>
    <w:p>
      <w:pPr>
        <w:pStyle w:val="ListParagraph"/>
        <w:numPr>
          <w:ilvl w:val="0"/>
          <w:numId w:val="2"/>
        </w:numPr>
        <w:spacing w:after="90"/>
      </w:pPr>
      <w:r>
        <w:rPr>
          <w:sz w:val="21"/>
          <w:szCs w:val="21"/>
        </w:rPr>
        <w:t>Ang public registration ay disabled — ang paglikha ng account ay limitado sa mga administrators.</w:t>
      </w:r>
    </w:p>
    <w:p>
      <w:pPr>
        <w:pStyle w:val="ListParagraph"/>
        <w:numPr>
          <w:ilvl w:val="0"/>
          <w:numId w:val="2"/>
        </w:numPr>
        <w:spacing w:after="90"/>
      </w:pPr>
      <w:r>
        <w:rPr>
          <w:sz w:val="21"/>
          <w:szCs w:val="21"/>
        </w:rPr>
        <w:t>Question is sent to the Backend API over an authenticated Sanctum session.</w:t>
      </w:r>
    </w:p>
    <w:p>
      <w:pPr>
        <w:pStyle w:val="ListParagraph"/>
        <w:numPr>
          <w:ilvl w:val="0"/>
          <w:numId w:val="2"/>
        </w:numPr>
        <w:spacing w:after="90"/>
      </w:pPr>
      <w:r>
        <w:rPr>
          <w:sz w:val="21"/>
          <w:szCs w:val="21"/>
        </w:rPr>
        <w:t>Backend embeds the question and runs a cosine similarity search against lesson_embeddings in PostgreSQL/pgvector.</w:t>
      </w:r>
    </w:p>
    <w:p>
      <w:pPr>
        <w:pStyle w:val="ListParagraph"/>
        <w:numPr>
          <w:ilvl w:val="0"/>
          <w:numId w:val="2"/>
        </w:numPr>
        <w:spacing w:after="90"/>
      </w:pPr>
      <w:r>
        <w:rPr>
          <w:sz w:val="21"/>
          <w:szCs w:val="21"/>
        </w:rPr>
        <w:t>Top-k relevant chunks are retrieved and assembled into a grounded prompt.</w:t>
      </w:r>
    </w:p>
    <w:p>
      <w:pPr>
        <w:pStyle w:val="ListParagraph"/>
        <w:numPr>
          <w:ilvl w:val="0"/>
          <w:numId w:val="2"/>
        </w:numPr>
        <w:spacing w:after="90"/>
      </w:pPr>
      <w:r>
        <w:rPr>
          <w:sz w:val="21"/>
          <w:szCs w:val="21"/>
        </w:rPr>
        <w:t>Prompt is sent to Mistral AI (or Ollama Cloud on fallback) for answer generation.</w:t>
      </w:r>
    </w:p>
    <w:p>
      <w:pPr>
        <w:pStyle w:val="ListParagraph"/>
        <w:numPr>
          <w:ilvl w:val="0"/>
          <w:numId w:val="2"/>
        </w:numPr>
        <w:spacing w:after="90"/>
      </w:pPr>
      <w:r>
        <w:rPr>
          <w:sz w:val="21"/>
          <w:szCs w:val="21"/>
        </w:rPr>
        <w:t>Response, with confidence score, is returned to the Frontend and rendered for the student.</w:t>
      </w:r>
    </w:p>
    <w:p>
      <w:pPr>
        <w:spacing w:after="80" w:before="280"/>
      </w:pPr>
      <w:r>
        <w:rPr>
          <w:b/>
          <w:bCs/>
          <w:sz w:val="25"/>
          <w:szCs w:val="25"/>
        </w:rPr>
        <w:t>IV. Authentication &amp; Session Connectivity</w:t>
      </w:r>
    </w:p>
    <w:p>
      <w:pPr>
        <w:pStyle w:val="ListParagraph"/>
        <w:numPr>
          <w:ilvl w:val="0"/>
          <w:numId w:val="2"/>
        </w:numPr>
        <w:spacing w:after="90"/>
      </w:pPr>
      <w:r>
        <w:rPr>
          <w:sz w:val="21"/>
          <w:szCs w:val="21"/>
        </w:rPr>
        <w:t>Sanctum bearer tokens with CSRF cookie protection secure all authenticated requests.</w:t>
      </w:r>
    </w:p>
    <w:p>
      <w:pPr>
        <w:pStyle w:val="ListParagraph"/>
        <w:numPr>
          <w:ilvl w:val="0"/>
          <w:numId w:val="2"/>
        </w:numPr>
        <w:spacing w:after="90"/>
      </w:pPr>
      <w:r>
        <w:rPr>
          <w:sz w:val="21"/>
          <w:szCs w:val="21"/>
        </w:rPr>
        <w:t>Role-based route guards (ProtectedRoute) enforce access per role, with automatic redirects.</w:t>
      </w:r>
    </w:p>
    <w:p>
      <w:pPr>
        <w:pStyle w:val="ListParagraph"/>
        <w:numPr>
          <w:ilvl w:val="0"/>
          <w:numId w:val="2"/>
        </w:numPr>
        <w:spacing w:after="90"/>
      </w:pPr>
      <w:r>
        <w:rPr>
          <w:sz w:val="21"/>
          <w:szCs w:val="21"/>
        </w:rPr>
        <w:t>Session state is restored on page refresh via token validation through /auth/me.</w:t>
      </w:r>
    </w:p>
    <w:p>
      <w:pPr>
        <w:pStyle w:val="ListParagraph"/>
        <w:numPr>
          <w:ilvl w:val="0"/>
          <w:numId w:val="2"/>
        </w:numPr>
        <w:spacing w:after="90"/>
      </w:pPr>
      <w:r>
        <w:rPr>
          <w:sz w:val="21"/>
          <w:szCs w:val="21"/>
        </w:rPr>
        <w:t>2FA/OTP flow is handled through TwoFactorController.</w:t>
      </w:r>
    </w:p>
    <w:p>
      <w:pPr>
        <w:pStyle w:val="ListParagraph"/>
        <w:numPr>
          <w:ilvl w:val="0"/>
          <w:numId w:val="2"/>
        </w:numPr>
        <w:spacing w:after="90"/>
      </w:pPr>
      <w:r>
        <w:rPr>
          <w:sz w:val="21"/>
          <w:szCs w:val="21"/>
        </w:rPr>
        <w:t>Public registration is disabled — account creation is restricted to administrators.</w:t>
      </w:r>
    </w:p>
    <w:p>
      <w:pPr>
        <w:spacing w:after="80" w:before="280"/>
      </w:pPr>
      <w:r>
        <w:rPr>
          <w:b/>
          <w:bCs/>
          <w:sz w:val="25"/>
          <w:szCs w:val="25"/>
        </w:rPr>
        <w:t>Mga Kilalang Connectivity Items — Paghahanda para sa Produksyon</w:t>
      </w:r>
    </w:p>
    <w:p>
      <w:pPr>
        <w:spacing w:after="120"/>
      </w:pPr>
      <w:r>
        <w:rPr>
          <w:i/>
          <w:iCs/>
          <w:sz w:val="20"/>
          <w:szCs w:val="20"/>
        </w:rPr>
        <w:t>Inilipat mula sa Tech 1 audit; sinusubaybayan dito para sa paglutas bago ang pilot deployment.</w:t>
      </w:r>
    </w:p>
    <w:p>
      <w:pPr>
        <w:pStyle w:val="ListParagraph"/>
        <w:numPr>
          <w:ilvl w:val="0"/>
          <w:numId w:val="2"/>
        </w:numPr>
        <w:spacing w:after="90"/>
      </w:pPr>
      <w:r>
        <w:rPr>
          <w:b/>
          <w:bCs/>
          <w:sz w:val="21"/>
          <w:szCs w:val="21"/>
        </w:rPr>
        <w:t>Hardcoded credentials: Ang</w:t>
      </w:r>
      <w:r>
        <w:rPr>
          <w:sz w:val="21"/>
          <w:szCs w:val="21"/>
        </w:rPr>
        <w:t xml:space="preserve"> mga kredensyal ng Supabase ay kasalukuyang naka-hardcode sa src/lib/supabase.ts at dapat ilipat sa mga environment variables bago ang production deployment.</w:t>
      </w:r>
    </w:p>
    <w:p>
      <w:pPr>
        <w:pStyle w:val="ListParagraph"/>
        <w:numPr>
          <w:ilvl w:val="0"/>
          <w:numId w:val="2"/>
        </w:numPr>
        <w:spacing w:after="90"/>
      </w:pPr>
      <w:r>
        <w:rPr>
          <w:b/>
          <w:bCs/>
          <w:sz w:val="21"/>
          <w:szCs w:val="21"/>
        </w:rPr>
        <w:t xml:space="preserve">CORS scope: </w:t>
      </w:r>
      <w:r>
        <w:rPr>
          <w:sz w:val="21"/>
          <w:szCs w:val="21"/>
        </w:rPr>
        <w:t>Ang CORS configuration ay kasalukuyang limitado sa localhost development origins at kailangan ng production domain whitelist.</w:t>
      </w:r>
    </w:p>
    <w:p>
      <w:pPr>
        <w:pStyle w:val="ListParagraph"/>
        <w:numPr>
          <w:ilvl w:val="0"/>
          <w:numId w:val="2"/>
        </w:numPr>
        <w:spacing w:after="90"/>
      </w:pPr>
      <w:r>
        <w:rPr>
          <w:b/>
          <w:bCs/>
          <w:sz w:val="21"/>
          <w:szCs w:val="21"/>
        </w:rPr>
        <w:t>Realtime scope: An</w:t>
      </w:r>
      <w:r>
        <w:rPr>
          <w:sz w:val="21"/>
          <w:szCs w:val="21"/>
        </w:rPr>
        <w:t>g Reverb/Pusher messaging ay limitado sa development environment at kailangan ng production configuration kung ang realtime features ay ipapadala sa mga paaralan.</w:t>
      </w:r>
    </w:p>
    <w:p>
      <w:pPr>
        <w:pStyle w:val="ListParagraph"/>
        <w:numPr>
          <w:ilvl w:val="0"/>
          <w:numId w:val="2"/>
        </w:numPr>
        <w:spacing w:after="90"/>
      </w:pPr>
      <w:r>
        <w:rPr>
          <w:b/>
          <w:bCs/>
          <w:sz w:val="21"/>
          <w:szCs w:val="21"/>
        </w:rPr>
        <w:t>Legacy auth path: Ma</w:t>
      </w:r>
      <w:r>
        <w:rPr>
          <w:sz w:val="21"/>
          <w:szCs w:val="21"/>
        </w:rPr>
        <w:t>yroong hindi ginagamit na Supabase Auth path na kasabay ng pangunahing Sanctum flow at dapat itong alisin o dokumentuhin.</w:t>
      </w:r>
    </w:p>
    <w:p>
      <w:pPr>
        <w:pStyle w:val="ListParagraph"/>
        <w:numPr>
          <w:ilvl w:val="0"/>
          <w:numId w:val="2"/>
        </w:numPr>
        <w:spacing w:after="90"/>
      </w:pPr>
      <w:r>
        <w:rPr>
          <w:b/>
          <w:bCs/>
          <w:sz w:val="21"/>
          <w:szCs w:val="21"/>
        </w:rPr>
        <w:t>Test accounts: M</w:t>
      </w:r>
      <w:r>
        <w:rPr>
          <w:sz w:val="21"/>
          <w:szCs w:val="21"/>
        </w:rPr>
        <w:t>ay mga pre-seeded demo accounts na may kilalang kredensyal para sa apat na role at dapat itong i-rotate o i-disable sa labas ng development.</w:t>
      </w:r>
    </w:p>
    <w:p>
      <w:pPr>
        <w:spacing w:after="80" w:before="280"/>
      </w:pPr>
      <w:r>
        <w:rPr>
          <w:b/>
          <w:bCs/>
          <w:sz w:val="25"/>
          <w:szCs w:val="25"/>
        </w:rPr>
        <w:t>VI. Mga Susunod na Hakbang</w:t>
      </w:r>
    </w:p>
    <w:p>
      <w:pPr>
        <w:pStyle w:val="ListParagraph"/>
        <w:numPr>
          <w:ilvl w:val="0"/>
          <w:numId w:val="2"/>
        </w:numPr>
        <w:spacing w:after="90"/>
      </w:pPr>
      <w:r>
        <w:rPr>
          <w:sz w:val="21"/>
          <w:szCs w:val="21"/>
        </w:rPr>
        <w:t>Tapusin ang production environment variables at alisin ang hardcoded credentials.</w:t>
      </w:r>
    </w:p>
    <w:p>
      <w:pPr>
        <w:pStyle w:val="ListParagraph"/>
        <w:numPr>
          <w:ilvl w:val="0"/>
          <w:numId w:val="2"/>
        </w:numPr>
        <w:spacing w:after="90"/>
      </w:pPr>
      <w:r>
        <w:rPr>
          <w:sz w:val="21"/>
          <w:szCs w:val="21"/>
        </w:rPr>
        <w:t>I-configure ang CORS at Realtime services para sa production/pilot domain.</w:t>
      </w:r>
    </w:p>
    <w:p>
      <w:pPr>
        <w:pStyle w:val="ListParagraph"/>
        <w:numPr>
          <w:ilvl w:val="0"/>
          <w:numId w:val="2"/>
        </w:numPr>
        <w:spacing w:after="90"/>
      </w:pPr>
      <w:r>
        <w:rPr>
          <w:sz w:val="21"/>
          <w:szCs w:val="21"/>
        </w:rPr>
        <w:t>Alisin o dokumentuhin ang legacy Supabase Auth path.</w:t>
      </w:r>
    </w:p>
    <w:p>
      <w:pPr>
        <w:pStyle w:val="ListParagraph"/>
        <w:numPr>
          <w:ilvl w:val="0"/>
          <w:numId w:val="2"/>
        </w:numPr>
        <w:spacing w:after="90"/>
      </w:pPr>
      <w:r>
        <w:rPr>
          <w:sz w:val="21"/>
          <w:szCs w:val="21"/>
        </w:rPr>
        <w:t>I-rotate o i-disable ang pre-seeded test accounts sa labas ng development environment.</w:t>
      </w:r>
    </w:p>
    <w:p>
      <w:pPr>
        <w:pStyle w:val="ListParagraph"/>
        <w:numPr>
          <w:ilvl w:val="0"/>
          <w:numId w:val="2"/>
        </w:numPr>
        <w:spacing w:after="90"/>
      </w:pPr>
      <w:r>
        <w:rPr>
          <w:sz w:val="21"/>
          <w:szCs w:val="21"/>
        </w:rPr>
        <w:t>Magsagawa ng kumpletong integration pass sa lahat ng apat na role dashboards bago ang unang school pilot.</w:t>
      </w:r>
    </w:p>
    <w:p>
      <w:pPr>
        <w:spacing w:after="160"/>
      </w:pPr>
      <w:r>
        <w:rPr>
          <w:b/>
          <w:bCs/>
          <w:sz w:val="21"/>
          <w:szCs w:val="21"/>
        </w:rPr>
        <w:t>Responsableng Miyembro: Lah</w:t>
      </w:r>
      <w:r>
        <w:rPr>
          <w:sz w:val="21"/>
          <w:szCs w:val="21"/>
        </w:rPr>
        <w:t>at ng Miyembro ng Grupo</w:t>
      </w:r>
    </w:p>
    <w:p>
      <w:pPr>
        <w:spacing w:after="160"/>
      </w:pPr>
      <w:r>
        <w:rPr>
          <w:b/>
          <w:bCs/>
          <w:sz w:val="21"/>
          <w:szCs w:val="21"/>
        </w:rPr>
        <w:t xml:space="preserve">Target Milestone: </w:t>
      </w:r>
      <w:r>
        <w:rPr>
          <w:sz w:val="21"/>
          <w:szCs w:val="21"/>
        </w:rPr>
        <w:t>Production-Ready Connectivity Sign-Off</w:t>
      </w:r>
    </w:p>
    <w:p>
      <w:pPr>
        <w:spacing w:after="80" w:before="280"/>
      </w:pPr>
      <w:r>
        <w:rPr>
          <w:b/>
          <w:bCs/>
          <w:sz w:val="25"/>
          <w:szCs w:val="25"/>
        </w:rPr>
        <w:t>VII. Patunay ng mga Tagapagtatag</w:t>
      </w:r>
    </w:p>
    <w:p>
      <w:pPr>
        <w:pStyle w:val="ListParagraph"/>
        <w:numPr>
          <w:ilvl w:val="0"/>
          <w:numId w:val="2"/>
        </w:numPr>
        <w:spacing w:after="90"/>
      </w:pPr>
      <w:r>
        <w:rPr>
          <w:i/>
          <w:iCs/>
          <w:sz w:val="21"/>
          <w:szCs w:val="21"/>
        </w:rPr>
        <w:t>Kami, ang mga pumirma, ay nagpapatunay na ang ulat na ito ay tumpak na sumasalamin sa aming orihinal na gawain at kasalukuyang kalagayan ng proyekto. Pinagtitibay namin na ang University of the Immaculate Conception (UIC) ay opisyal na Aplikante para sa lahat ng IP na nagmumula sa mga aktibidad na ito.</w:t>
      </w:r>
    </w:p>
    <w:p>
      <w:pPr>
        <w:spacing w:after="20" w:before="200"/>
      </w:pPr>
      <w:r>
        <w:rPr>
          <w:b/>
          <w:bCs/>
          <w:sz w:val="21"/>
          <w:szCs w:val="21"/>
        </w:rPr>
        <w:t xml:space="preserve">Project Lead (CEO): </w:t>
      </w:r>
      <w:r>
        <w:rPr>
          <w:sz w:val="21"/>
          <w:szCs w:val="21"/>
        </w:rPr>
        <w:t>__________________________</w:t>
      </w:r>
    </w:p>
    <w:p>
      <w:pPr>
        <w:spacing w:after="20"/>
        <w:ind w:left="431"/>
      </w:pPr>
      <w:r>
        <w:rPr>
          <w:sz w:val="21"/>
          <w:szCs w:val="21"/>
        </w:rPr>
        <w:t>Walben P. Benogsudan</w:t>
      </w:r>
    </w:p>
    <w:p>
      <w:pPr>
        <w:spacing w:after="20" w:before="200"/>
      </w:pPr>
      <w:r>
        <w:rPr>
          <w:b/>
          <w:bCs/>
          <w:sz w:val="21"/>
          <w:szCs w:val="21"/>
        </w:rPr>
        <w:t xml:space="preserve">Tech Lead (CTO): </w:t>
      </w:r>
      <w:r>
        <w:rPr>
          <w:sz w:val="21"/>
          <w:szCs w:val="21"/>
        </w:rPr>
        <w:t>__________________________</w:t>
      </w:r>
    </w:p>
    <w:p>
      <w:pPr>
        <w:spacing w:after="20"/>
        <w:ind w:left="431"/>
      </w:pPr>
      <w:r>
        <w:rPr>
          <w:sz w:val="21"/>
          <w:szCs w:val="21"/>
        </w:rPr>
        <w:t>Jhon Llyod Monterola</w:t>
      </w:r>
    </w:p>
    <w:p>
      <w:pPr>
        <w:spacing w:after="20" w:before="200"/>
      </w:pPr>
      <w:r>
        <w:rPr>
          <w:b/>
          <w:bCs/>
          <w:sz w:val="21"/>
          <w:szCs w:val="21"/>
        </w:rPr>
        <w:t xml:space="preserve">Market Lead (CMO): </w:t>
      </w:r>
      <w:r>
        <w:rPr>
          <w:sz w:val="21"/>
          <w:szCs w:val="21"/>
        </w:rPr>
        <w:t>__________________________</w:t>
      </w:r>
    </w:p>
    <w:p>
      <w:pPr>
        <w:spacing w:after="20"/>
        <w:ind w:left="431"/>
      </w:pPr>
      <w:r>
        <w:rPr>
          <w:sz w:val="21"/>
          <w:szCs w:val="21"/>
        </w:rPr>
        <w:t>Ferdinand M. Manteza Jr.</w:t>
      </w:r>
    </w:p>
    <w:p>
      <w:pPr>
        <w:spacing w:after="20" w:before="200"/>
      </w:pPr>
      <w:r>
        <w:rPr>
          <w:b/>
          <w:bCs/>
          <w:sz w:val="21"/>
          <w:szCs w:val="21"/>
        </w:rPr>
        <w:t xml:space="preserve">IP Liaison (CFO): </w:t>
      </w:r>
      <w:r>
        <w:rPr>
          <w:sz w:val="21"/>
          <w:szCs w:val="21"/>
        </w:rPr>
        <w:t>__________________________</w:t>
      </w:r>
    </w:p>
    <w:p>
      <w:pPr>
        <w:spacing w:after="20"/>
        <w:ind w:left="431"/>
      </w:pPr>
      <w:r>
        <w:rPr>
          <w:sz w:val="21"/>
          <w:szCs w:val="21"/>
        </w:rPr>
        <w:t>Gwyn Kenshin Novilla</w:t>
      </w:r>
    </w:p>
    <w:sectPr>
      <w:headerReference w:type="default" r:id="rId8"/>
      <w:footerReference w:type="default" r:id="rId9"/>
      <w:pgSz w:w="11906" w:h="16838" w:orient="portrait"/>
      <w:pgMar w:top="1152" w:right="1296" w:bottom="1152" w:left="1296"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 Id="rId8" Type="http://schemas.openxmlformats.org/officeDocument/2006/relationships/header" Target="header1.xml"/><Relationship Id="rId9" Type="http://schemas.openxmlformats.org/officeDocument/2006/relationships/footer" Target="footer1.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2026-08-31T11:00:39.962Z</dcterms:created>
  <dcterms:modified xsi:type="dcterms:W3CDTF">2026-08-31T11:00:39.962Z</dcterms:modified>
</cp:coreProperties>
</file>

<file path=docProps/custom.xml><?xml version="1.0" encoding="utf-8"?>
<Properties xmlns="http://schemas.openxmlformats.org/officeDocument/2006/custom-properties" xmlns:vt="http://schemas.openxmlformats.org/officeDocument/2006/docPropsVTypes"/>
</file>