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22"/>
        </w:rPr>
        <w:t>TRABAJO COLABORATIVO 2</w:t>
      </w:r>
    </w:p>
    <w:tbl>
      <w:tblPr>
        <w:tblStyle w:val="TableGrid"/>
        <w:tblW w:type="auto" w:w="0"/>
        <w:jc w:val="center"/>
        <w:tblLook w:firstColumn="1" w:firstRow="1" w:lastColumn="0" w:lastRow="0" w:noHBand="0" w:noVBand="1" w:val="04A0"/>
      </w:tblPr>
      <w:tblGrid>
        <w:gridCol w:w="4986"/>
        <w:gridCol w:w="4986"/>
      </w:tblGrid>
      <w:tr>
        <w:tc>
          <w:tcPr>
            <w:tcW w:type="dxa" w:w="2494"/>
            <w:shd w:val="clear" w:color="auto" w:fill="D9E2F3"/>
          </w:tcPr>
          <w:p>
            <w:r>
              <w:rPr>
                <w:b/>
                <w:sz w:val="20"/>
              </w:rPr>
              <w:t>PROGRAMA DE ESTUDIOS</w:t>
            </w:r>
          </w:p>
        </w:tc>
        <w:tc>
          <w:tcPr>
            <w:tcW w:type="dxa" w:w="7143"/>
          </w:tcPr>
          <w:p>
            <w:r>
              <w:rPr>
                <w:sz w:val="20"/>
              </w:rPr>
              <w:t>Seguridad Industrial</w:t>
            </w:r>
          </w:p>
        </w:tc>
      </w:tr>
      <w:tr>
        <w:tc>
          <w:tcPr>
            <w:tcW w:type="dxa" w:w="2494"/>
            <w:shd w:val="clear" w:color="auto" w:fill="D9E2F3"/>
          </w:tcPr>
          <w:p>
            <w:r>
              <w:rPr>
                <w:b/>
                <w:sz w:val="20"/>
              </w:rPr>
              <w:t>UNIDAD DIDÁCTICA</w:t>
            </w:r>
          </w:p>
        </w:tc>
        <w:tc>
          <w:tcPr>
            <w:tcW w:type="dxa" w:w="7143"/>
          </w:tcPr>
          <w:p>
            <w:r>
              <w:rPr>
                <w:sz w:val="20"/>
              </w:rPr>
              <w:t>Sistema de gestión de calidad, seguridad, salud y medio ambiente</w:t>
            </w:r>
          </w:p>
        </w:tc>
      </w:tr>
      <w:tr>
        <w:tc>
          <w:tcPr>
            <w:tcW w:type="dxa" w:w="2494"/>
            <w:shd w:val="clear" w:color="auto" w:fill="D9E2F3"/>
          </w:tcPr>
          <w:p>
            <w:r>
              <w:rPr>
                <w:b/>
                <w:sz w:val="20"/>
              </w:rPr>
              <w:t>INDICADOR/ES DE LOGRO DE LA CAPACIDAD</w:t>
            </w:r>
          </w:p>
        </w:tc>
        <w:tc>
          <w:tcPr>
            <w:tcW w:type="dxa" w:w="7143"/>
          </w:tcPr>
          <w:p>
            <w:r>
              <w:rPr>
                <w:sz w:val="20"/>
              </w:rPr>
              <w:t>•  Describe el control operacional del Sistema Integrado de Gestión, la jerarquía de controles y la gestión de contratistas y emergencias, considerando las normas ISO y la normativa nacional vigente.</w:t>
            </w:r>
          </w:p>
          <w:p>
            <w:r>
              <w:rPr>
                <w:sz w:val="20"/>
              </w:rPr>
              <w:t>•  Describe la evaluación del desempeño y la mejora del Sistema Integrado de Gestión —seguimiento, auditoría interna, revisión por la dirección y acción correctiva—, considerando las normas ISO y la normativa nacional vigente.</w:t>
            </w:r>
          </w:p>
        </w:tc>
      </w:tr>
      <w:tr>
        <w:tc>
          <w:tcPr>
            <w:tcW w:type="dxa" w:w="2494"/>
            <w:shd w:val="clear" w:color="auto" w:fill="D9E2F3"/>
          </w:tcPr>
          <w:p>
            <w:r>
              <w:rPr>
                <w:b/>
                <w:sz w:val="20"/>
              </w:rPr>
              <w:t>DESCRIPCIÓN DEL CASO 2</w:t>
            </w:r>
          </w:p>
        </w:tc>
        <w:tc>
          <w:tcPr>
            <w:tcW w:type="dxa" w:w="7143"/>
          </w:tcPr>
          <w:p>
            <w:r>
              <w:rPr>
                <w:sz w:val="20"/>
              </w:rPr>
              <w:t>Una contratista minera ejecuta la auditoría interna de su sistema integrado antes de la revisión por la dirección. El equipo actúa como equipo auditor: clasifica las evidencias levantadas en campo contra la cláusula que incumple cada una, verifica los indicadores de desempeño del año, propone las acciones correctivas ubicándolas en la jerarquía de controles y determina qué se eleva a la dirección.</w:t>
            </w:r>
          </w:p>
          <w:p>
            <w:r>
              <w:rPr>
                <w:sz w:val="20"/>
              </w:rPr>
            </w:r>
          </w:p>
          <w:p>
            <w:r>
              <w:rPr>
                <w:sz w:val="20"/>
              </w:rPr>
              <w:t>La auditoría interna del sistema integrado de gestión de Servicios Mineros Huanza se ejecutó en la segunda semana de noviembre, antes de la revisión por la dirección. Durante dos días el equipo auditor recorrió los cuatro frentes —taller propio, planta concentradora, montaje del molino de bolas y almacén temporal de residuos— y levantó diez evidencias.</w:t>
            </w:r>
          </w:p>
          <w:p>
            <w:r>
              <w:rPr>
                <w:sz w:val="20"/>
              </w:rPr>
            </w:r>
          </w:p>
          <w:p>
            <w:r>
              <w:rPr>
                <w:sz w:val="20"/>
              </w:rPr>
              <w:t>Rosa Quispe, jefa de SSOMA, entregó el tablero de indicadores del año y el reporte de cumplimiento del programa anual. El tablero abre con el índice de frecuencia: 13,59, el más bajo desde que la empresa lleva registro. Al pie, en letra pequeña, la nota de método: «calculado sobre las horas-hombre del personal en planilla».</w:t>
            </w:r>
          </w:p>
          <w:p>
            <w:r>
              <w:rPr>
                <w:sz w:val="20"/>
              </w:rPr>
            </w:r>
          </w:p>
          <w:p>
            <w:r>
              <w:rPr>
                <w:sz w:val="20"/>
              </w:rPr>
              <w:t>En julio, el montaje del molino se contrató a un tercero: treinta trabajadores durante cuatro meses. El contrato, de dos páginas, fija plazo, monto y penalidad por retraso. El personal del contratista registró dos accidentes con descanso médico; ambos figuran en el cuaderno del supervisor de montaje y ninguno en el registro de accidentes de la empresa.</w:t>
            </w:r>
          </w:p>
          <w:p>
            <w:r>
              <w:rPr>
                <w:sz w:val="20"/>
              </w:rPr>
            </w:r>
          </w:p>
          <w:p>
            <w:r>
              <w:rPr>
                <w:sz w:val="20"/>
              </w:rPr>
              <w:t>En abril, un operario sufrió atrapamiento de la mano izquierda en el punto de convergencia de la faja transportadora N.º 3. Descanso médico: veintiún días. La investigación concluyó en dos acciones: charla de cinco minutos sobre el peligro y entrega de guantes anticorte a todo el personal de operación. La guarda de la polea de cola figura en el requerimiento de compra desde mayo.</w:t>
            </w:r>
          </w:p>
          <w:p>
            <w:r>
              <w:rPr>
                <w:sz w:val="20"/>
              </w:rPr>
            </w:r>
          </w:p>
          <w:p>
            <w:r>
              <w:rPr>
                <w:sz w:val="20"/>
              </w:rPr>
              <w:t>El almacén temporal de residuos tiene los manifiestos de la EO-RS al día. Suman mil cuatrocientos litros de aceite usado. El registro de cambios de aceite del taller, del mismo periodo, consigna mil ochocientos cincuenta.</w:t>
            </w:r>
          </w:p>
          <w:p>
            <w:r>
              <w:rPr>
                <w:sz w:val="20"/>
              </w:rPr>
            </w:r>
          </w:p>
          <w:p>
            <w:r>
              <w:rPr>
                <w:sz w:val="20"/>
              </w:rPr>
              <w:t>El viernes, con el borrador del informe sobre la mesa, el gerente general fue directo: «El índice de frecuencia es el más bajo de nuestra historia y la auditoría interna ya figura como ejecutada en el programa. Ciérrala como conforme y súbela así a la revisión por la dirección. Dime si hay algo que lo impida».</w:t>
            </w:r>
          </w:p>
        </w:tc>
      </w:tr>
      <w:tr>
        <w:tc>
          <w:tcPr>
            <w:tcW w:type="dxa" w:w="2494"/>
            <w:shd w:val="clear" w:color="auto" w:fill="D9E2F3"/>
          </w:tcPr>
          <w:p>
            <w:r>
              <w:rPr>
                <w:b/>
                <w:sz w:val="20"/>
              </w:rPr>
              <w:t>PREGUNTA GATILLADORA</w:t>
            </w:r>
          </w:p>
        </w:tc>
        <w:tc>
          <w:tcPr>
            <w:tcW w:type="dxa" w:w="7143"/>
          </w:tcPr>
          <w:p>
            <w:r>
              <w:rPr>
                <w:sz w:val="20"/>
              </w:rPr>
              <w:t>¿El sistema está conforme, y qué se eleva a la revisión por la dirección?</w:t>
            </w:r>
          </w:p>
        </w:tc>
      </w:tr>
      <w:tr>
        <w:tc>
          <w:tcPr>
            <w:tcW w:type="dxa" w:w="2494"/>
            <w:shd w:val="clear" w:color="auto" w:fill="D9E2F3"/>
          </w:tcPr>
          <w:p>
            <w:r>
              <w:rPr>
                <w:b/>
                <w:sz w:val="20"/>
              </w:rPr>
              <w:t>PRODUCTO</w:t>
            </w:r>
          </w:p>
        </w:tc>
        <w:tc>
          <w:tcPr>
            <w:tcW w:type="dxa" w:w="7143"/>
          </w:tcPr>
          <w:p>
            <w:r>
              <w:rPr>
                <w:sz w:val="20"/>
              </w:rPr>
              <w:t>TRES ENTREGABLES. (1) EL INFORME DE AUDITORÍA INTERNA, sobre la plantilla del anexo 12: objetivo, alcance y criterios de auditoría, desempeño verificado, hallazgos y su clasificación, acciones correctivas y conclusiones. Es el documento que se entrega y que firma el auditor líder. (2) EL ANEXO DEL INFORME, que es la hoja de trabajo (anexo 15) con sus tres piezas resueltas: la tabla de hallazgos —cláusula y clasificación de cada evidencia— resuelta MARCANDO sobre dos relaciones con distractores, con la primera evidencia resuelta como ejemplo; el cuadro de desempeño verificado; y las tres acciones correctivas, cada una en el nivel de la jerarquía de controles en que actúa, con responsable y plazo. (3) EL PPT DE SUSTENTACIÓN, que el equipo arma: portada y SEIS LÁMINAS DE CONTENIDO, una por cada sección del informe —objetivo y alcance, desempeño verificado, hallazgos clasificados, dónde falló el control en la jerarquía, acciones correctivas, y la conclusión con lo que se eleva a la dirección—. Se sustenta en 12 minutos.</w:t>
            </w:r>
          </w:p>
        </w:tc>
      </w:tr>
      <w:tr>
        <w:tc>
          <w:tcPr>
            <w:tcW w:type="dxa" w:w="2494"/>
            <w:shd w:val="clear" w:color="auto" w:fill="D9E2F3"/>
          </w:tcPr>
          <w:p>
            <w:r>
              <w:rPr>
                <w:b/>
                <w:sz w:val="20"/>
              </w:rPr>
              <w:t>ROLES</w:t>
            </w:r>
          </w:p>
        </w:tc>
        <w:tc>
          <w:tcPr>
            <w:tcW w:type="dxa" w:w="7143"/>
          </w:tcPr>
          <w:p>
            <w:r>
              <w:rPr>
                <w:sz w:val="20"/>
              </w:rPr>
              <w:t>Cuatro roles obligatorios, uno por integrante; los equipos de cinco añaden el quinto. AUDITOR DE DESEMPEÑO: verifica los tres índices y el indicador ambiental, y describe sobre qué población se calculó cada uno. AUDITOR DE OPERACIÓN: clasifica las evidencias de la cláusula 8 y describe en qué nivel de la jerarquía actuó cada control aplicado. AUDITOR DE CUMPLIMIENTO: clasifica las evidencias de la cláusula 9 y describe qué exige el sistema en trazabilidad de residuos peligrosos y en evaluación del cumplimiento legal. AUDITOR LÍDER: redacta las conclusiones de la auditoría, declara el grado de conformidad del sistema, dice qué se eleva a la revisión por la dirección y firma el informe. AUDITOR DE CONTRATISTAS (solo en equipos de cinco): describe qué exige el sistema al proceso contratado externamente y qué efecto tiene sobre los indicadores del año. El orden de exposición lo reparte el equipo: coordinar no es un rol. Cada integrante responde ante el equipo por su parte.</w:t>
            </w:r>
          </w:p>
        </w:tc>
      </w:tr>
      <w:tr>
        <w:tc>
          <w:tcPr>
            <w:tcW w:type="dxa" w:w="2494"/>
            <w:shd w:val="clear" w:color="auto" w:fill="D9E2F3"/>
          </w:tcPr>
          <w:p>
            <w:r>
              <w:rPr>
                <w:b/>
                <w:sz w:val="20"/>
              </w:rPr>
              <w:t>TIEMPO</w:t>
            </w:r>
          </w:p>
        </w:tc>
        <w:tc>
          <w:tcPr>
            <w:tcW w:type="dxa" w:w="7143"/>
          </w:tcPr>
          <w:p>
            <w:r>
              <w:rPr>
                <w:sz w:val="20"/>
              </w:rPr>
              <w:t>2 horas de trabajo autónomo · equipos de 4 · sustentación de 12 minutos</w:t>
            </w:r>
          </w:p>
        </w:tc>
      </w:tr>
      <w:tr>
        <w:tc>
          <w:tcPr>
            <w:tcW w:type="dxa" w:w="2494"/>
            <w:shd w:val="clear" w:color="auto" w:fill="D9E2F3"/>
          </w:tcPr>
          <w:p>
            <w:r>
              <w:rPr>
                <w:b/>
                <w:sz w:val="20"/>
              </w:rPr>
              <w:t>RECURSOS</w:t>
            </w:r>
          </w:p>
        </w:tc>
        <w:tc>
          <w:tcPr>
            <w:tcW w:type="dxa" w:w="7143"/>
          </w:tcPr>
          <w:p>
            <w:r>
              <w:rPr>
                <w:sz w:val="20"/>
              </w:rPr>
              <w:t>•  Anexo 14 — Informe de campo de la auditoría interna: el tablero de indicadores del año, el cumplimiento del programa anual, los indicadores ambientales y las diez evidencias levantadas</w:t>
            </w:r>
          </w:p>
          <w:p>
            <w:r>
              <w:rPr>
                <w:sz w:val="20"/>
              </w:rPr>
              <w:t>•  Anexo 15 — Hoja de trabajo, que se entrega como anexo del informe: las relaciones de cláusulas y de clasificación con distractores, la jerarquía de controles y las tres piezas por resolver</w:t>
            </w:r>
          </w:p>
          <w:p>
            <w:r>
              <w:rPr>
                <w:sz w:val="20"/>
              </w:rPr>
              <w:t>•  Anexo 12 — Plantilla del informe de auditoría interna</w:t>
            </w:r>
          </w:p>
          <w:p>
            <w:r>
              <w:rPr>
                <w:sz w:val="20"/>
              </w:rPr>
              <w:t>•  No hace falta ningún documento externo: todo lo necesario está en el relato y en los anexos</w:t>
            </w:r>
          </w:p>
        </w:tc>
      </w:tr>
      <w:tr>
        <w:tc>
          <w:tcPr>
            <w:tcW w:type="dxa" w:w="2494"/>
            <w:shd w:val="clear" w:color="auto" w:fill="D9E2F3"/>
          </w:tcPr>
          <w:p>
            <w:r>
              <w:rPr>
                <w:b/>
                <w:sz w:val="20"/>
              </w:rPr>
              <w:t>AL CERRAR LA SUSTENTACIÓN</w:t>
            </w:r>
          </w:p>
        </w:tc>
        <w:tc>
          <w:tcPr>
            <w:tcW w:type="dxa" w:w="7143"/>
          </w:tcPr>
          <w:p>
            <w:r>
              <w:rPr>
                <w:sz w:val="20"/>
              </w:rPr>
              <w:t>Terminada la exposición, el instructor hará una pregunta técnica a CADA integrante sobre una parte del trabajo que NO expuso. Prepárense entre todos: el trabajo se sustenta completo, no por partes.</w:t>
            </w:r>
          </w:p>
        </w:tc>
      </w:tr>
    </w:tbl>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