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0"/>
        </w:rPr>
        <w:t>TRABAJO COLABORATIVO 1</w:t>
      </w:r>
    </w:p>
    <w:tbl>
      <w:tblPr>
        <w:tblStyle w:val="TableGrid"/>
        <w:tblW w:type="auto" w:w="0"/>
        <w:tblLook w:firstColumn="1" w:firstRow="1" w:lastColumn="0" w:lastRow="0" w:noHBand="0" w:noVBand="1" w:val="04A0"/>
      </w:tblPr>
      <w:tblGrid>
        <w:gridCol w:w="4986"/>
        <w:gridCol w:w="4986"/>
      </w:tblGrid>
      <w:tr>
        <w:tc>
          <w:tcPr>
            <w:tcW w:type="dxa" w:w="2608"/>
          </w:tcPr>
          <w:p>
            <w:r>
              <w:rPr>
                <w:b/>
                <w:color w:val="1F3864"/>
                <w:sz w:val="18"/>
              </w:rPr>
              <w:t>PROGRAMA DE ESTUDIOS</w:t>
            </w:r>
          </w:p>
        </w:tc>
        <w:tc>
          <w:tcPr>
            <w:tcW w:type="dxa" w:w="7030"/>
          </w:tcPr>
          <w:p>
            <w:pPr>
              <w:spacing w:after="60"/>
            </w:pPr>
            <w:r>
              <w:rPr>
                <w:sz w:val="18"/>
              </w:rPr>
              <w:t>Seguridad Industrial</w:t>
            </w:r>
          </w:p>
        </w:tc>
      </w:tr>
      <w:tr>
        <w:tc>
          <w:tcPr>
            <w:tcW w:type="dxa" w:w="2608"/>
          </w:tcPr>
          <w:p>
            <w:r>
              <w:rPr>
                <w:b/>
                <w:color w:val="1F3864"/>
                <w:sz w:val="18"/>
              </w:rPr>
              <w:t>UNIDAD DIDÁCTICA</w:t>
            </w:r>
          </w:p>
        </w:tc>
        <w:tc>
          <w:tcPr>
            <w:tcW w:type="dxa" w:w="7030"/>
          </w:tcPr>
          <w:p>
            <w:pPr>
              <w:spacing w:after="60"/>
            </w:pPr>
            <w:r>
              <w:rPr>
                <w:sz w:val="18"/>
              </w:rPr>
              <w:t>Controles de impactos ambientales</w:t>
            </w:r>
          </w:p>
        </w:tc>
      </w:tr>
      <w:tr>
        <w:tc>
          <w:tcPr>
            <w:tcW w:type="dxa" w:w="2608"/>
          </w:tcPr>
          <w:p>
            <w:r>
              <w:rPr>
                <w:b/>
                <w:color w:val="1F3864"/>
                <w:sz w:val="18"/>
              </w:rPr>
              <w:t>INDICADOR/ES DE LOGRO DE LA CAPACIDAD</w:t>
            </w:r>
          </w:p>
        </w:tc>
        <w:tc>
          <w:tcPr>
            <w:tcW w:type="dxa" w:w="7030"/>
          </w:tcPr>
          <w:p>
            <w:pPr>
              <w:spacing w:after="60"/>
            </w:pPr>
            <w:r>
              <w:rPr>
                <w:sz w:val="18"/>
              </w:rPr>
              <w:t>•  Describe el proceso de la elaboración de la matriz de aspectos e impactos ambientales, considerando la normativa vigente nacional e internacional.</w:t>
            </w:r>
          </w:p>
        </w:tc>
      </w:tr>
      <w:tr>
        <w:tc>
          <w:tcPr>
            <w:tcW w:type="dxa" w:w="2608"/>
          </w:tcPr>
          <w:p>
            <w:r>
              <w:rPr>
                <w:b/>
                <w:color w:val="1F3864"/>
                <w:sz w:val="18"/>
              </w:rPr>
              <w:t>DESCRIPCIÓN DEL CASO 1</w:t>
            </w:r>
          </w:p>
        </w:tc>
        <w:tc>
          <w:tcPr>
            <w:tcW w:type="dxa" w:w="7030"/>
          </w:tcPr>
          <w:p>
            <w:pPr>
              <w:spacing w:after="60"/>
            </w:pPr>
            <w:r>
              <w:rPr>
                <w:sz w:val="18"/>
              </w:rPr>
              <w:t>Una contratista de mantenimiento automotriz que opera dentro de una unidad minera tiene encima una auditoría del titular y una matriz de aspectos e impactos que dejó un consultor y que nadie volvió a mirar. El equipo lee el relato del taller y la matriz, describe las actividades con su entrada y su salida, reconoce qué aspecto e impacto corresponde a cada una, describe cómo la matriz llega a su clasificación, y describe qué aspectos quedan significativos y qué control les toca.</w:t>
            </w:r>
          </w:p>
          <w:p>
            <w:pPr>
              <w:spacing w:after="60"/>
            </w:pPr>
            <w:r>
              <w:rPr>
                <w:sz w:val="18"/>
              </w:rPr>
            </w:r>
          </w:p>
          <w:p>
            <w:pPr>
              <w:spacing w:after="60"/>
            </w:pPr>
            <w:r>
              <w:rPr>
                <w:sz w:val="18"/>
              </w:rPr>
              <w:t>El martes a las seis y media, antes de que abriera el taller, Marco Antonio Ticona dejó sobre el tablero dos hojas engrapadas y un correo impreso. El correo era del área ambiental del titular minero y tenía una fecha: el 24 de este mes entra la auditoría de contratistas, y esta vez revisan matrices.</w:t>
            </w:r>
          </w:p>
          <w:p>
            <w:pPr>
              <w:spacing w:after="60"/>
            </w:pPr>
            <w:r>
              <w:rPr>
                <w:sz w:val="18"/>
              </w:rPr>
            </w:r>
          </w:p>
          <w:p>
            <w:pPr>
              <w:spacing w:after="60"/>
            </w:pPr>
            <w:r>
              <w:rPr>
                <w:sz w:val="18"/>
              </w:rPr>
              <w:t>Marco lleva cinco meses como supervisor de medio ambiente de Mantenimiento y Servicios Automotrices S.A.C., la contratista que opera el taller de unidades livianas dentro de una unidad minera polimetálica de la costa de Ica. El taller atiende setenta y cuatro camionetas del titular y de sus socios estratégicos, y tiene diecisiete trabajos estandarizados: cambio de aceite de motor, purgado de frenos, limpieza de pastillas y zapatas, lavado de camioneta, cambio de batería, cambio de neumáticos, desmontaje de caja de cambios, almacenamiento de repuestos, y así hasta los trabajos de oficina.</w:t>
            </w:r>
          </w:p>
          <w:p>
            <w:pPr>
              <w:spacing w:after="60"/>
            </w:pPr>
            <w:r>
              <w:rPr>
                <w:sz w:val="18"/>
              </w:rPr>
            </w:r>
          </w:p>
          <w:p>
            <w:pPr>
              <w:spacing w:after="60"/>
            </w:pPr>
            <w:r>
              <w:rPr>
                <w:sz w:val="18"/>
              </w:rPr>
              <w:t>La matriz que estaba sobre el tablero la dejó un consultor en enero. Tiene sus columnas en orden: actividad, entrada, salida, aspecto ambiental, impacto ambiental, condición operativa, requisito legal, severidad, probabilidad, nivel de impacto, clasificación y control. Está llena a máquina, sin tachaduras, y al pie lleva el sello del consultor y el del gerente de operaciones.</w:t>
            </w:r>
          </w:p>
          <w:p>
            <w:pPr>
              <w:spacing w:after="60"/>
            </w:pPr>
            <w:r>
              <w:rPr>
                <w:sz w:val="18"/>
              </w:rPr>
            </w:r>
          </w:p>
          <w:p>
            <w:pPr>
              <w:spacing w:after="60"/>
            </w:pPr>
            <w:r>
              <w:rPr>
                <w:sz w:val="18"/>
              </w:rPr>
              <w:t>El procedimiento de la empresa —tres carillas, aprobado el año pasado— dice cómo se valora. Cada uno de los dos criterios va de 1 a 4, el nivel de impacto es el producto de los dos, y la clasificación sale de una tabla: de 1 a 4 bajo, de 5 a 9 medio, de 10 a 16 alto. Solo lo alto es significativo. Al final, en un párrafo aparte y en la misma letra pequeña que el resto, el procedimiento agrega una frase que nadie subrayó nunca.</w:t>
            </w:r>
          </w:p>
          <w:p>
            <w:pPr>
              <w:spacing w:after="60"/>
            </w:pPr>
            <w:r>
              <w:rPr>
                <w:sz w:val="18"/>
              </w:rPr>
            </w:r>
          </w:p>
          <w:p>
            <w:pPr>
              <w:spacing w:after="60"/>
            </w:pPr>
            <w:r>
              <w:rPr>
                <w:sz w:val="18"/>
              </w:rPr>
              <w:t>En la fila del cambio de aceite de motor, la matriz anota como salida el aceite usado, los filtros y los trapos impregnados; como aspecto, la generación de residuo peligroso; como impacto, la contaminación potencial del suelo. En la columna de requisito legal dice, escrito completo, «manifiesto de residuos peligrosos, almacenamiento máximo doce meses». La severidad la puso en 2 y la probabilidad en 4. El nivel de impacto, 8. La clasificación, medio. Y en la última columna: no significativo, con el control «uso de bandeja antiderrame».</w:t>
            </w:r>
          </w:p>
          <w:p>
            <w:pPr>
              <w:spacing w:after="60"/>
            </w:pPr>
            <w:r>
              <w:rPr>
                <w:sz w:val="18"/>
              </w:rPr>
            </w:r>
          </w:p>
          <w:p>
            <w:pPr>
              <w:spacing w:after="60"/>
            </w:pPr>
            <w:r>
              <w:rPr>
                <w:sz w:val="18"/>
              </w:rPr>
              <w:t>El lavado de camioneta tiene su fila y su trampa de agua. El cambio de neumáticos tiene la suya. El cambio de batería no aparece en ninguna parte de la matriz, aunque el almacén guarda desde marzo veintidós baterías usadas en un parihuela, junto a la puerta del taller, tapadas con un plástico.</w:t>
            </w:r>
          </w:p>
          <w:p>
            <w:pPr>
              <w:spacing w:after="60"/>
            </w:pPr>
            <w:r>
              <w:rPr>
                <w:sz w:val="18"/>
              </w:rPr>
            </w:r>
          </w:p>
          <w:p>
            <w:pPr>
              <w:spacing w:after="60"/>
            </w:pPr>
            <w:r>
              <w:rPr>
                <w:sz w:val="18"/>
              </w:rPr>
              <w:t>Marco se acordó de una cosa mientras revisaba. En agosto del año pasado, en otro taller de la misma contratista, un operario trasladaba una tina de aceite usado hacia el almacén central y la volteó en la rampa. El aceite bajó por la cuneta hasta el borde de la quebrada seca. Lo cubrieron con arena de la obra, cargaron la arena en sacos y siguieron trabajando. No hubo lluvia esa semana y nadie preguntó.</w:t>
            </w:r>
          </w:p>
          <w:p>
            <w:pPr>
              <w:spacing w:after="60"/>
            </w:pPr>
            <w:r>
              <w:rPr>
                <w:sz w:val="18"/>
              </w:rPr>
            </w:r>
          </w:p>
          <w:p>
            <w:pPr>
              <w:spacing w:after="60"/>
            </w:pPr>
            <w:r>
              <w:rPr>
                <w:sz w:val="18"/>
              </w:rPr>
              <w:t>A las siete llegó el jefe de taller y vio las hojas. «¿Está mal?», preguntó, sin sentarse. «El consultor cobró por eso y el gerente lo firmó. Si le movemos algo ahora, con la auditoría encima, tenemos que explicar por qué lo movimos.»</w:t>
            </w:r>
          </w:p>
        </w:tc>
      </w:tr>
      <w:tr>
        <w:tc>
          <w:tcPr>
            <w:tcW w:type="dxa" w:w="2608"/>
          </w:tcPr>
          <w:p>
            <w:r>
              <w:rPr>
                <w:b/>
                <w:color w:val="1F3864"/>
                <w:sz w:val="18"/>
              </w:rPr>
              <w:t>PREGUNTA GATILLADORA</w:t>
            </w:r>
          </w:p>
        </w:tc>
        <w:tc>
          <w:tcPr>
            <w:tcW w:type="dxa" w:w="7030"/>
          </w:tcPr>
          <w:p>
            <w:pPr>
              <w:spacing w:after="60"/>
            </w:pPr>
            <w:r>
              <w:rPr>
                <w:sz w:val="18"/>
              </w:rPr>
              <w:t>¿Qué dice esta matriz del taller, y qué es lo que no dice?</w:t>
            </w:r>
          </w:p>
        </w:tc>
      </w:tr>
      <w:tr>
        <w:tc>
          <w:tcPr>
            <w:tcW w:type="dxa" w:w="2608"/>
          </w:tcPr>
          <w:p>
            <w:r>
              <w:rPr>
                <w:b/>
                <w:color w:val="1F3864"/>
                <w:sz w:val="18"/>
              </w:rPr>
              <w:t>PRODUCTO</w:t>
            </w:r>
          </w:p>
        </w:tc>
        <w:tc>
          <w:tcPr>
            <w:tcW w:type="dxa" w:w="7030"/>
          </w:tcPr>
          <w:p>
            <w:pPr>
              <w:spacing w:after="60"/>
            </w:pPr>
            <w:r>
              <w:rPr>
                <w:sz w:val="18"/>
              </w:rPr>
              <w:t>TRES ENTREGABLES. (1) EL INFORME DE DESCRIPCIÓN DE LA MATRIZ, sobre la plantilla del anexo 09: objeto y alcance, las actividades del taller con su entrada y su salida, los aspectos e impactos que la matriz registra, cómo la matriz obtiene el nivel de impacto y a qué clasificación llega, y las conclusiones con lo que el equipo describe que debe corregirse. Es el documento que se entrega y se firma. (2) EL ANEXO DEL INFORME, que es la hoja de trabajo (anexo 08) con sus dos piezas resueltas: la relación de actividades del taller resuelta MARCANDO qué aspecto y qué impacto corresponde a cada una —sobre relaciones con distractores, con la primera actividad resuelta como ejemplo—; y el cuadro de revisión de la valoración, donde se describe fila por fila cómo se obtuvo el nivel de impacto y si la clasificación corresponde. (3) EL PPT DE SUSTENTACIÓN, que el equipo arma: portada y CINCO LÁMINAS DE CONTENIDO, una por cada sección del informe. Se sustenta en 8 minutos.</w:t>
            </w:r>
          </w:p>
        </w:tc>
      </w:tr>
      <w:tr>
        <w:tc>
          <w:tcPr>
            <w:tcW w:type="dxa" w:w="2608"/>
          </w:tcPr>
          <w:p>
            <w:r>
              <w:rPr>
                <w:b/>
                <w:color w:val="1F3864"/>
                <w:sz w:val="18"/>
              </w:rPr>
              <w:t>ROLES</w:t>
            </w:r>
          </w:p>
        </w:tc>
        <w:tc>
          <w:tcPr>
            <w:tcW w:type="dxa" w:w="7030"/>
          </w:tcPr>
          <w:p>
            <w:pPr>
              <w:spacing w:after="60"/>
            </w:pPr>
            <w:r>
              <w:rPr>
                <w:sz w:val="18"/>
              </w:rPr>
              <w:t>Cuatro roles obligatorios, uno por integrante; los equipos de cinco añaden el quinto. ANALISTA DE ACTIVIDADES: describe las actividades del taller con su entrada y su salida, y señala cuáles no figuran en la matriz. RESPONSABLE DE ASPECTOS E IMPACTOS: relaciona cada actividad con el aspecto ambiental que genera y el impacto que ese aspecto produce. RESPONSABLE DE LA VALORACIÓN: describe cómo la matriz obtiene el nivel de impacto de cada fila y a qué clasificación llega, siguiendo el procedimiento de la empresa. SUPERVISOR DE MEDIO AMBIENTE: redacta las conclusiones, describe qué aspectos quedan significativos y qué control les corresponde, y firma el informe. RESPONSABLE DE REQUISITOS LEGALES (solo en equipos de cinco): describe qué norma aplica a cada aspecto registrado y qué obligación impone. El orden de exposición lo reparte el equipo: coordinar no es un rol. Cada integrante responde ante el equipo por su parte.</w:t>
            </w:r>
          </w:p>
        </w:tc>
      </w:tr>
      <w:tr>
        <w:tc>
          <w:tcPr>
            <w:tcW w:type="dxa" w:w="2608"/>
          </w:tcPr>
          <w:p>
            <w:r>
              <w:rPr>
                <w:b/>
                <w:color w:val="1F3864"/>
                <w:sz w:val="18"/>
              </w:rPr>
              <w:t>TIEMPO</w:t>
            </w:r>
          </w:p>
        </w:tc>
        <w:tc>
          <w:tcPr>
            <w:tcW w:type="dxa" w:w="7030"/>
          </w:tcPr>
          <w:p>
            <w:pPr>
              <w:spacing w:after="60"/>
            </w:pPr>
            <w:r>
              <w:rPr>
                <w:sz w:val="18"/>
              </w:rPr>
              <w:t>2 horas de trabajo autónomo · equipos de 4 · sustentación de 8 minutos</w:t>
            </w:r>
          </w:p>
        </w:tc>
      </w:tr>
      <w:tr>
        <w:tc>
          <w:tcPr>
            <w:tcW w:type="dxa" w:w="2608"/>
          </w:tcPr>
          <w:p>
            <w:r>
              <w:rPr>
                <w:b/>
                <w:color w:val="1F3864"/>
                <w:sz w:val="18"/>
              </w:rPr>
              <w:t>RECURSOS</w:t>
            </w:r>
          </w:p>
        </w:tc>
        <w:tc>
          <w:tcPr>
            <w:tcW w:type="dxa" w:w="7030"/>
          </w:tcPr>
          <w:p>
            <w:pPr>
              <w:spacing w:after="60"/>
            </w:pPr>
            <w:r>
              <w:rPr>
                <w:sz w:val="18"/>
              </w:rPr>
              <w:t>•  Anexo 07 — Matriz de aspectos e impactos del taller: la que dejó el consultor, con sus catorce columnas y sus filas tal como están</w:t>
            </w:r>
          </w:p>
          <w:p>
            <w:pPr>
              <w:spacing w:after="60"/>
            </w:pPr>
            <w:r>
              <w:rPr>
                <w:sz w:val="18"/>
              </w:rPr>
              <w:t>•  Anexo 08 — Hoja de trabajo, que se entrega como anexo del informe: la relación de actividades, aspectos e impactos con distractores, y el cuadro de revisión de la valoración</w:t>
            </w:r>
          </w:p>
          <w:p>
            <w:pPr>
              <w:spacing w:after="60"/>
            </w:pPr>
            <w:r>
              <w:rPr>
                <w:sz w:val="18"/>
              </w:rPr>
              <w:t>•  Anexo 09 — Plantilla del informe de descripción</w:t>
            </w:r>
          </w:p>
          <w:p>
            <w:pPr>
              <w:spacing w:after="60"/>
            </w:pPr>
            <w:r>
              <w:rPr>
                <w:sz w:val="18"/>
              </w:rPr>
              <w:t>•  El procedimiento de valoración de la empresa va transcrito dentro del anexo 07</w:t>
            </w:r>
          </w:p>
          <w:p>
            <w:pPr>
              <w:spacing w:after="60"/>
            </w:pPr>
            <w:r>
              <w:rPr>
                <w:sz w:val="18"/>
              </w:rPr>
              <w:t>•  No hace falta ningún documento externo: todo lo necesario está en el relato y en los anexos</w:t>
            </w:r>
          </w:p>
        </w:tc>
      </w:tr>
      <w:tr>
        <w:tc>
          <w:tcPr>
            <w:tcW w:type="dxa" w:w="2608"/>
          </w:tcPr>
          <w:p>
            <w:r>
              <w:rPr>
                <w:b/>
                <w:color w:val="1F3864"/>
                <w:sz w:val="18"/>
              </w:rPr>
              <w:t>AL CERRAR LA SUSTENTACIÓN</w:t>
            </w:r>
          </w:p>
        </w:tc>
        <w:tc>
          <w:tcPr>
            <w:tcW w:type="dxa" w:w="7030"/>
          </w:tcPr>
          <w:p>
            <w:pPr>
              <w:spacing w:after="60"/>
            </w:pPr>
            <w:r>
              <w:rPr>
                <w:sz w:val="18"/>
              </w:rPr>
              <w:t>Terminada la exposición, el instructor hará una pregunta técnica a CADA integrante sobre una parte del trabajo que NO expuso. Prepárense entre todos: el trabajo se sustenta completo, no por partes.</w:t>
            </w:r>
          </w:p>
        </w:tc>
      </w:tr>
    </w:tbl>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