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TRABAJO COLABORATIVO 2</w:t>
      </w:r>
    </w:p>
    <w:tbl>
      <w:tblPr>
        <w:tblStyle w:val="TableGrid"/>
        <w:tblW w:type="auto" w:w="0"/>
        <w:tblLook w:firstColumn="1" w:firstRow="1" w:lastColumn="0" w:lastRow="0" w:noHBand="0" w:noVBand="1" w:val="04A0"/>
      </w:tblPr>
      <w:tblGrid>
        <w:gridCol w:w="4986"/>
        <w:gridCol w:w="4986"/>
      </w:tblGrid>
      <w:tr>
        <w:tc>
          <w:tcPr>
            <w:tcW w:type="dxa" w:w="2608"/>
          </w:tcPr>
          <w:p>
            <w:r>
              <w:rPr>
                <w:b/>
                <w:color w:val="1F3864"/>
                <w:sz w:val="18"/>
              </w:rPr>
              <w:t>PROGRAMA DE ESTUDIOS</w:t>
            </w:r>
          </w:p>
        </w:tc>
        <w:tc>
          <w:tcPr>
            <w:tcW w:type="dxa" w:w="7030"/>
          </w:tcPr>
          <w:p>
            <w:pPr>
              <w:spacing w:after="60"/>
            </w:pPr>
            <w:r>
              <w:rPr>
                <w:sz w:val="18"/>
              </w:rPr>
              <w:t>Seguridad Industrial</w:t>
            </w:r>
          </w:p>
        </w:tc>
      </w:tr>
      <w:tr>
        <w:tc>
          <w:tcPr>
            <w:tcW w:type="dxa" w:w="2608"/>
          </w:tcPr>
          <w:p>
            <w:r>
              <w:rPr>
                <w:b/>
                <w:color w:val="1F3864"/>
                <w:sz w:val="18"/>
              </w:rPr>
              <w:t>UNIDAD DIDÁCTICA</w:t>
            </w:r>
          </w:p>
        </w:tc>
        <w:tc>
          <w:tcPr>
            <w:tcW w:type="dxa" w:w="7030"/>
          </w:tcPr>
          <w:p>
            <w:pPr>
              <w:spacing w:after="60"/>
            </w:pPr>
            <w:r>
              <w:rPr>
                <w:sz w:val="18"/>
              </w:rPr>
              <w:t>Controles de impactos ambientales</w:t>
            </w:r>
          </w:p>
        </w:tc>
      </w:tr>
      <w:tr>
        <w:tc>
          <w:tcPr>
            <w:tcW w:type="dxa" w:w="2608"/>
          </w:tcPr>
          <w:p>
            <w:r>
              <w:rPr>
                <w:b/>
                <w:color w:val="1F3864"/>
                <w:sz w:val="18"/>
              </w:rPr>
              <w:t>INDICADOR/ES DE LOGRO DE LA CAPACIDAD</w:t>
            </w:r>
          </w:p>
        </w:tc>
        <w:tc>
          <w:tcPr>
            <w:tcW w:type="dxa" w:w="7030"/>
          </w:tcPr>
          <w:p>
            <w:pPr>
              <w:spacing w:after="60"/>
            </w:pPr>
            <w:r>
              <w:rPr>
                <w:sz w:val="18"/>
              </w:rPr>
              <w:t>•  Describe la gestión y los controles de manejo de residuos sólidos considerando la normativa vigente nacional.</w:t>
            </w:r>
          </w:p>
        </w:tc>
      </w:tr>
      <w:tr>
        <w:tc>
          <w:tcPr>
            <w:tcW w:type="dxa" w:w="2608"/>
          </w:tcPr>
          <w:p>
            <w:r>
              <w:rPr>
                <w:b/>
                <w:color w:val="1F3864"/>
                <w:sz w:val="18"/>
              </w:rPr>
              <w:t>DESCRIPCIÓN DEL CASO 2</w:t>
            </w:r>
          </w:p>
        </w:tc>
        <w:tc>
          <w:tcPr>
            <w:tcW w:type="dxa" w:w="7030"/>
          </w:tcPr>
          <w:p>
            <w:pPr>
              <w:spacing w:after="60"/>
            </w:pPr>
            <w:r>
              <w:rPr>
                <w:sz w:val="18"/>
              </w:rPr>
              <w:t>El mismo taller del caso 1, un año después. El titular anuncia una verificación del manejo de residuos que va a pedir trazabilidad completa de los peligrosos. El equipo lee el relato, el registro interno y los documentos del retiro; describe qué residuos genera el taller y cómo se clasifican; describe cómo se maneja cada uno a lo largo de las operaciones y qué obligación le toca al generador; y describe qué controles no pueden sustentarse.</w:t>
            </w:r>
          </w:p>
          <w:p>
            <w:pPr>
              <w:spacing w:after="60"/>
            </w:pPr>
            <w:r>
              <w:rPr>
                <w:sz w:val="18"/>
              </w:rPr>
            </w:r>
          </w:p>
          <w:p>
            <w:pPr>
              <w:spacing w:after="60"/>
            </w:pPr>
            <w:r>
              <w:rPr>
                <w:sz w:val="18"/>
              </w:rPr>
              <w:t>Pasó la auditoría. El informe del titular llegó en octubre con dos observaciones menores sobre la matriz, y el contrato del taller se renovó por un año más. En diciembre, el área ambiental del titular mandó un correo distinto: en enero empieza la verificación del manejo de residuos de todas las contratistas, y esta vez van a pedir la trazabilidad completa de los peligrosos, desde el punto de generación hasta la constancia de disposición final.</w:t>
            </w:r>
          </w:p>
          <w:p>
            <w:pPr>
              <w:spacing w:after="60"/>
            </w:pPr>
            <w:r>
              <w:rPr>
                <w:sz w:val="18"/>
              </w:rPr>
            </w:r>
          </w:p>
          <w:p>
            <w:pPr>
              <w:spacing w:after="60"/>
            </w:pPr>
            <w:r>
              <w:rPr>
                <w:sz w:val="18"/>
              </w:rPr>
              <w:t>Marco Antonio Ticona lleva un año y medio de supervisor de medio ambiente de Mantenimiento y Servicios Automotrices S.A.C. El taller de unidades livianas atiende setenta y cuatro camionetas dentro de una unidad minera polimetálica de la costa de Ica, tiene diecisiete trabajos estandarizados y, desde la implementación del año pasado, un almacén de residuos que da gusto ver: piso impermeabilizado, techado, señalizado, con seis recipientes rotulados y pintados, cada uno con su cartel plastificado y su lista de qué va dentro. El cartel lo bajó el practicante de una guía que encontró en internet y lo mandó a imprimir; en la esquina inferior derecha dice, en letra chica, «NTP 900.058:2005».</w:t>
            </w:r>
          </w:p>
          <w:p>
            <w:pPr>
              <w:spacing w:after="60"/>
            </w:pPr>
            <w:r>
              <w:rPr>
                <w:sz w:val="18"/>
              </w:rPr>
            </w:r>
          </w:p>
          <w:p>
            <w:pPr>
              <w:spacing w:after="60"/>
            </w:pPr>
            <w:r>
              <w:rPr>
                <w:sz w:val="18"/>
              </w:rPr>
              <w:t>El registro interno lo lleva Marco en una hoja de cálculo desde que entró. El año pasado el taller generó cuatro mil ciento veinte litros de aceite usado, seiscientos ochenta kilos de trapos y guaipes impregnados, doscientos diez filtros usados, mil cuatrocientos kilos de neumáticos fuera de uso, ochocientos kilos de cartón y plástico de embalaje, y baterías. Las baterías son las que Marco tiene anotadas aparte: veintidós unidades que están en el almacén sobre una parihuela desde marzo del año pasado, tapadas con un plástico, esperando que alguien las recoja.</w:t>
            </w:r>
          </w:p>
          <w:p>
            <w:pPr>
              <w:spacing w:after="60"/>
            </w:pPr>
            <w:r>
              <w:rPr>
                <w:sz w:val="18"/>
              </w:rPr>
            </w:r>
          </w:p>
          <w:p>
            <w:pPr>
              <w:spacing w:after="60"/>
            </w:pPr>
            <w:r>
              <w:rPr>
                <w:sz w:val="18"/>
              </w:rPr>
              <w:t>También hay una caja, arriba del estante, con dos computadoras que dejaron de funcionar, el escáner de diagnóstico viejo, tres teléfonos de la supervisión y un cargador. Nadie ha decidido qué hacer con eso. En el registro interno figura en la fila «varios».</w:t>
            </w:r>
          </w:p>
          <w:p>
            <w:pPr>
              <w:spacing w:after="60"/>
            </w:pPr>
            <w:r>
              <w:rPr>
                <w:sz w:val="18"/>
              </w:rPr>
            </w:r>
          </w:p>
          <w:p>
            <w:pPr>
              <w:spacing w:after="60"/>
            </w:pPr>
            <w:r>
              <w:rPr>
                <w:sz w:val="18"/>
              </w:rPr>
              <w:t>La cadena documental del aceite usado se ve completa. Cada retiro tiene su manifiesto con las tres firmas: el generador, el transportista y el destino. La empresa que se lleva el aceite es Transportes y Servicios Ambientales del Sur S.A.C., que vino recomendada por otra contratista de la mina, cobra bien y siempre llega. Marco archivó la constancia del registro de esa empresa cuando la contrataron; está impresa y guardada en el file, y en el cuadro de operaciones autorizadas tiene una sola línea marcada. En los doce manifiestos del año, la casilla del transportista y la casilla del destino final llevan el mismo nombre y el mismo RUC.</w:t>
            </w:r>
          </w:p>
          <w:p>
            <w:pPr>
              <w:spacing w:after="60"/>
            </w:pPr>
            <w:r>
              <w:rPr>
                <w:sz w:val="18"/>
              </w:rPr>
            </w:r>
          </w:p>
          <w:p>
            <w:pPr>
              <w:spacing w:after="60"/>
            </w:pPr>
            <w:r>
              <w:rPr>
                <w:sz w:val="18"/>
              </w:rPr>
              <w:t>Marco recuerda algo de la charla de inducción del titular, en junio. El expositor contó que a una contratista de otra unidad le levantaron un hallazgo porque el aceite que declaraba dispuesto había terminado revendido en un taller de la carretera. No dijo cómo se dieron cuenta, y Marco no preguntó.</w:t>
            </w:r>
          </w:p>
          <w:p>
            <w:pPr>
              <w:spacing w:after="60"/>
            </w:pPr>
            <w:r>
              <w:rPr>
                <w:sz w:val="18"/>
              </w:rPr>
            </w:r>
          </w:p>
          <w:p>
            <w:pPr>
              <w:spacing w:after="60"/>
            </w:pPr>
            <w:r>
              <w:rPr>
                <w:sz w:val="18"/>
              </w:rPr>
              <w:t>El jefe de taller lo tiene claro: «El manifiesto está firmado y sellado por los tres. Si el papel está bien, nosotros estamos bien.»</w:t>
            </w:r>
          </w:p>
        </w:tc>
      </w:tr>
      <w:tr>
        <w:tc>
          <w:tcPr>
            <w:tcW w:type="dxa" w:w="2608"/>
          </w:tcPr>
          <w:p>
            <w:r>
              <w:rPr>
                <w:b/>
                <w:color w:val="1F3864"/>
                <w:sz w:val="18"/>
              </w:rPr>
              <w:t>PREGUNTA GATILLADORA</w:t>
            </w:r>
          </w:p>
        </w:tc>
        <w:tc>
          <w:tcPr>
            <w:tcW w:type="dxa" w:w="7030"/>
          </w:tcPr>
          <w:p>
            <w:pPr>
              <w:spacing w:after="60"/>
            </w:pPr>
            <w:r>
              <w:rPr>
                <w:sz w:val="18"/>
              </w:rPr>
              <w:t>¿Puede este taller demostrar dónde terminó cada residuo que generó?</w:t>
            </w:r>
          </w:p>
        </w:tc>
      </w:tr>
      <w:tr>
        <w:tc>
          <w:tcPr>
            <w:tcW w:type="dxa" w:w="2608"/>
          </w:tcPr>
          <w:p>
            <w:r>
              <w:rPr>
                <w:b/>
                <w:color w:val="1F3864"/>
                <w:sz w:val="18"/>
              </w:rPr>
              <w:t>PRODUCTO</w:t>
            </w:r>
          </w:p>
        </w:tc>
        <w:tc>
          <w:tcPr>
            <w:tcW w:type="dxa" w:w="7030"/>
          </w:tcPr>
          <w:p>
            <w:pPr>
              <w:spacing w:after="60"/>
            </w:pPr>
            <w:r>
              <w:rPr>
                <w:sz w:val="18"/>
              </w:rPr>
              <w:t>TRES ENTREGABLES. (1) EL INFORME DE DESCRIPCIÓN DEL MANEJO DE RESIDUOS, sobre la plantilla del anexo 12: objeto y alcance; los residuos que el taller genera y cómo se clasifican en los dos ejes; cómo se maneja cada uno a lo largo de las operaciones, con la obligación que le aplica al generador en cada paso; y las conclusiones con lo que el equipo describe que no puede sustentarse ante la verificación. Es el documento que se entrega y se firma. (2) EL ANEXO DEL INFORME, que es la hoja de trabajo (anexo 13) con sus dos piezas resueltas: la relación de residuos del taller resuelta MARCANDO su clasificación y el recipiente que le corresponde —sobre relaciones con distractores, con el primer residuo resuelto como ejemplo—; y el cuadro de trazabilidad, donde se describe residuo por residuo qué documento respalda cada paso y cuál falta. (3) EL PPT DE SUSTENTACIÓN: portada y CINCO LÁMINAS DE CONTENIDO, una por sección del informe. Se sustenta en 8 minutos.</w:t>
            </w:r>
          </w:p>
        </w:tc>
      </w:tr>
      <w:tr>
        <w:tc>
          <w:tcPr>
            <w:tcW w:type="dxa" w:w="2608"/>
          </w:tcPr>
          <w:p>
            <w:r>
              <w:rPr>
                <w:b/>
                <w:color w:val="1F3864"/>
                <w:sz w:val="18"/>
              </w:rPr>
              <w:t>ROLES</w:t>
            </w:r>
          </w:p>
        </w:tc>
        <w:tc>
          <w:tcPr>
            <w:tcW w:type="dxa" w:w="7030"/>
          </w:tcPr>
          <w:p>
            <w:pPr>
              <w:spacing w:after="60"/>
            </w:pPr>
            <w:r>
              <w:rPr>
                <w:sz w:val="18"/>
              </w:rPr>
              <w:t>Cuatro roles obligatorios, uno por integrante; los equipos de cinco añaden el quinto. ANALISTA DE GENERACIÓN: describe qué residuos genera el taller, en qué cantidad, y cómo se clasifica cada uno en los dos ejes de la ley. RESPONSABLE DE SEGREGACIÓN Y ALMACENAMIENTO: describe qué código de colores le corresponde al taller y por qué, y describe los tipos de almacenamiento y los plazos que la norma fija. RESPONSABLE DE TRAZABILIDAD: describe la cadena documental de los residuos peligrosos y qué operaciones tiene efectivamente autorizadas la empresa que se los lleva. SUPERVISOR DE MEDIO AMBIENTE: redacta las conclusiones, describe qué no puede sustentarse ante la verificación y por qué, y firma el informe. RESPONSABLE DE RAEE (solo en equipos de cinco): describe qué residuos del taller entran al régimen especial y qué obligación le impone al generador. El orden de exposición lo reparte el equipo: coordinar no es un rol. Cada integrante responde ante el equipo por su parte.</w:t>
            </w:r>
          </w:p>
        </w:tc>
      </w:tr>
      <w:tr>
        <w:tc>
          <w:tcPr>
            <w:tcW w:type="dxa" w:w="2608"/>
          </w:tcPr>
          <w:p>
            <w:r>
              <w:rPr>
                <w:b/>
                <w:color w:val="1F3864"/>
                <w:sz w:val="18"/>
              </w:rPr>
              <w:t>TIEMPO</w:t>
            </w:r>
          </w:p>
        </w:tc>
        <w:tc>
          <w:tcPr>
            <w:tcW w:type="dxa" w:w="7030"/>
          </w:tcPr>
          <w:p>
            <w:pPr>
              <w:spacing w:after="60"/>
            </w:pPr>
            <w:r>
              <w:rPr>
                <w:sz w:val="18"/>
              </w:rPr>
              <w:t>2 horas de trabajo autónomo · equipos de 4 · sustentación de 8 minutos</w:t>
            </w:r>
          </w:p>
        </w:tc>
      </w:tr>
      <w:tr>
        <w:tc>
          <w:tcPr>
            <w:tcW w:type="dxa" w:w="2608"/>
          </w:tcPr>
          <w:p>
            <w:r>
              <w:rPr>
                <w:b/>
                <w:color w:val="1F3864"/>
                <w:sz w:val="18"/>
              </w:rPr>
              <w:t>RECURSOS</w:t>
            </w:r>
          </w:p>
        </w:tc>
        <w:tc>
          <w:tcPr>
            <w:tcW w:type="dxa" w:w="7030"/>
          </w:tcPr>
          <w:p>
            <w:pPr>
              <w:spacing w:after="60"/>
            </w:pPr>
            <w:r>
              <w:rPr>
                <w:sz w:val="18"/>
              </w:rPr>
              <w:t>•  Anexo 10 — Registro interno de generación y manejo de residuos del taller, tal como Marco lo lleva</w:t>
            </w:r>
          </w:p>
          <w:p>
            <w:pPr>
              <w:spacing w:after="60"/>
            </w:pPr>
            <w:r>
              <w:rPr>
                <w:sz w:val="18"/>
              </w:rPr>
              <w:t>•  Anexo 11 — Manifiesto de residuos peligrosos del último retiro, y la constancia de registro de la empresa que se lleva el aceite, con su cuadro de operaciones autorizadas</w:t>
            </w:r>
          </w:p>
          <w:p>
            <w:pPr>
              <w:spacing w:after="60"/>
            </w:pPr>
            <w:r>
              <w:rPr>
                <w:sz w:val="18"/>
              </w:rPr>
              <w:t>•  Anexo 12 — Plantilla del informe de descripción</w:t>
            </w:r>
          </w:p>
          <w:p>
            <w:pPr>
              <w:spacing w:after="60"/>
            </w:pPr>
            <w:r>
              <w:rPr>
                <w:sz w:val="18"/>
              </w:rPr>
              <w:t>•  Anexo 13 — Hoja de trabajo, que se entrega como anexo del informe</w:t>
            </w:r>
          </w:p>
          <w:p>
            <w:pPr>
              <w:spacing w:after="60"/>
            </w:pPr>
            <w:r>
              <w:rPr>
                <w:sz w:val="18"/>
              </w:rPr>
              <w:t>•  Los extractos de la norma que hacen falta van transcritos dentro del anexo 11</w:t>
            </w:r>
          </w:p>
          <w:p>
            <w:pPr>
              <w:spacing w:after="60"/>
            </w:pPr>
            <w:r>
              <w:rPr>
                <w:sz w:val="18"/>
              </w:rPr>
              <w:t>•  No hace falta ningún documento externo: todo lo necesario está en el relato y en los anexos</w:t>
            </w:r>
          </w:p>
        </w:tc>
      </w:tr>
      <w:tr>
        <w:tc>
          <w:tcPr>
            <w:tcW w:type="dxa" w:w="2608"/>
          </w:tcPr>
          <w:p>
            <w:r>
              <w:rPr>
                <w:b/>
                <w:color w:val="1F3864"/>
                <w:sz w:val="18"/>
              </w:rPr>
              <w:t>AL CERRAR LA SUSTENTACIÓN</w:t>
            </w:r>
          </w:p>
        </w:tc>
        <w:tc>
          <w:tcPr>
            <w:tcW w:type="dxa" w:w="7030"/>
          </w:tcPr>
          <w:p>
            <w:pPr>
              <w:spacing w:after="60"/>
            </w:pPr>
            <w:r>
              <w:rPr>
                <w:sz w:val="18"/>
              </w:rPr>
              <w:t>Terminada la exposición, el instructor hará una pregunta técnica a CADA integrante sobre una parte del trabajo que NO expuso. Prepárense entre todos: el trabajo se sustenta completo, no por partes.</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