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0"/>
        </w:rPr>
        <w:t>TC1 · NOTA DEL INSTRUCTOR</w:t>
      </w:r>
    </w:p>
    <w:p>
      <w:pPr>
        <w:spacing w:after="120"/>
      </w:pPr>
      <w:r>
        <w:rPr>
          <w:b/>
          <w:i w:val="0"/>
          <w:sz w:val="20"/>
        </w:rPr>
        <w:t>NO SE ENTREGA A LOS ESTUDIANTES. Contiene la respuesta esperada y la fuente.</w:t>
      </w:r>
    </w:p>
    <w:p>
      <w:r>
        <w:rPr>
          <w:b/>
          <w:color w:val="1F3864"/>
          <w:sz w:val="24"/>
        </w:rPr>
        <w:t>El guion esperado</w:t>
      </w:r>
    </w:p>
    <w:p>
      <w:pPr>
        <w:spacing w:after="120"/>
      </w:pPr>
      <w:r>
        <w:rPr>
          <w:b w:val="0"/>
          <w:i/>
          <w:sz w:val="20"/>
        </w:rPr>
        <w:t>«El taller tiene diecisiete trabajos estandarizados. En el cambio de aceite de motor la entrada es aceite nuevo y filtro nuevo, y la salida es aceite usado, filtro usado y trapos impregnados; el aspecto es la generación de residuo peligroso y el impacto es la contaminación potencial del suelo. El procedimiento valora con dos criterios de 1 a 4 y multiplica: severidad 2 por probabilidad 4 da 8, que cae en el tramo medio, y por eso la matriz lo marcó como no significativo. Pero el numeral 5.5 del mismo procedimiento dice que un aspecto sujeto a requisito legal es significativo, y esa fila trae escrito su requisito legal: manifiesto de residuos peligrosos y almacenamiento máximo de doce meses. Entonces la clasificación no corresponde: ese aspecto es significativo, y el control que le toca no es solo la bandeja antiderrame. Además, el cambio de batería es una actividad del taller y no tiene fila en la matriz, aunque hay veintidós baterías usadas almacenadas desde marzo.»</w:t>
      </w:r>
    </w:p>
    <w:p>
      <w:r>
        <w:rPr>
          <w:b/>
          <w:color w:val="1F3864"/>
          <w:sz w:val="24"/>
        </w:rPr>
        <w:t>Las dos cosas que el caso esconde</w:t>
      </w:r>
    </w:p>
    <w:p>
      <w:pPr>
        <w:spacing w:after="120"/>
      </w:pPr>
      <w:r>
        <w:rPr>
          <w:b w:val="0"/>
          <w:i w:val="0"/>
          <w:sz w:val="20"/>
        </w:rPr>
        <w:t>1 · LA FILA MAL CLASIFICADA. La fila 1 tiene requisito legal escrito y valor 12. Por aritmética es MEDIO y no significativo; por el numeral 5.5 es SIGNIFICATIVO. El equipo que solo multiplica dice que la matriz está bien. Es lo que separa las notas: no depende de saber más, depende de haber leído el procedimiento entero.</w:t>
      </w:r>
    </w:p>
    <w:p>
      <w:pPr>
        <w:spacing w:after="120"/>
      </w:pPr>
      <w:r>
        <w:rPr>
          <w:b w:val="0"/>
          <w:i w:val="0"/>
          <w:sz w:val="20"/>
        </w:rPr>
        <w:t>2 · LA ACTIVIDAD QUE FALTA. El cambio de batería es uno de los diecisiete trabajos y no tiene fila. El relato lo dice sin señalarlo: «el cambio de batería no aparece en ninguna parte de la matriz, aunque el almacén guarda desde marzo veintidós baterías usadas». Las baterías usadas son residuo peligroso.</w:t>
      </w:r>
    </w:p>
    <w:p>
      <w:pPr>
        <w:spacing w:after="120"/>
      </w:pPr>
      <w:r>
        <w:rPr>
          <w:b w:val="0"/>
          <w:i w:val="0"/>
          <w:sz w:val="20"/>
        </w:rPr>
        <w:t>La fila 5, cambio de neumáticos, va bien clasificada (12, ALTO, significativo). Está ahí para que el contraste sea posible: demuestra que la regla del tramo funciona, y que lo que falla en la fila 1 no es la tabla sino el numeral 5.5.</w:t>
      </w:r>
    </w:p>
    <w:p>
      <w:r>
        <w:rPr>
          <w:b/>
          <w:color w:val="1F3864"/>
          <w:sz w:val="24"/>
        </w:rPr>
        <w:t>Dónde está cada ingrediente del §13</w:t>
      </w:r>
    </w:p>
    <w:p>
      <w:pPr>
        <w:pStyle w:val="ListBullet"/>
      </w:pPr>
      <w:r>
        <w:rPr>
          <w:b/>
          <w:sz w:val="20"/>
        </w:rPr>
        <w:t xml:space="preserve">Un reloj: </w:t>
      </w:r>
      <w:r>
        <w:rPr>
          <w:sz w:val="20"/>
        </w:rPr>
        <w:t>«el 24 de este mes entra la auditoría de contratistas»</w:t>
      </w:r>
    </w:p>
    <w:p>
      <w:pPr>
        <w:pStyle w:val="ListBullet"/>
      </w:pPr>
      <w:r>
        <w:rPr>
          <w:b/>
          <w:sz w:val="20"/>
        </w:rPr>
        <w:t xml:space="preserve">Alguien que se juega algo: </w:t>
      </w:r>
      <w:r>
        <w:rPr>
          <w:sz w:val="20"/>
        </w:rPr>
        <w:t>Marco Antonio Ticona, cinco meses en el puesto, y el jefe de taller que prefiere no mover nada</w:t>
      </w:r>
    </w:p>
    <w:p>
      <w:pPr>
        <w:pStyle w:val="ListBullet"/>
      </w:pPr>
      <w:r>
        <w:rPr>
          <w:b/>
          <w:sz w:val="20"/>
        </w:rPr>
        <w:t xml:space="preserve">Un riesgo contado de pasada: </w:t>
      </w:r>
      <w:r>
        <w:rPr>
          <w:sz w:val="20"/>
        </w:rPr>
        <w:t>el derrame de agosto en la rampa, cubierto con arena y no reportado — nunca se rotula como riesgo</w:t>
      </w:r>
    </w:p>
    <w:p>
      <w:pPr>
        <w:pStyle w:val="ListBullet"/>
      </w:pPr>
      <w:r>
        <w:rPr>
          <w:b/>
          <w:sz w:val="20"/>
        </w:rPr>
        <w:t xml:space="preserve">Un dato que contradice: </w:t>
      </w:r>
      <w:r>
        <w:rPr>
          <w:sz w:val="20"/>
        </w:rPr>
        <w:t>la fila 1: impecable, sellada y firmada, con su requisito legal escrito y su clasificación equivocada</w:t>
      </w:r>
    </w:p>
    <w:p>
      <w:pPr>
        <w:pStyle w:val="ListBullet"/>
      </w:pPr>
      <w:r>
        <w:rPr>
          <w:b/>
          <w:sz w:val="20"/>
        </w:rPr>
        <w:t xml:space="preserve">La resistencia: </w:t>
      </w:r>
      <w:r>
        <w:rPr>
          <w:sz w:val="20"/>
        </w:rPr>
        <w:t>«si le movemos algo ahora, con la auditoría encima, tenemos que explicar por qué lo movimos»</w:t>
      </w:r>
    </w:p>
    <w:p>
      <w:r>
        <w:rPr>
          <w:b/>
          <w:color w:val="1F3864"/>
          <w:sz w:val="24"/>
        </w:rPr>
        <w:t>La fuente real — se revela AL CERRAR la sustentación</w:t>
      </w:r>
    </w:p>
    <w:p>
      <w:pPr>
        <w:spacing w:after="120"/>
      </w:pPr>
      <w:r>
        <w:rPr>
          <w:b/>
          <w:i w:val="0"/>
          <w:sz w:val="20"/>
        </w:rPr>
        <w:t>Coblentz Pineda, J. C. (2023). Matriz de aspectos e impactos ambientales en labores de un taller de mantenimiento mecánico de unidades livianas en la mina Cerro Lindo en el periodo 2019. Universidad Nacional Federico Villarreal, Facultad de Ingeniería Geográfica, Ambiental y Ecoturismo.</w:t>
      </w:r>
    </w:p>
    <w:p>
      <w:pPr>
        <w:spacing w:after="120"/>
      </w:pPr>
      <w:r>
        <w:rPr>
          <w:b w:val="0"/>
          <w:i w:val="0"/>
          <w:sz w:val="20"/>
        </w:rPr>
        <w:t>Qué decirles: «Todo lo que leyeron es real. El taller es el de Grupo Pana S.A. dentro de la unidad minera Cerro Lindo, del titular NEXA Resources Perú S.A.A., y atendía más de setenta camionetas Hilux. Los diecisiete trabajos estandarizados son los de esa tesis. Ábranla y comparen su informe con lo que hizo el autor: él implementó la trampa de agua, los contenedores de químicos y el acondicionamiento por código de colores. Donde no coincidan con ustedes, expliquen por qué.»</w:t>
      </w:r>
    </w:p>
    <w:p>
      <w:pPr>
        <w:spacing w:after="120"/>
      </w:pPr>
      <w:r>
        <w:rPr>
          <w:b w:val="0"/>
          <w:i w:val="0"/>
          <w:sz w:val="20"/>
        </w:rPr>
        <w:t>El procedimiento de valoración está tomado del procedimiento real E3.2.2.P1 v00 de Activos Mineros S.A.C. (AMSAC), del 21 de diciembre de 2020, incluido su numeral que hace significativo todo aspecto sujeto a requisito legal. Los valores de las filas se construyeron para este caso.</w:t>
      </w:r>
    </w:p>
    <w:p>
      <w:r>
        <w:rPr>
          <w:b/>
          <w:color w:val="1F3864"/>
          <w:sz w:val="24"/>
        </w:rPr>
        <w:t>DEPENDENCIA: qué tiene que enseñar la sesión 5 para que este TC sea justo</w:t>
      </w:r>
    </w:p>
    <w:p>
      <w:pPr>
        <w:spacing w:after="120"/>
      </w:pPr>
      <w:r>
        <w:rPr>
          <w:b/>
          <w:i w:val="0"/>
          <w:sz w:val="20"/>
        </w:rPr>
        <w:t>Este trabajo se resuelve aplicando una regla: un aspecto sujeto a requisito legal es significativo aunque el cálculo lo deje en MEDIO. Esa regla TIENE QUE estar entre los puntos clave de la S5 —«Aspectos ambientales significativos por sector productivo»—, cuyo aprendizaje esperado promete describir «qué condición hace que un aspecto ambiental se declare significativo».</w:t>
      </w:r>
    </w:p>
    <w:p>
      <w:pPr>
        <w:spacing w:after="120"/>
      </w:pPr>
      <w:r>
        <w:rPr>
          <w:b w:val="0"/>
          <w:i w:val="0"/>
          <w:sz w:val="20"/>
        </w:rPr>
        <w:t>Si al escribir los puntos clave de la S5 esa regla no entra, el TC1 se vuelve injusto: estaría evaluando algo que la sesión no enseñó, que es el primero de los 8 errores del §08. Comprobarlo antes de aplicar el trabajo.</w:t>
      </w:r>
    </w:p>
    <w:p>
      <w:pPr>
        <w:spacing w:after="120"/>
      </w:pPr>
      <w:r>
        <w:rPr>
          <w:b w:val="0"/>
          <w:i w:val="0"/>
          <w:sz w:val="20"/>
        </w:rPr>
        <w:t>El método de valoración del anexo 07 —severidad × probabilidad— es el mismo que la S4 enseña. Si alguna vez se cambia el método en la S4, hay que cambiar el anexo 07 el mismo día.</w:t>
      </w:r>
    </w:p>
    <w:p>
      <w:r>
        <w:rPr>
          <w:b/>
          <w:color w:val="1F3864"/>
          <w:sz w:val="24"/>
        </w:rPr>
        <w:t>Advertencia de alcance</w:t>
      </w:r>
    </w:p>
    <w:p>
      <w:pPr>
        <w:spacing w:after="120"/>
      </w:pPr>
      <w:r>
        <w:rPr>
          <w:b w:val="0"/>
          <w:i w:val="0"/>
          <w:sz w:val="20"/>
        </w:rPr>
        <w:t>El techo del indicador es DESCRIBE. Si en la sustentación un equipo propone controles nuevos o recomienda a la gerencia, no se le suma puntaje por ello: no está en la rúbrica y no está en el indicador. Tampoco se le penaliza.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