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TC2 · NOTA DEL INSTRUCTOR</w:t>
      </w:r>
    </w:p>
    <w:p>
      <w:pPr>
        <w:spacing w:after="120"/>
      </w:pPr>
      <w:r>
        <w:rPr>
          <w:b/>
          <w:i w:val="0"/>
          <w:sz w:val="20"/>
        </w:rPr>
        <w:t>NO SE ENTREGA A LOS ESTUDIANTES. Contiene la respuesta esperada y las fuentes.</w:t>
      </w:r>
    </w:p>
    <w:p>
      <w:r>
        <w:rPr>
          <w:b/>
          <w:color w:val="1F3864"/>
          <w:sz w:val="24"/>
        </w:rPr>
        <w:t>El guion esperado</w:t>
      </w:r>
    </w:p>
    <w:p>
      <w:pPr>
        <w:spacing w:after="120"/>
      </w:pPr>
      <w:r>
        <w:rPr>
          <w:b w:val="0"/>
          <w:i/>
          <w:sz w:val="20"/>
        </w:rPr>
        <w:t>«El taller es un generador NO municipal, así que le corresponde el código de siete colores del ámbito no municipal, no el de cuatro. Los carteles del almacén están hechos con la NTP 900.058:2005, que ya no es la vigente: el artículo 36 la nombra pero dice “o su versión actualizada”, y la actualizada es la de 2019. Además hay recipiente verde, que es del ámbito municipal. Sobre la trazabilidad: los manifiestos están firmados por los tres, pero la constancia del operador tiene marcada una sola operación, recolección y transporte de peligrosos. En los doce manifiestos el transportista y el destino final son la misma empresa, y esa empresa no está autorizada para disposición final. Entonces el taller no puede sustentar dónde terminó el aceite. Y las baterías llevan más de doce meses almacenadas, que es el plazo máximo del artículo 55 del reglamento. La caja de “varios” son RAEE y van por su régimen especial.»</w:t>
      </w:r>
    </w:p>
    <w:p>
      <w:r>
        <w:rPr>
          <w:b/>
          <w:color w:val="1F3864"/>
          <w:sz w:val="24"/>
        </w:rPr>
        <w:t>Las cuatro cosas que el caso esconde</w:t>
      </w:r>
    </w:p>
    <w:p>
      <w:pPr>
        <w:spacing w:after="120"/>
      </w:pPr>
      <w:r>
        <w:rPr>
          <w:b/>
          <w:i w:val="0"/>
          <w:sz w:val="20"/>
        </w:rPr>
        <w:t>1 · EL DESTINO QUE NO ESTÁ AUTORIZADO</w:t>
      </w:r>
    </w:p>
    <w:p>
      <w:pPr>
        <w:spacing w:after="120"/>
      </w:pPr>
      <w:r>
        <w:rPr>
          <w:b w:val="0"/>
          <w:i w:val="0"/>
          <w:sz w:val="20"/>
        </w:rPr>
        <w:t>Es la trampa principal. El manifiesto está impecable y firmado por los tres, pero la constancia del anexo 11 tiene UNA sola casilla marcada: recolección y transporte de peligrosos. Las casillas de valorización, tratamiento y disposición final están vacías. Y en el manifiesto, transportista y destino final llevan el mismo RUC. El equipo que da por buena la firma no encuentra nada; el que cruza el manifiesto con la constancia ve que la cadena se corta.</w:t>
      </w:r>
    </w:p>
    <w:p>
      <w:pPr>
        <w:spacing w:after="120"/>
      </w:pPr>
      <w:r>
        <w:rPr>
          <w:b/>
          <w:i w:val="0"/>
          <w:sz w:val="20"/>
        </w:rPr>
        <w:t>2 · LOS DOCE MESES DE LAS BATERÍAS</w:t>
      </w:r>
    </w:p>
    <w:p>
      <w:pPr>
        <w:spacing w:after="120"/>
      </w:pPr>
      <w:r>
        <w:rPr>
          <w:b w:val="0"/>
          <w:i w:val="0"/>
          <w:sz w:val="20"/>
        </w:rPr>
        <w:t>Veintidós baterías de plomo-ácido, en el almacén desde marzo del año anterior, y el caso transcurre en diciembre-enero. Supera el plazo del art. 55 del D.S. 014-2017-MINAM. Además no están en cilindro: están sobre una parihuela junto a la puerta, tapadas con plástico.</w:t>
      </w:r>
    </w:p>
    <w:p>
      <w:pPr>
        <w:spacing w:after="120"/>
      </w:pPr>
      <w:r>
        <w:rPr>
          <w:b/>
          <w:i w:val="0"/>
          <w:sz w:val="20"/>
        </w:rPr>
        <w:t>3 · EL CÓDIGO DE COLORES EQUIVOCADO, POR PARTIDA DOBLE</w:t>
      </w:r>
    </w:p>
    <w:p>
      <w:pPr>
        <w:spacing w:after="120"/>
      </w:pPr>
      <w:r>
        <w:rPr>
          <w:b w:val="0"/>
          <w:i w:val="0"/>
          <w:sz w:val="20"/>
        </w:rPr>
        <w:t>Los carteles citan la NTP 900.058:2005, derogada por la 2019. Y los seis recipientes mezclan el set municipal (verde, marrón, negro, rojo) con dos del no municipal (azul, blanco). A un generador no municipal le corresponden los siete del ámbito no municipal, y no hay recipiente verde en ese set. El almacén se ve ejemplar y está mal.</w:t>
      </w:r>
    </w:p>
    <w:p>
      <w:pPr>
        <w:spacing w:after="120"/>
      </w:pPr>
      <w:r>
        <w:rPr>
          <w:b/>
          <w:i w:val="0"/>
          <w:sz w:val="20"/>
        </w:rPr>
        <w:t>4 · LA FILA «VARIOS» SON RAEE</w:t>
      </w:r>
    </w:p>
    <w:p>
      <w:pPr>
        <w:spacing w:after="120"/>
      </w:pPr>
      <w:r>
        <w:rPr>
          <w:b w:val="0"/>
          <w:i w:val="0"/>
          <w:sz w:val="20"/>
        </w:rPr>
        <w:t>Dos computadoras, un escáner de diagnóstico, tres teléfonos y un cargador. Encajan en la definición de AEE del Anexo I del D.S. 009-2019-MINAM y entran al régimen especial de RAEE, no al general.</w:t>
      </w:r>
    </w:p>
    <w:p>
      <w:r>
        <w:rPr>
          <w:b/>
          <w:color w:val="1F3864"/>
          <w:sz w:val="24"/>
        </w:rPr>
        <w:t>Dónde está cada ingrediente del §13</w:t>
      </w:r>
    </w:p>
    <w:p>
      <w:pPr>
        <w:pStyle w:val="ListBullet"/>
      </w:pPr>
      <w:r>
        <w:rPr>
          <w:b/>
          <w:sz w:val="20"/>
        </w:rPr>
        <w:t xml:space="preserve">Un reloj: </w:t>
      </w:r>
      <w:r>
        <w:rPr>
          <w:sz w:val="20"/>
        </w:rPr>
        <w:t>«en enero empieza la verificación del manejo de residuos de todas las contratistas»</w:t>
      </w:r>
    </w:p>
    <w:p>
      <w:pPr>
        <w:pStyle w:val="ListBullet"/>
      </w:pPr>
      <w:r>
        <w:rPr>
          <w:b/>
          <w:sz w:val="20"/>
        </w:rPr>
        <w:t xml:space="preserve">Un número que duele: </w:t>
      </w:r>
      <w:r>
        <w:rPr>
          <w:sz w:val="20"/>
        </w:rPr>
        <w:t>4 120 L de aceite usado al año, y 22 baterías paradas desde marzo del año anterior</w:t>
      </w:r>
    </w:p>
    <w:p>
      <w:pPr>
        <w:pStyle w:val="ListBullet"/>
      </w:pPr>
      <w:r>
        <w:rPr>
          <w:b/>
          <w:sz w:val="20"/>
        </w:rPr>
        <w:t xml:space="preserve">Alguien que se juega algo: </w:t>
      </w:r>
      <w:r>
        <w:rPr>
          <w:sz w:val="20"/>
        </w:rPr>
        <w:t>Marco Antonio Ticona, que archivó él mismo la constancia y no la volvió a leer</w:t>
      </w:r>
    </w:p>
    <w:p>
      <w:pPr>
        <w:pStyle w:val="ListBullet"/>
      </w:pPr>
      <w:r>
        <w:rPr>
          <w:b/>
          <w:sz w:val="20"/>
        </w:rPr>
        <w:t xml:space="preserve">Un riesgo contado de pasada: </w:t>
      </w:r>
      <w:r>
        <w:rPr>
          <w:sz w:val="20"/>
        </w:rPr>
        <w:t>el aceite de otra contratista que terminó revendido en un taller de la carretera — se cuenta en una charla y nadie preguntó cómo se supo</w:t>
      </w:r>
    </w:p>
    <w:p>
      <w:pPr>
        <w:pStyle w:val="ListBullet"/>
      </w:pPr>
      <w:r>
        <w:rPr>
          <w:b/>
          <w:sz w:val="20"/>
        </w:rPr>
        <w:t xml:space="preserve">Un dato que contradice: </w:t>
      </w:r>
      <w:r>
        <w:rPr>
          <w:sz w:val="20"/>
        </w:rPr>
        <w:t>el manifiesto con las tres firmas y el mismo RUC en transportista y destino final</w:t>
      </w:r>
    </w:p>
    <w:p>
      <w:pPr>
        <w:pStyle w:val="ListBullet"/>
      </w:pPr>
      <w:r>
        <w:rPr>
          <w:b/>
          <w:sz w:val="20"/>
        </w:rPr>
        <w:t xml:space="preserve">La resistencia: </w:t>
      </w:r>
      <w:r>
        <w:rPr>
          <w:sz w:val="20"/>
        </w:rPr>
        <w:t>«Si el papel está bien, nosotros estamos bien.»</w:t>
      </w:r>
    </w:p>
    <w:p>
      <w:r>
        <w:rPr>
          <w:b/>
          <w:color w:val="1F3864"/>
          <w:sz w:val="24"/>
        </w:rPr>
        <w:t>Las fuentes reales — se revelan AL CERRAR la sustentación</w:t>
      </w:r>
    </w:p>
    <w:p>
      <w:pPr>
        <w:spacing w:after="120"/>
      </w:pPr>
      <w:r>
        <w:rPr>
          <w:b/>
          <w:i w:val="0"/>
          <w:sz w:val="20"/>
        </w:rPr>
        <w:t>Coblentz Pineda, J. C. (2023). Matriz de aspectos e impactos ambientales en labores de un taller de mantenimiento mecánico de unidades livianas en la mina Cerro Lindo en el periodo 2019. Universidad Nacional Federico Villarreal.</w:t>
      </w:r>
    </w:p>
    <w:p>
      <w:pPr>
        <w:spacing w:after="120"/>
      </w:pPr>
      <w:r>
        <w:rPr>
          <w:b w:val="0"/>
          <w:i w:val="0"/>
          <w:sz w:val="20"/>
        </w:rPr>
        <w:t>Qué decirles: «El taller es el de Grupo Pana S.A. dentro de la unidad minera Cerro Lindo, del titular NEXA Resources Perú S.A.A. Los residuos y las actividades salen de esa tesis, donde el autor implementó el acondicionamiento del taller por código de colores. Ábranla y comparen.»</w:t>
      </w:r>
    </w:p>
    <w:p>
      <w:pPr>
        <w:spacing w:after="120"/>
      </w:pPr>
      <w:r>
        <w:rPr>
          <w:b w:val="0"/>
          <w:i w:val="0"/>
          <w:sz w:val="20"/>
        </w:rPr>
        <w:t>Los artículos del anexo 11 están transcritos del texto vigente y verificados; están recogidos en INSUMOS/Marco-legal-ambiental-verificado.md de este curso.</w:t>
      </w:r>
    </w:p>
    <w:p>
      <w:r>
        <w:rPr>
          <w:b/>
          <w:color w:val="1F3864"/>
          <w:sz w:val="24"/>
        </w:rPr>
        <w:t>DEPENDENCIAS: qué tienen que enseñar las sesiones del bloque</w:t>
      </w:r>
    </w:p>
    <w:p>
      <w:pPr>
        <w:spacing w:after="120"/>
      </w:pPr>
      <w:r>
        <w:rPr>
          <w:b/>
          <w:i w:val="0"/>
          <w:sz w:val="20"/>
        </w:rPr>
        <w:t>El anexo 11 se podó a propósito: solo lleva lo que no se puede tener de memoria —la cláusula «o su versión actualizada» del art. 36, el art. 48 c) y las dos tablas de colores—. Todo lo demás tiene que venir de las sesiones. Si estas tres cosas no entran como puntos clave, el trabajo evalúa lo que no se enseñó:</w:t>
      </w:r>
    </w:p>
    <w:p>
      <w:pPr>
        <w:pStyle w:val="ListBullet"/>
      </w:pPr>
      <w:r>
        <w:rPr>
          <w:b/>
          <w:sz w:val="20"/>
        </w:rPr>
        <w:t xml:space="preserve">S9 — </w:t>
      </w:r>
      <w:r>
        <w:rPr>
          <w:sz w:val="20"/>
        </w:rPr>
        <w:t>Las obligaciones del generador no municipal —registro interno, manifiesto, contratar EO-RS, declaración anual— y el plazo máximo de DOCE MESES de almacenamiento de residuos peligrosos. Sin esto, el criterio 2 no es evaluable y las 22 baterías no se detectan.</w:t>
      </w:r>
    </w:p>
    <w:p>
      <w:pPr>
        <w:pStyle w:val="ListBullet"/>
      </w:pPr>
      <w:r>
        <w:rPr>
          <w:b/>
          <w:sz w:val="20"/>
        </w:rPr>
        <w:t xml:space="preserve">S11 — </w:t>
      </w:r>
      <w:r>
        <w:rPr>
          <w:sz w:val="20"/>
        </w:rPr>
        <w:t>Que el Registro Autoritativo autoriza POR OPERACIÓN: una EO-RS inscrita solo para recolección y transporte no puede hacer disposición final. Es la trampa central del caso; sin este punto clave, el criterio 3 no es evaluable.</w:t>
      </w:r>
    </w:p>
    <w:p>
      <w:pPr>
        <w:pStyle w:val="ListBullet"/>
      </w:pPr>
      <w:r>
        <w:rPr>
          <w:b/>
          <w:sz w:val="20"/>
        </w:rPr>
        <w:t xml:space="preserve">S8 — </w:t>
      </w:r>
      <w:r>
        <w:rPr>
          <w:sz w:val="20"/>
        </w:rPr>
        <w:t>El código de colores de LOS DOS ÁMBITOS y la diferencia entre ellos, no solo el municipal. El taller es un generador NO municipal y le tocan los siete colores. Si la sesión solo enseña los cuatro del ámbito municipal, el alumno aplica el set equivocado y la queja es justa.</w:t>
      </w:r>
    </w:p>
    <w:p>
      <w:pPr>
        <w:spacing w:after="120"/>
      </w:pPr>
      <w:r>
        <w:rPr>
          <w:b w:val="0"/>
          <w:i w:val="0"/>
          <w:sz w:val="20"/>
        </w:rPr>
        <w:t>Nota de trazabilidad: el art. 88 del reglamento —el que dice que el Registro consigna las operaciones autorizadas— se QUITÓ del anexo a propósito. Estaba ahí y servía la trampa entera. Ahora el equipo tiene que darse cuenta mirando la constancia, que es lo que se hace en campo.</w:t>
      </w:r>
    </w:p>
    <w:p>
      <w:r>
        <w:rPr>
          <w:b/>
          <w:color w:val="1F3864"/>
          <w:sz w:val="24"/>
        </w:rPr>
        <w:t>Advertencia sobre la NTP</w:t>
      </w:r>
    </w:p>
    <w:p>
      <w:pPr>
        <w:spacing w:after="120"/>
      </w:pPr>
      <w:r>
        <w:rPr>
          <w:b/>
          <w:i w:val="0"/>
          <w:sz w:val="20"/>
        </w:rPr>
        <w:t>Los colores del anexo 11 están concordados entre la nota oficial de MINAM y fuentes secundarias coincidentes, pero NO contra el texto oficial de la NTP, que es una norma de pago de INACAL. Antes de aplicar este caso conviene comprar la NTP y confirmar las dos tablas. Lo que sí está verificado, y es lo que el caso evalúa, es que el art. 36 del D.L. 1278 nombra la edición 2005 con la cláusula «o su versión actualizada», y que la vigente es la de 2019.</w:t>
      </w:r>
    </w:p>
    <w:p>
      <w:r>
        <w:rPr>
          <w:b/>
          <w:color w:val="1F3864"/>
          <w:sz w:val="24"/>
        </w:rPr>
        <w:t>Advertencia de alcance</w:t>
      </w:r>
    </w:p>
    <w:p>
      <w:pPr>
        <w:spacing w:after="120"/>
      </w:pPr>
      <w:r>
        <w:rPr>
          <w:b w:val="0"/>
          <w:i w:val="0"/>
          <w:sz w:val="20"/>
        </w:rPr>
        <w:t>El techo del indicador es DESCRIBE. Si un equipo propone cambiar de operador o recomienda a la gerencia, no se le suma puntaje: no está en la rúbrica ni en el indicador. Tampoco se le penaliza.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