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2"/>
        </w:rPr>
        <w:t>TRABAJO COLABORATIVO 2</w:t>
      </w:r>
    </w:p>
    <w:tbl>
      <w:tblPr>
        <w:tblStyle w:val="TableGrid"/>
        <w:tblW w:type="auto" w:w="0"/>
        <w:jc w:val="center"/>
        <w:tblLook w:firstColumn="1" w:firstRow="1" w:lastColumn="0" w:lastRow="0" w:noHBand="0" w:noVBand="1" w:val="04A0"/>
      </w:tblPr>
      <w:tblGrid>
        <w:gridCol w:w="4986"/>
        <w:gridCol w:w="4986"/>
      </w:tblGrid>
      <w:tr>
        <w:tc>
          <w:tcPr>
            <w:tcW w:type="dxa" w:w="2494"/>
            <w:shd w:val="clear" w:fill="D9E2F3"/>
          </w:tcPr>
          <w:p>
            <w:pPr>
              <w:spacing w:after="120"/>
            </w:pPr>
            <w:r>
              <w:rPr>
                <w:b/>
                <w:color w:val="1F3864"/>
                <w:sz w:val="20"/>
              </w:rPr>
              <w:t>PROGRAMA DE ESTUDIOS</w:t>
            </w:r>
          </w:p>
        </w:tc>
        <w:tc>
          <w:tcPr>
            <w:tcW w:type="dxa" w:w="7143"/>
          </w:tcPr>
          <w:p>
            <w:pPr>
              <w:spacing w:after="120"/>
            </w:pPr>
            <w:r>
              <w:rPr>
                <w:b w:val="0"/>
                <w:sz w:val="20"/>
              </w:rPr>
              <w:t>Seguridad Industrial</w:t>
            </w:r>
          </w:p>
        </w:tc>
      </w:tr>
      <w:tr>
        <w:tc>
          <w:tcPr>
            <w:tcW w:type="dxa" w:w="2494"/>
            <w:shd w:val="clear" w:fill="D9E2F3"/>
          </w:tcPr>
          <w:p>
            <w:pPr>
              <w:spacing w:after="120"/>
            </w:pPr>
            <w:r>
              <w:rPr>
                <w:b/>
                <w:color w:val="1F3864"/>
                <w:sz w:val="20"/>
              </w:rPr>
              <w:t>UNIDAD DIDÁCTICA</w:t>
            </w:r>
          </w:p>
        </w:tc>
        <w:tc>
          <w:tcPr>
            <w:tcW w:type="dxa" w:w="7143"/>
          </w:tcPr>
          <w:p>
            <w:pPr>
              <w:spacing w:after="120"/>
            </w:pPr>
            <w:r>
              <w:rPr>
                <w:b w:val="0"/>
                <w:sz w:val="20"/>
              </w:rPr>
              <w:t>Sistema de gestión de calidad, seguridad, salud y medio ambiente</w:t>
            </w:r>
          </w:p>
        </w:tc>
      </w:tr>
      <w:tr>
        <w:tc>
          <w:tcPr>
            <w:tcW w:type="dxa" w:w="2494"/>
            <w:shd w:val="clear" w:fill="D9E2F3"/>
          </w:tcPr>
          <w:p>
            <w:pPr>
              <w:spacing w:after="120"/>
            </w:pPr>
            <w:r>
              <w:rPr>
                <w:b/>
                <w:color w:val="1F3864"/>
                <w:sz w:val="20"/>
              </w:rPr>
              <w:t>INDICADOR/ES DE LOGRO DE LA CAPACIDAD</w:t>
            </w:r>
          </w:p>
        </w:tc>
        <w:tc>
          <w:tcPr>
            <w:tcW w:type="dxa" w:w="7143"/>
          </w:tcPr>
          <w:p>
            <w:pPr>
              <w:spacing w:after="120"/>
            </w:pPr>
            <w:r>
              <w:rPr>
                <w:b w:val="0"/>
                <w:sz w:val="20"/>
              </w:rPr>
              <w:t>•  Describe el Sistema de Gestión de Seguridad y Salud en el Trabajo, considerando la normativa vigente ISO 45001 y la norma nacional vigente.</w:t>
            </w:r>
          </w:p>
          <w:p>
            <w:pPr>
              <w:spacing w:after="120"/>
            </w:pPr>
            <w:r>
              <w:rPr>
                <w:b w:val="0"/>
                <w:sz w:val="20"/>
              </w:rPr>
              <w:t>•  Describe el Sistema de Gestión Ambiental, considerando la normativa vigente ISO 14001.</w:t>
            </w:r>
          </w:p>
          <w:p>
            <w:pPr>
              <w:spacing w:after="120"/>
            </w:pPr>
            <w:r>
              <w:rPr>
                <w:b w:val="0"/>
                <w:sz w:val="20"/>
              </w:rPr>
              <w:t>•  Describe el proceso del Sistema Integrado de Gestión de Calidad, Seguridad y Salud en el Trabajo, y Medio Ambiente, considerando las normas ISO.</w:t>
            </w:r>
          </w:p>
        </w:tc>
      </w:tr>
      <w:tr>
        <w:tc>
          <w:tcPr>
            <w:tcW w:type="dxa" w:w="2494"/>
            <w:shd w:val="clear" w:fill="D9E2F3"/>
          </w:tcPr>
          <w:p>
            <w:pPr>
              <w:spacing w:after="120"/>
            </w:pPr>
            <w:r>
              <w:rPr>
                <w:b/>
                <w:color w:val="1F3864"/>
                <w:sz w:val="20"/>
              </w:rPr>
              <w:t>DESCRIPCIÓN DEL CASO 2</w:t>
            </w:r>
          </w:p>
        </w:tc>
        <w:tc>
          <w:tcPr>
            <w:tcW w:type="dxa" w:w="7143"/>
          </w:tcPr>
          <w:p>
            <w:pPr>
              <w:spacing w:after="160"/>
            </w:pPr>
            <w:r>
              <w:rPr>
                <w:b w:val="0"/>
                <w:sz w:val="20"/>
              </w:rPr>
              <w:t>Una contratista minera cierra su primer año con el sistema de gestión ya montado. El resultado de la evaluación del cliente subió, los accidentes registrados bajaron, y aun así el comité se niega a firmar el informe. El equipo compara los dos años, describe qué dice cada indicador y prepara la revisión por la dirección. Rosa Quispe cumplió un año en Servicios Mineros Huanza el lunes, y lo celebró con una carpeta nueva sobre el escritorio.</w:t>
            </w:r>
          </w:p>
          <w:p>
            <w:pPr>
              <w:spacing w:after="160"/>
            </w:pPr>
            <w:r>
              <w:rPr>
                <w:b w:val="0"/>
                <w:sz w:val="20"/>
              </w:rPr>
              <w:t>En doce meses la empresa hizo casi todo lo que faltaba. La política se firmó en marzo. El comité se constituyó en abril, esta vez con elección de los trabajadores. El reglamento interno se entregó con cargo a cada uno. El IPERC se levantó con los supervisores de cada frente y el mapa de riesgos lleva desde mayo colgado a la entrada del taller. Cuando la minera volvió a evaluarlos en noviembre, el resultado subió de 42 % a 78 %. El gerente mandó imprimir el cuadro y lo colgó en el pasillo.</w:t>
            </w:r>
          </w:p>
          <w:p>
            <w:pPr>
              <w:spacing w:after="160"/>
            </w:pPr>
            <w:r>
              <w:rPr>
                <w:b w:val="0"/>
                <w:sz w:val="20"/>
              </w:rPr>
              <w:t>El viernes, el superintendente de planta pidió el informe de cierre de año. Rosa se sentó a preparar los números. Los del año anterior estaban en una hoja de cálculo que llenó a mano el practicante de SSOMA, y nadie los había vuelto a mirar desde que se fue.</w:t>
            </w:r>
          </w:p>
          <w:p>
            <w:pPr>
              <w:spacing w:after="160"/>
            </w:pPr>
            <w:r>
              <w:rPr>
                <w:b w:val="0"/>
                <w:sz w:val="20"/>
              </w:rPr>
              <w:t>La planilla había crecido: de 78 trabajadores a 92. Los accidentes registrados bajaron de seis a cuatro. Pero los días de descanso médico pasaron de 42 a 118, y de esos, noventa eran de un solo hombre: un mecánico que el 14 de junio cayó desde una plataforma armada con tablones sobre dos caballetes, mientras desmontaba un motor. Rosa había llevado la investigación. En el acta quedó escrito que la tarea no figuraba en el IPERC porque no era rutinaria.</w:t>
            </w:r>
          </w:p>
          <w:p>
            <w:pPr>
              <w:spacing w:after="160"/>
            </w:pPr>
            <w:r>
              <w:rPr>
                <w:b w:val="0"/>
                <w:sz w:val="20"/>
              </w:rPr>
              <w:t>Los incidentes reportados durante el año fueron nueve. El año anterior, con catorce trabajadores menos, habían sido treinta y cuatro. Rosa lo anotó en su cuaderno y siguió con el programa anual: de doce capacitaciones se hicieron cinco; de cuatro simulacros, uno; la auditoría interna quedó pendiente; y las dos revisiones por la dirección no llegaron a agendarse. Las inspecciones sí se hicieron: veintiuna de veinticuatro. El comité se reunió once veces.</w:t>
            </w:r>
          </w:p>
          <w:p>
            <w:pPr>
              <w:spacing w:after="160"/>
            </w:pPr>
            <w:r>
              <w:rPr>
                <w:b w:val="0"/>
                <w:sz w:val="20"/>
              </w:rPr>
              <w:t>El 3 de setiembre se derramaron cuarenta litros de aceite hidráulico en el piso del taller. El fluido alcanzó el canal de drenaje pluvial antes de que nadie llegara con el material absorbente. Rosa fue a buscar la matriz de aspectos ambientales que habían levantado en junio: el manejo de aceite usado no aparecía en ninguna fila.</w:t>
            </w:r>
          </w:p>
          <w:p>
            <w:pPr>
              <w:spacing w:after="160"/>
            </w:pPr>
            <w:r>
              <w:rPr>
                <w:b w:val="0"/>
                <w:sz w:val="20"/>
              </w:rPr>
              <w:t>El lunes por la mañana el gerente entró a su oficina con el cuadro del pasillo en la mano. «Subimos de 42 a 78 y la frecuencia de accidentes bajó de 32 a 18. Vamos a presentar esto al cliente y a pedir la ampliación del contrato». El presidente del comité, que estaba en la puerta, no se movió de donde estaba. «Yo eso no lo firmo». El gerente se volvió hacia Rosa. «Prepara el informe de revisión por la dirección y dime quién tiene razón».</w:t>
            </w:r>
          </w:p>
        </w:tc>
      </w:tr>
      <w:tr>
        <w:tc>
          <w:tcPr>
            <w:tcW w:type="dxa" w:w="2494"/>
            <w:shd w:val="clear" w:fill="D9E2F3"/>
          </w:tcPr>
          <w:p>
            <w:pPr>
              <w:spacing w:after="120"/>
            </w:pPr>
            <w:r>
              <w:rPr>
                <w:b/>
                <w:color w:val="1F3864"/>
                <w:sz w:val="20"/>
              </w:rPr>
              <w:t>PREGUNTA GATILLADORA</w:t>
            </w:r>
          </w:p>
        </w:tc>
        <w:tc>
          <w:tcPr>
            <w:tcW w:type="dxa" w:w="7143"/>
          </w:tcPr>
          <w:p>
            <w:pPr>
              <w:spacing w:after="120"/>
            </w:pPr>
            <w:r>
              <w:rPr>
                <w:b w:val="0"/>
                <w:sz w:val="20"/>
              </w:rPr>
              <w:t>¿Quién tiene razón, y qué se le reporta al cliente?</w:t>
            </w:r>
          </w:p>
        </w:tc>
      </w:tr>
      <w:tr>
        <w:tc>
          <w:tcPr>
            <w:tcW w:type="dxa" w:w="2494"/>
            <w:shd w:val="clear" w:fill="D9E2F3"/>
          </w:tcPr>
          <w:p>
            <w:pPr>
              <w:spacing w:after="120"/>
            </w:pPr>
            <w:r>
              <w:rPr>
                <w:b/>
                <w:color w:val="1F3864"/>
                <w:sz w:val="20"/>
              </w:rPr>
              <w:t>PRODUCTO</w:t>
            </w:r>
          </w:p>
        </w:tc>
        <w:tc>
          <w:tcPr>
            <w:tcW w:type="dxa" w:w="7143"/>
          </w:tcPr>
          <w:p>
            <w:pPr>
              <w:spacing w:after="120"/>
            </w:pPr>
            <w:r>
              <w:rPr>
                <w:b w:val="0"/>
                <w:sz w:val="20"/>
              </w:rPr>
              <w:t>Informe de revisión por la dirección del sistema integrado, en tres piezas: (1) el cuadro comparado de los tres índices de los dos años, verificado contra el anexo de datos; (2) la relación de asuntos que la revisión debe cubrir, resuelta marcando cuáles evidencia el año y cuáles no —sobre una lista con distractores—; (3) las acciones correctivas propuestas y la respuesta al gerente. Se sustenta en 8 minutos, con roles.</w:t>
            </w:r>
          </w:p>
        </w:tc>
      </w:tr>
      <w:tr>
        <w:tc>
          <w:tcPr>
            <w:tcW w:type="dxa" w:w="2494"/>
            <w:shd w:val="clear" w:fill="D9E2F3"/>
          </w:tcPr>
          <w:p>
            <w:pPr>
              <w:spacing w:after="120"/>
            </w:pPr>
            <w:r>
              <w:rPr>
                <w:b/>
                <w:color w:val="1F3864"/>
                <w:sz w:val="20"/>
              </w:rPr>
              <w:t>ROLES</w:t>
            </w:r>
          </w:p>
        </w:tc>
        <w:tc>
          <w:tcPr>
            <w:tcW w:type="dxa" w:w="7143"/>
          </w:tcPr>
          <w:p>
            <w:pPr>
              <w:spacing w:after="120"/>
            </w:pPr>
            <w:r>
              <w:rPr>
                <w:b w:val="0"/>
                <w:sz w:val="20"/>
              </w:rPr>
              <w:t>Cuatro integrantes, un rol cada uno. ANALISTA DE INDICADORES: verifica los tres índices de los dos años y describe qué mide cada uno y en qué sentido varía. INVESTIGADOR DEL ACCIDENTE: describe qué exige el sistema al investigar, qué registro genera, a quién se notifica y qué falló en el planeamiento. RESPONSABLE AMBIENTAL: describe cómo se identifica un aspecto ambiental significativo y qué acción correctiva corresponde. VOCERO: ordena el informe, abre la sustentación y responde primero. Cada integrante responde ante el equipo por su parte.</w:t>
            </w:r>
          </w:p>
        </w:tc>
      </w:tr>
      <w:tr>
        <w:tc>
          <w:tcPr>
            <w:tcW w:type="dxa" w:w="2494"/>
            <w:shd w:val="clear" w:fill="D9E2F3"/>
          </w:tcPr>
          <w:p>
            <w:pPr>
              <w:spacing w:after="120"/>
            </w:pPr>
            <w:r>
              <w:rPr>
                <w:b/>
                <w:color w:val="1F3864"/>
                <w:sz w:val="20"/>
              </w:rPr>
              <w:t>TIEMPO</w:t>
            </w:r>
          </w:p>
        </w:tc>
        <w:tc>
          <w:tcPr>
            <w:tcW w:type="dxa" w:w="7143"/>
          </w:tcPr>
          <w:p>
            <w:pPr>
              <w:spacing w:after="120"/>
            </w:pPr>
            <w:r>
              <w:rPr>
                <w:b w:val="0"/>
                <w:sz w:val="20"/>
              </w:rPr>
              <w:t>2 horas de trabajo autónomo · equipos de 4 · sustentación de 8 minutos</w:t>
            </w:r>
          </w:p>
        </w:tc>
      </w:tr>
      <w:tr>
        <w:tc>
          <w:tcPr>
            <w:tcW w:type="dxa" w:w="2494"/>
            <w:shd w:val="clear" w:fill="D9E2F3"/>
          </w:tcPr>
          <w:p>
            <w:pPr>
              <w:spacing w:after="120"/>
            </w:pPr>
            <w:r>
              <w:rPr>
                <w:b/>
                <w:color w:val="1F3864"/>
                <w:sz w:val="20"/>
              </w:rPr>
              <w:t>RECURSOS</w:t>
            </w:r>
          </w:p>
        </w:tc>
        <w:tc>
          <w:tcPr>
            <w:tcW w:type="dxa" w:w="7143"/>
          </w:tcPr>
          <w:p>
            <w:pPr>
              <w:spacing w:after="120"/>
            </w:pPr>
            <w:r>
              <w:rPr>
                <w:b w:val="0"/>
                <w:sz w:val="20"/>
              </w:rPr>
              <w:t>•  Anexo de datos de la empresa: estadísticas de los dos años, cumplimiento del programa anual y resultado comparado del diagnóstico</w:t>
            </w:r>
          </w:p>
          <w:p>
            <w:pPr>
              <w:spacing w:after="120"/>
            </w:pPr>
            <w:r>
              <w:rPr>
                <w:b w:val="0"/>
                <w:sz w:val="20"/>
              </w:rPr>
              <w:t>•  relación de asuntos de la revisión por la dirección, con distractores, para marcar</w:t>
            </w:r>
          </w:p>
          <w:p>
            <w:pPr>
              <w:spacing w:after="120"/>
            </w:pPr>
            <w:r>
              <w:rPr>
                <w:b w:val="0"/>
                <w:sz w:val="20"/>
              </w:rPr>
              <w:t>•  Ley 29783 y su reglamento (extractos)</w:t>
            </w:r>
          </w:p>
          <w:p>
            <w:pPr>
              <w:spacing w:after="120"/>
            </w:pPr>
            <w:r>
              <w:rPr>
                <w:b w:val="0"/>
                <w:sz w:val="20"/>
              </w:rPr>
              <w:t>•  DS 024-2016-EM</w:t>
            </w:r>
          </w:p>
          <w:p>
            <w:pPr>
              <w:spacing w:after="120"/>
            </w:pPr>
            <w:r>
              <w:rPr>
                <w:b w:val="0"/>
                <w:sz w:val="20"/>
              </w:rPr>
              <w:t>•  RM 050-2013-TR</w:t>
            </w:r>
          </w:p>
          <w:p>
            <w:pPr>
              <w:spacing w:after="120"/>
            </w:pPr>
            <w:r>
              <w:rPr>
                <w:b w:val="0"/>
                <w:sz w:val="20"/>
              </w:rPr>
              <w:t>•  ISO 14001:2015 (extractos)</w:t>
            </w:r>
          </w:p>
        </w:tc>
      </w:tr>
    </w:tbl>
    <w:p/>
    <w:p>
      <w:r>
        <w:rPr>
          <w:b/>
          <w:color w:val="808080"/>
          <w:sz w:val="18"/>
        </w:rPr>
        <w:t>Nota para el instructor — no se entrega al estudiante</w:t>
      </w:r>
    </w:p>
    <w:p>
      <w:pPr>
        <w:spacing w:after="100"/>
        <w:ind w:left="283"/>
      </w:pPr>
      <w:r>
        <w:rPr>
          <w:color w:val="595959"/>
          <w:sz w:val="18"/>
        </w:rPr>
        <w:t>•  Destreza: DESCRIBIR, con la comparación como técnica. El equipo llega a describir el desempeño del sistema COMPARANDO los dos años; por eso el anexo trae los índices ya calculados: se verifican y se interpretan, no se diseñan.</w:t>
      </w:r>
    </w:p>
    <w:p>
      <w:pPr>
        <w:spacing w:after="100"/>
        <w:ind w:left="283"/>
      </w:pPr>
      <w:r>
        <w:rPr>
          <w:color w:val="595959"/>
          <w:sz w:val="18"/>
        </w:rPr>
        <w:t>•  ATENCIÓN — HAY UN ÍNDICE MAL CALCULADO EN EL ANEXO, Y ES A PROPÓSITO. La accidentabilidad del año 1 aparece como 17,13 cuando el valor correcto es 7,19: la hoja tomó la severidad de la columna del año 2 (32,05 × 534,42 / 1000 en vez de 32,05 × 224,36 / 1000). Con el número sembrado la tabla APARENTA que la accidentabilidad cayó 43 %; en realidad subió 35 %. Se caza con una sola multiplicación, usando dos cifras de la misma tabla y la fórmula que el anexo imprime al pie —por eso el pie va en negrita: sin él la trampa no sería justa—. El relato lo justifica sin delatarlo: la hoja del año anterior la llenó a mano un practicante que ya no está.</w:t>
      </w:r>
    </w:p>
    <w:p>
      <w:pPr>
        <w:spacing w:after="100"/>
        <w:ind w:left="283"/>
      </w:pPr>
      <w:r>
        <w:rPr>
          <w:color w:val="595959"/>
          <w:sz w:val="18"/>
        </w:rPr>
        <w:t>•  Para qué sirve el índice sembrado: sin él, «verificar» era copiar. El equipo que copia concluye que la accidentabilidad mejoró —lo contrario de lo cierto— y NO puede alcanzar el nivel 4 del criterio 1, que afirma que la severidad y la accidentabilidad suben. La rúbrica no se tocó: ya decía «Verifica los tres índices». Si algún equipo lo detecta y lo corrige, hay que reconocerlo en voz alta al cerrar.</w:t>
      </w:r>
    </w:p>
    <w:p>
      <w:pPr>
        <w:spacing w:after="100"/>
        <w:ind w:left="283"/>
      </w:pPr>
      <w:r>
        <w:rPr>
          <w:color w:val="595959"/>
          <w:sz w:val="18"/>
        </w:rPr>
        <w:t>•  El riesgo va como anécdota: el mecánico que cayó de la plataforma de tablones el 14 de junio, y los noventa días de descanso que se llevó él solo. No se rotula en ninguna parte.</w:t>
      </w:r>
    </w:p>
    <w:p>
      <w:pPr>
        <w:spacing w:after="100"/>
        <w:ind w:left="283"/>
      </w:pPr>
      <w:r>
        <w:rPr>
          <w:color w:val="595959"/>
          <w:sz w:val="18"/>
        </w:rPr>
        <w:t>•  La incertidumbre son tres datos que el relato deja pasar sin comentario: los accidentes bajan y los días perdidos casi se triplican · los incidentes reportados caen de 34 a 9 con catorce trabajadores MÁS · la evaluación sube a 78 % y la auditoría interna nunca se hizo.</w:t>
      </w:r>
    </w:p>
    <w:p>
      <w:pPr>
        <w:spacing w:after="100"/>
        <w:ind w:left="283"/>
      </w:pPr>
      <w:r>
        <w:rPr>
          <w:color w:val="595959"/>
          <w:sz w:val="18"/>
        </w:rPr>
        <w:t>•  La respuesta no se nombra: el relato no dice «subregistro», ni que el porcentaje mida documentación en vez de desempeño, ni que el ciclo no se cerró.</w:t>
      </w:r>
    </w:p>
    <w:p>
      <w:pPr>
        <w:spacing w:after="100"/>
        <w:ind w:left="283"/>
      </w:pPr>
      <w:r>
        <w:rPr>
          <w:color w:val="595959"/>
          <w:sz w:val="18"/>
        </w:rPr>
        <w:t>•  El colaborativo no lleva caso A y caso B: toda la clase trabaja el mismo caso, porque es la evaluación del bloque.</w:t>
      </w:r>
    </w:p>
    <w:p>
      <w:pPr>
        <w:spacing w:after="100"/>
        <w:ind w:left="283"/>
      </w:pPr>
      <w:r>
        <w:rPr>
          <w:color w:val="595959"/>
          <w:sz w:val="18"/>
        </w:rPr>
        <w:t>•  El nivel Excelente del criterio 1 es el que separa: distinguir el cambio en el DESEMPEÑO del cambio en el REGISTRO. Un equipo que lea solo la frecuencia llega a la conclusión contraria a la correcta.</w:t>
      </w:r>
    </w:p>
    <w:p>
      <w:pPr>
        <w:spacing w:after="100"/>
        <w:ind w:left="283"/>
      </w:pPr>
      <w:r>
        <w:rPr>
          <w:color w:val="595959"/>
          <w:sz w:val="18"/>
        </w:rPr>
        <w:t>•  La relación de asuntos (recurso 15) se llena MARCANDO: dieciséis asuntos, once corresponden a una revisión por la dirección y cinco son distractores. Con 18 minutos de presupuesto para esa pieza, escribirla no cabe.</w:t>
      </w:r>
    </w:p>
    <w:p>
      <w:pPr>
        <w:spacing w:after="100"/>
        <w:ind w:left="283"/>
      </w:pPr>
      <w:r>
        <w:rPr>
          <w:color w:val="595959"/>
          <w:sz w:val="18"/>
        </w:rPr>
        <w:t>•  CLAVE del recurso 15 — corresponden y el año los evidencia: 3 estadísticas (C1) · 6 programa anual (C2) · 9 consulta y participación (C2, comité 11 de 12) · 10 cumplimiento legal (C3). Corresponden y quedan en PARCIAL: 7 investigación del accidente (C4: se investigó, la acción sobre el IPERC no consta) · 13 simulacros (C2, 1 de 4). Corresponden y el año NO los evidencia: 1 revisiones anteriores (C2, 0 de 2) · 4 auditoría interna (C2, 0 de 1) · 12 aspectos ambientales (C4: el aceite usado no estaba identificado) · 15 recursos · 16 oportunidades de mejora — estos dos últimos no tienen dato porque son lo que la revisión debe producir. NO corresponden: 2 vacaciones · 5 proveedor de EPP · 8 organigrama · 11 sanciones · 14 contrato con el cliente.</w:t>
      </w:r>
    </w:p>
    <w:p>
      <w:pPr>
        <w:spacing w:after="100"/>
        <w:ind w:left="283"/>
      </w:pPr>
      <w:r>
        <w:rPr>
          <w:color w:val="595959"/>
          <w:sz w:val="18"/>
        </w:rPr>
        <w:t>•  Los cuatro incumplimientos por debajo del 50 % que pide el criterio 2 son exactamente cuatro en el anexo: capacitaciones 5/12, simulacros 1/4, auditoría interna 0/1 y revisión por la dirección 0/2. Inspecciones (21/24) y comité (11/12) quedan por encima. Si se toca el anexo, se rompe el criterio.</w:t>
      </w:r>
    </w:p>
    <w:p>
      <w:pPr>
        <w:spacing w:after="100"/>
        <w:ind w:left="283"/>
      </w:pPr>
      <w:r>
        <w:rPr>
          <w:color w:val="C00000"/>
          <w:sz w:val="18"/>
        </w:rPr>
        <w:t>•  PENDIENTE — el §12 exige anclar el caso en una tesis de repositorio peruano con índices reales de dos periodos, y revelarla al cerrar. Los datos de hoy son verosímiles pero construidos.</w:t>
      </w:r>
    </w:p>
    <w:p>
      <w:r>
        <w:rPr>
          <w:b/>
          <w:color w:val="595959"/>
          <w:sz w:val="18"/>
        </w:rPr>
        <w:t>Presupuesto de tiempo — 120 min · 4 estudiantes. Leer el relato y extraer los datos 15 · verificar los índices y contrastarlos 20 · qué dice la variación y por qué 20 · llenar el informe de revisión, marcando 18 · el hueco ambiental 12 · armar las láminas 25 · ensayar con roles 10.</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