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0"/>
        </w:rPr>
        <w:t xml:space="preserve">VERSIÓN 2 — VIGENTE DESDE EL 31/08/2026.  </w:t>
      </w:r>
      <w:r>
        <w:rPr>
          <w:sz w:val="18"/>
        </w:rPr>
        <w:t>Deriva de la triangulación v2. APROBADA POR WALTHER ALCOCER, director de la sede ABQ, a propuesta de Jorge Canchiz, instructor líder de Seguridad Industrial. Registros: OBS-SI-SGCSSMA-5 y -8. Pendiente único: aplicarle la plantilla institucional (membrete y portada).</w:t>
      </w:r>
    </w:p>
    <w:p>
      <w:pPr>
        <w:spacing w:after="120"/>
      </w:pPr>
    </w:p>
    <w:p>
      <w:pPr>
        <w:spacing w:after="40"/>
      </w:pPr>
      <w:r>
        <w:rPr>
          <w:b/>
          <w:i w:val="0"/>
          <w:color w:val="1F3864"/>
          <w:sz w:val="32"/>
        </w:rPr>
        <w:t>SISTEMA DE GESTIÓN DE CALIDAD, SEGURIDAD, SALUD Y MEDIO AMBIENTE</w:t>
      </w:r>
    </w:p>
    <w:p>
      <w:pPr>
        <w:spacing w:after="120"/>
      </w:pPr>
      <w:r>
        <w:rPr>
          <w:b/>
          <w:i w:val="0"/>
          <w:color w:val="1F3864"/>
          <w:sz w:val="24"/>
        </w:rPr>
        <w:t>SEGURIDAD INDUSTRIAL</w:t>
      </w:r>
    </w:p>
    <w:p>
      <w:pPr>
        <w:spacing w:after="160"/>
      </w:pPr>
      <w:r>
        <w:rPr>
          <w:b/>
          <w:i w:val="0"/>
          <w:color w:val="1F3864"/>
          <w:sz w:val="26"/>
        </w:rPr>
        <w:t>Información general</w:t>
      </w:r>
    </w:p>
    <w:tbl>
      <w:tblPr>
        <w:tblStyle w:val="TableGrid"/>
        <w:tblW w:type="auto" w:w="0"/>
        <w:jc w:val="center"/>
        <w:tblLook w:firstColumn="1" w:firstRow="1" w:lastColumn="0" w:lastRow="0" w:noHBand="0" w:noVBand="1" w:val="04A0"/>
      </w:tblPr>
      <w:tblGrid>
        <w:gridCol w:w="4873"/>
        <w:gridCol w:w="4873"/>
      </w:tblGrid>
      <w:tr>
        <w:tc>
          <w:tcPr>
            <w:tcW w:type="dxa" w:w="3118"/>
          </w:tcPr>
          <w:p>
            <w:pPr>
              <w:spacing w:after="40"/>
            </w:pPr>
            <w:r>
              <w:rPr>
                <w:b w:val="0"/>
                <w:sz w:val="20"/>
              </w:rPr>
              <w:t>Unidad didáctica:</w:t>
            </w:r>
          </w:p>
        </w:tc>
        <w:tc>
          <w:tcPr>
            <w:tcW w:type="dxa" w:w="6236"/>
          </w:tcPr>
          <w:p>
            <w:pPr>
              <w:spacing w:after="40"/>
            </w:pPr>
            <w:r>
              <w:rPr>
                <w:b w:val="0"/>
                <w:sz w:val="20"/>
              </w:rPr>
              <w:t>Sistema de gestión de calidad, seguridad, salud y medio ambiente</w:t>
            </w:r>
          </w:p>
        </w:tc>
      </w:tr>
      <w:tr>
        <w:tc>
          <w:tcPr>
            <w:tcW w:type="dxa" w:w="3118"/>
          </w:tcPr>
          <w:p>
            <w:pPr>
              <w:spacing w:after="40"/>
            </w:pPr>
            <w:r>
              <w:rPr>
                <w:b w:val="0"/>
                <w:sz w:val="20"/>
              </w:rPr>
              <w:t>Tipo de unidad didáctica:</w:t>
            </w:r>
          </w:p>
        </w:tc>
        <w:tc>
          <w:tcPr>
            <w:tcW w:type="dxa" w:w="6236"/>
          </w:tcPr>
          <w:p>
            <w:pPr>
              <w:spacing w:after="40"/>
            </w:pPr>
            <w:r>
              <w:rPr>
                <w:b w:val="0"/>
                <w:sz w:val="20"/>
              </w:rPr>
              <w:t>Teórico-Práctica (TP)</w:t>
            </w:r>
          </w:p>
        </w:tc>
      </w:tr>
      <w:tr>
        <w:tc>
          <w:tcPr>
            <w:tcW w:type="dxa" w:w="3118"/>
          </w:tcPr>
          <w:p>
            <w:pPr>
              <w:spacing w:after="40"/>
            </w:pPr>
            <w:r>
              <w:rPr>
                <w:b w:val="0"/>
                <w:sz w:val="20"/>
              </w:rPr>
              <w:t>Programa de estudios:</w:t>
            </w:r>
          </w:p>
        </w:tc>
        <w:tc>
          <w:tcPr>
            <w:tcW w:type="dxa" w:w="6236"/>
          </w:tcPr>
          <w:p>
            <w:pPr>
              <w:spacing w:after="40"/>
            </w:pPr>
            <w:r>
              <w:rPr>
                <w:b w:val="0"/>
                <w:sz w:val="20"/>
              </w:rPr>
              <w:t>Seguridad industrial</w:t>
            </w:r>
          </w:p>
        </w:tc>
      </w:tr>
      <w:tr>
        <w:tc>
          <w:tcPr>
            <w:tcW w:type="dxa" w:w="3118"/>
          </w:tcPr>
          <w:p>
            <w:pPr>
              <w:spacing w:after="40"/>
            </w:pPr>
            <w:r>
              <w:rPr>
                <w:b w:val="0"/>
                <w:sz w:val="20"/>
              </w:rPr>
              <w:t>Módulo formativo:</w:t>
            </w:r>
          </w:p>
        </w:tc>
        <w:tc>
          <w:tcPr>
            <w:tcW w:type="dxa" w:w="6236"/>
          </w:tcPr>
          <w:p>
            <w:pPr>
              <w:spacing w:after="40"/>
            </w:pPr>
            <w:r>
              <w:rPr>
                <w:b w:val="0"/>
                <w:sz w:val="20"/>
              </w:rPr>
              <w:t>Implementación de sistemas de seguridad, salud, medio ambiente y calidad</w:t>
            </w:r>
          </w:p>
        </w:tc>
      </w:tr>
      <w:tr>
        <w:tc>
          <w:tcPr>
            <w:tcW w:type="dxa" w:w="3118"/>
          </w:tcPr>
          <w:p>
            <w:pPr>
              <w:spacing w:after="40"/>
            </w:pPr>
            <w:r>
              <w:rPr>
                <w:b w:val="0"/>
                <w:sz w:val="20"/>
              </w:rPr>
              <w:t>Período - Modalidad:</w:t>
            </w:r>
          </w:p>
        </w:tc>
        <w:tc>
          <w:tcPr>
            <w:tcW w:type="dxa" w:w="6236"/>
          </w:tcPr>
          <w:p>
            <w:pPr>
              <w:spacing w:after="40"/>
            </w:pPr>
            <w:r>
              <w:rPr>
                <w:b w:val="0"/>
                <w:sz w:val="20"/>
              </w:rPr>
              <w:t>II - virtual</w:t>
            </w:r>
          </w:p>
        </w:tc>
      </w:tr>
      <w:tr>
        <w:tc>
          <w:tcPr>
            <w:tcW w:type="dxa" w:w="3118"/>
          </w:tcPr>
          <w:p>
            <w:pPr>
              <w:spacing w:after="40"/>
            </w:pPr>
            <w:r>
              <w:rPr>
                <w:b w:val="0"/>
                <w:sz w:val="20"/>
              </w:rPr>
              <w:t>Carga horaria:</w:t>
            </w:r>
          </w:p>
        </w:tc>
        <w:tc>
          <w:tcPr>
            <w:tcW w:type="dxa" w:w="6236"/>
          </w:tcPr>
          <w:p>
            <w:pPr>
              <w:spacing w:after="40"/>
            </w:pPr>
            <w:r>
              <w:rPr>
                <w:b w:val="0"/>
                <w:sz w:val="20"/>
              </w:rPr>
              <w:t>96 horas</w:t>
            </w:r>
          </w:p>
        </w:tc>
      </w:tr>
      <w:tr>
        <w:tc>
          <w:tcPr>
            <w:tcW w:type="dxa" w:w="3118"/>
          </w:tcPr>
          <w:p>
            <w:pPr>
              <w:spacing w:after="40"/>
            </w:pPr>
            <w:r>
              <w:rPr>
                <w:b w:val="0"/>
                <w:sz w:val="20"/>
              </w:rPr>
              <w:t>Créditos académicos:</w:t>
            </w:r>
          </w:p>
        </w:tc>
        <w:tc>
          <w:tcPr>
            <w:tcW w:type="dxa" w:w="6236"/>
          </w:tcPr>
          <w:p>
            <w:pPr>
              <w:spacing w:after="40"/>
            </w:pPr>
            <w:r>
              <w:rPr>
                <w:b w:val="0"/>
                <w:sz w:val="20"/>
              </w:rPr>
              <w:t>4</w:t>
            </w:r>
          </w:p>
        </w:tc>
      </w:tr>
      <w:tr>
        <w:tc>
          <w:tcPr>
            <w:tcW w:type="dxa" w:w="3118"/>
          </w:tcPr>
          <w:p>
            <w:pPr>
              <w:spacing w:after="40"/>
            </w:pPr>
            <w:r>
              <w:rPr>
                <w:b w:val="0"/>
                <w:sz w:val="20"/>
              </w:rPr>
              <w:t>Vigencia:</w:t>
            </w:r>
          </w:p>
        </w:tc>
        <w:tc>
          <w:tcPr>
            <w:tcW w:type="dxa" w:w="6236"/>
          </w:tcPr>
          <w:p>
            <w:pPr>
              <w:spacing w:after="40"/>
            </w:pPr>
            <w:r>
              <w:rPr>
                <w:b w:val="0"/>
                <w:sz w:val="20"/>
              </w:rPr>
              <w:t>Admisiones 2024 - 2028</w:t>
            </w:r>
          </w:p>
        </w:tc>
      </w:tr>
      <w:tr>
        <w:tc>
          <w:tcPr>
            <w:tcW w:type="dxa" w:w="3118"/>
          </w:tcPr>
          <w:p>
            <w:pPr>
              <w:spacing w:after="40"/>
            </w:pPr>
            <w:r>
              <w:rPr>
                <w:b w:val="0"/>
                <w:sz w:val="20"/>
              </w:rPr>
              <w:t>Instructor/a:</w:t>
            </w:r>
          </w:p>
        </w:tc>
        <w:tc>
          <w:tcPr>
            <w:tcW w:type="dxa" w:w="6236"/>
          </w:tcPr>
          <w:p>
            <w:pPr>
              <w:spacing w:after="40"/>
            </w:pPr>
            <w:r>
              <w:rPr>
                <w:b w:val="0"/>
                <w:sz w:val="20"/>
              </w:rPr>
            </w:r>
          </w:p>
        </w:tc>
      </w:tr>
    </w:tbl>
    <w:p>
      <w:pPr>
        <w:spacing w:after="160"/>
      </w:pPr>
      <w:r>
        <w:rPr>
          <w:b/>
          <w:i w:val="0"/>
          <w:color w:val="1F3864"/>
          <w:sz w:val="26"/>
        </w:rPr>
        <w:t>Propósito</w:t>
      </w:r>
    </w:p>
    <w:p>
      <w:pPr>
        <w:spacing w:after="120"/>
      </w:pPr>
      <w:r>
        <w:rPr>
          <w:b w:val="0"/>
          <w:i/>
          <w:sz w:val="20"/>
        </w:rPr>
        <w:t>Potenciamos tu talento para que las familias y empresas alcancen su propósito.</w:t>
      </w:r>
    </w:p>
    <w:p>
      <w:pPr>
        <w:spacing w:after="40"/>
      </w:pPr>
      <w:r>
        <w:rPr>
          <w:b/>
          <w:i w:val="0"/>
          <w:sz w:val="20"/>
        </w:rPr>
        <w:t>Misión</w:t>
      </w:r>
    </w:p>
    <w:p>
      <w:pPr>
        <w:spacing w:after="120"/>
      </w:pPr>
      <w:r>
        <w:rPr>
          <w:b w:val="0"/>
          <w:i w:val="0"/>
          <w:sz w:val="20"/>
        </w:rPr>
        <w:t>Formamos personas para mejorar su calidad de vida, y que aporten valor a la sociedad a través de una educación innovadora.</w:t>
      </w:r>
    </w:p>
    <w:p>
      <w:pPr>
        <w:spacing w:after="40"/>
      </w:pPr>
      <w:r>
        <w:rPr>
          <w:b/>
          <w:i w:val="0"/>
          <w:sz w:val="20"/>
        </w:rPr>
        <w:t>Visión</w:t>
      </w:r>
    </w:p>
    <w:p>
      <w:pPr>
        <w:spacing w:after="120"/>
      </w:pPr>
      <w:r>
        <w:rPr>
          <w:b w:val="0"/>
          <w:i w:val="0"/>
          <w:sz w:val="20"/>
        </w:rPr>
        <w:t>Ser protagonistas del progreso de la sociedad a través del aporte de talento especializado empleable.</w:t>
      </w:r>
    </w:p>
    <w:p>
      <w:pPr>
        <w:spacing w:after="160"/>
      </w:pPr>
      <w:r>
        <w:rPr>
          <w:b/>
          <w:i w:val="0"/>
          <w:color w:val="1F3864"/>
          <w:sz w:val="26"/>
        </w:rPr>
        <w:t>Descripción del curso</w:t>
      </w:r>
    </w:p>
    <w:p>
      <w:pPr>
        <w:spacing w:after="40"/>
      </w:pPr>
      <w:r>
        <w:rPr>
          <w:b/>
          <w:i w:val="0"/>
          <w:sz w:val="22"/>
        </w:rPr>
        <w:t>Sumilla</w:t>
      </w:r>
    </w:p>
    <w:p>
      <w:pPr>
        <w:spacing w:after="120"/>
      </w:pPr>
      <w:r>
        <w:rPr>
          <w:b w:val="0"/>
          <w:i w:val="0"/>
          <w:sz w:val="20"/>
        </w:rPr>
        <w:t>La unidad didáctica de Sistema de gestión de calidad, seguridad, salud y medio ambiente, del programa de estudios de Seguridad Industrial, de carácter teórico – práctico, está dirigida a los estudiantes del ciclo II y se desarrolla en la modalidad virtual. Busca desarrollar la competencia específica “Implementar sistemas de gestión de calidad, seguridad, salud y protección del medio ambiente, considerando la normativa correspondiente.” según el plan de estudio. El sistema de gestión de seguridad y salud en el trabajo se aborda desde la normativa nacional vigente —Ley 29783, su reglamento y la normativa sectorial minera—, por tratarse de una obligación legal del empleador; los sistemas de calidad y de gestión ambiental se abordan desde las normas ISO 9001 e ISO 14001.</w:t>
      </w:r>
    </w:p>
    <w:p>
      <w:pPr>
        <w:spacing w:after="40"/>
      </w:pPr>
      <w:r>
        <w:rPr>
          <w:b/>
          <w:i w:val="0"/>
          <w:sz w:val="22"/>
        </w:rPr>
        <w:t>Propósito y relevancia</w:t>
      </w:r>
    </w:p>
    <w:p>
      <w:pPr>
        <w:spacing w:after="120"/>
      </w:pPr>
      <w:r>
        <w:rPr>
          <w:b w:val="0"/>
          <w:i w:val="0"/>
          <w:sz w:val="20"/>
        </w:rPr>
        <w:t>El técnico en Seguridad Industrial deberá adquirir los conocimientos, habilidades y actitudes para poder realizar la prevención de los riesgos laborales de acuerdo con planes, procedimientos y normativas; por tal motivo, la unidad didáctica promueve el desarrollo de actividades como asistir en la implementación del Sistema Integrado de Gestión, basado en la Ley 29783 y su reglamento para la seguridad y salud en el trabajo, y en las normas ISO 9001 e ISO 14001 para la calidad y la gestión ambiental. En ese sentido, al finalizar la unidad didáctica el estudiante podrá explicar el proceso de implementación de los sistemas de gestión de calidad, seguridad, salud y protección del medio ambiente, considerando la normativa vigente ISO.</w:t>
      </w:r>
    </w:p>
    <w:p>
      <w:pPr>
        <w:spacing w:after="160"/>
      </w:pPr>
      <w:r>
        <w:rPr>
          <w:b/>
          <w:i w:val="0"/>
          <w:color w:val="1F3864"/>
          <w:sz w:val="26"/>
        </w:rPr>
        <w:t>Logros de aprendizaje</w:t>
      </w:r>
    </w:p>
    <w:tbl>
      <w:tblPr>
        <w:tblStyle w:val="TableGrid"/>
        <w:tblW w:type="auto" w:w="0"/>
        <w:tblLook w:firstColumn="1" w:firstRow="1" w:lastColumn="0" w:lastRow="0" w:noHBand="0" w:noVBand="1" w:val="04A0"/>
      </w:tblPr>
      <w:tblGrid>
        <w:gridCol w:w="3249"/>
        <w:gridCol w:w="3249"/>
        <w:gridCol w:w="3249"/>
      </w:tblGrid>
      <w:tr>
        <w:tc>
          <w:tcPr>
            <w:tcW w:type="dxa" w:w="2551"/>
            <w:shd w:val="clear" w:fill="1F3864"/>
          </w:tcPr>
          <w:p>
            <w:pPr>
              <w:spacing w:after="40"/>
            </w:pPr>
            <w:r>
              <w:rPr>
                <w:b/>
                <w:color w:val="FFFFFF"/>
                <w:sz w:val="18"/>
              </w:rPr>
              <w:t>Capacidad/es</w:t>
            </w:r>
          </w:p>
        </w:tc>
        <w:tc>
          <w:tcPr>
            <w:tcW w:type="dxa" w:w="3118"/>
            <w:shd w:val="clear" w:fill="1F3864"/>
          </w:tcPr>
          <w:p>
            <w:pPr>
              <w:spacing w:after="40"/>
            </w:pPr>
            <w:r>
              <w:rPr>
                <w:b/>
                <w:color w:val="FFFFFF"/>
                <w:sz w:val="18"/>
              </w:rPr>
              <w:t>Indicadores de logro de la capacidad</w:t>
            </w:r>
          </w:p>
        </w:tc>
        <w:tc>
          <w:tcPr>
            <w:tcW w:type="dxa" w:w="3685"/>
            <w:shd w:val="clear" w:fill="1F3864"/>
          </w:tcPr>
          <w:p>
            <w:pPr>
              <w:spacing w:after="40"/>
            </w:pPr>
            <w:r>
              <w:rPr>
                <w:b/>
                <w:color w:val="FFFFFF"/>
                <w:sz w:val="18"/>
              </w:rPr>
              <w:t>Contenidos de aprendizaje</w:t>
            </w:r>
          </w:p>
        </w:tc>
      </w:tr>
      <w:tr>
        <w:tc>
          <w:tcPr>
            <w:tcW w:type="dxa" w:w="2551"/>
            <w:vMerge w:val="restart"/>
          </w:tcPr>
          <w:p>
            <w:pPr>
              <w:spacing w:after="40"/>
            </w:pPr>
            <w:r>
              <w:rPr>
                <w:b w:val="0"/>
                <w:sz w:val="18"/>
              </w:rPr>
              <w:t>Explicar el proceso de implementación de los sistemas de gestión de calidad, seguridad, salud y protección del medio ambiente, considerando la normativa vigente ISO</w:t>
            </w:r>
          </w:p>
        </w:tc>
        <w:tc>
          <w:tcPr>
            <w:tcW w:type="dxa" w:w="3118"/>
          </w:tcPr>
          <w:p>
            <w:pPr>
              <w:spacing w:after="40"/>
            </w:pPr>
            <w:r>
              <w:rPr>
                <w:b w:val="0"/>
                <w:sz w:val="18"/>
              </w:rPr>
              <w:t>Describe el proceso del Sistema Integrado de Gestión de Calidad, Seguridad y Salud en el Trabajo, y Medio Ambiente, considerando las normas ISO.</w:t>
            </w:r>
          </w:p>
        </w:tc>
        <w:tc>
          <w:tcPr>
            <w:tcW w:type="dxa" w:w="3685"/>
          </w:tcPr>
          <w:p>
            <w:pPr>
              <w:spacing w:after="40"/>
            </w:pPr>
            <w:r>
              <w:rPr>
                <w:b/>
                <w:sz w:val="18"/>
              </w:rPr>
              <w:t>Introducción al Sistema Integrado de Gestión</w:t>
            </w:r>
          </w:p>
          <w:p>
            <w:pPr>
              <w:spacing w:after="40"/>
              <w:ind w:left="170"/>
            </w:pPr>
            <w:r>
              <w:rPr>
                <w:b w:val="0"/>
                <w:sz w:val="18"/>
              </w:rPr>
              <w:t>•  Generalidades del Sistema Integrado de Gestión.</w:t>
            </w:r>
          </w:p>
          <w:p>
            <w:pPr>
              <w:spacing w:after="40"/>
              <w:ind w:left="170"/>
            </w:pPr>
            <w:r>
              <w:rPr>
                <w:b w:val="0"/>
                <w:sz w:val="18"/>
              </w:rPr>
              <w:t>•  Estructura del Sistema Integrado de Gestión (SSOMAC).</w:t>
            </w:r>
          </w:p>
          <w:p>
            <w:pPr>
              <w:spacing w:after="40"/>
              <w:ind w:left="170"/>
            </w:pPr>
            <w:r>
              <w:rPr>
                <w:b w:val="0"/>
                <w:sz w:val="18"/>
              </w:rPr>
              <w:t>•  Modelo integrado de procesos.</w:t>
            </w:r>
          </w:p>
          <w:p>
            <w:pPr>
              <w:spacing w:after="40"/>
              <w:ind w:left="170"/>
            </w:pPr>
            <w:r>
              <w:rPr>
                <w:b w:val="0"/>
                <w:sz w:val="18"/>
              </w:rPr>
              <w:t>•  Elementos comunes a los tres sistemas: política, liderazgo, documentación y ciclo PHVA.</w:t>
            </w:r>
          </w:p>
          <w:p>
            <w:pPr>
              <w:spacing w:after="40"/>
            </w:pPr>
            <w:r>
              <w:rPr>
                <w:b/>
                <w:sz w:val="18"/>
              </w:rPr>
              <w:t>Documentación del Sistema Integrado de Gestión</w:t>
            </w:r>
          </w:p>
          <w:p>
            <w:pPr>
              <w:spacing w:after="40"/>
              <w:ind w:left="170"/>
            </w:pPr>
            <w:r>
              <w:rPr>
                <w:b w:val="0"/>
                <w:sz w:val="18"/>
              </w:rPr>
              <w:t>•  Mapa de procesos y diagramas de interrelación de procesos.</w:t>
            </w:r>
          </w:p>
          <w:p>
            <w:pPr>
              <w:spacing w:after="40"/>
              <w:ind w:left="170"/>
            </w:pPr>
            <w:r>
              <w:rPr>
                <w:b w:val="0"/>
                <w:sz w:val="18"/>
              </w:rPr>
              <w:t>•  Caracterización de procesos.</w:t>
            </w:r>
          </w:p>
          <w:p>
            <w:pPr>
              <w:spacing w:after="40"/>
              <w:ind w:left="170"/>
            </w:pPr>
            <w:r>
              <w:rPr>
                <w:b w:val="0"/>
                <w:sz w:val="18"/>
              </w:rPr>
              <w:t>•  Redacción de procedimientos.</w:t>
            </w:r>
          </w:p>
          <w:p>
            <w:pPr>
              <w:spacing w:after="40"/>
              <w:ind w:left="170"/>
            </w:pPr>
            <w:r>
              <w:rPr>
                <w:b w:val="0"/>
                <w:sz w:val="18"/>
              </w:rPr>
              <w:t>•  Instructivos de trabajo y protocolos de servicio.</w:t>
            </w:r>
          </w:p>
          <w:p>
            <w:pPr>
              <w:spacing w:after="40"/>
              <w:ind w:left="170"/>
            </w:pPr>
            <w:r>
              <w:rPr>
                <w:b w:val="0"/>
                <w:sz w:val="18"/>
              </w:rPr>
              <w:t>•  Manual integral.</w:t>
            </w:r>
          </w:p>
        </w:tc>
      </w:tr>
      <w:tr>
        <w:tc>
          <w:tcPr>
            <w:tcW w:type="dxa" w:w="2551"/>
            <w:vMerge/>
          </w:tcPr>
          <w:p/>
        </w:tc>
        <w:tc>
          <w:tcPr>
            <w:tcW w:type="dxa" w:w="3118"/>
          </w:tcPr>
          <w:p>
            <w:pPr>
              <w:spacing w:after="40"/>
            </w:pPr>
            <w:r>
              <w:rPr>
                <w:b w:val="0"/>
                <w:sz w:val="18"/>
              </w:rPr>
              <w:t>Describe el proceso de Gestión de Calidad, considerando la normativa vigente ISO 9001.</w:t>
            </w:r>
          </w:p>
        </w:tc>
        <w:tc>
          <w:tcPr>
            <w:tcW w:type="dxa" w:w="3685"/>
          </w:tcPr>
          <w:p>
            <w:pPr>
              <w:spacing w:after="40"/>
            </w:pPr>
            <w:r>
              <w:rPr>
                <w:b/>
                <w:sz w:val="18"/>
              </w:rPr>
              <w:t>Introducción a la ISO 9001 y su importancia en la Gestión de la Calidad</w:t>
            </w:r>
          </w:p>
          <w:p>
            <w:pPr>
              <w:spacing w:after="40"/>
              <w:ind w:left="170"/>
            </w:pPr>
            <w:r>
              <w:rPr>
                <w:b w:val="0"/>
                <w:sz w:val="18"/>
              </w:rPr>
              <w:t>•  Introducción a los Sistemas de Gestión de Calidad – ISO 9001.</w:t>
            </w:r>
          </w:p>
          <w:p>
            <w:pPr>
              <w:spacing w:after="40"/>
              <w:ind w:left="170"/>
            </w:pPr>
            <w:r>
              <w:rPr>
                <w:b w:val="0"/>
                <w:sz w:val="18"/>
              </w:rPr>
              <w:t>•  Importancia y beneficios de la certificación ISO 9001 en las organizaciones.</w:t>
            </w:r>
          </w:p>
          <w:p>
            <w:pPr>
              <w:spacing w:after="40"/>
              <w:ind w:left="170"/>
            </w:pPr>
            <w:r>
              <w:rPr>
                <w:b w:val="0"/>
                <w:sz w:val="18"/>
              </w:rPr>
              <w:t>•  Ciclo PHVA en la gestión de la calidad.</w:t>
            </w:r>
          </w:p>
          <w:p>
            <w:pPr>
              <w:spacing w:after="40"/>
              <w:ind w:left="170"/>
            </w:pPr>
            <w:r>
              <w:rPr>
                <w:b w:val="0"/>
                <w:sz w:val="18"/>
              </w:rPr>
              <w:t>•  Términos clave de la norma: cliente, partes interesadas, satisfacción del cliente.</w:t>
            </w:r>
          </w:p>
          <w:p>
            <w:pPr>
              <w:spacing w:after="40"/>
            </w:pPr>
            <w:r>
              <w:rPr>
                <w:b/>
                <w:sz w:val="18"/>
              </w:rPr>
              <w:t>Contexto, liderazgo y planificación del Sistema de Gestión de Calidad</w:t>
            </w:r>
          </w:p>
          <w:p>
            <w:pPr>
              <w:spacing w:after="40"/>
              <w:ind w:left="170"/>
            </w:pPr>
            <w:r>
              <w:rPr>
                <w:b w:val="0"/>
                <w:sz w:val="18"/>
              </w:rPr>
              <w:t>•  Identificación del contexto de la organización (interno y externo) y de las partes interesadas.</w:t>
            </w:r>
          </w:p>
          <w:p>
            <w:pPr>
              <w:spacing w:after="40"/>
              <w:ind w:left="170"/>
            </w:pPr>
            <w:r>
              <w:rPr>
                <w:b w:val="0"/>
                <w:sz w:val="18"/>
              </w:rPr>
              <w:t>•  Rol del liderazgo y elaboración de la política de calidad.</w:t>
            </w:r>
          </w:p>
          <w:p>
            <w:pPr>
              <w:spacing w:after="40"/>
              <w:ind w:left="170"/>
            </w:pPr>
            <w:r>
              <w:rPr>
                <w:b w:val="0"/>
                <w:sz w:val="18"/>
              </w:rPr>
              <w:t>•  Roles y responsabilidades en el Sistema de Gestión de Calidad.</w:t>
            </w:r>
          </w:p>
          <w:p>
            <w:pPr>
              <w:spacing w:after="40"/>
              <w:ind w:left="170"/>
            </w:pPr>
            <w:r>
              <w:rPr>
                <w:b w:val="0"/>
                <w:sz w:val="18"/>
              </w:rPr>
              <w:t>•  Riesgos, oportunidades y objetivos de calidad.</w:t>
            </w:r>
          </w:p>
          <w:p>
            <w:pPr>
              <w:spacing w:after="40"/>
              <w:ind w:left="170"/>
            </w:pPr>
            <w:r>
              <w:rPr>
                <w:b w:val="0"/>
                <w:sz w:val="18"/>
              </w:rPr>
              <w:t>•  Recursos e información documentada del Sistema de Gestión de Calidad.</w:t>
            </w:r>
          </w:p>
        </w:tc>
      </w:tr>
      <w:tr>
        <w:tc>
          <w:tcPr>
            <w:tcW w:type="dxa" w:w="2551"/>
            <w:vMerge/>
          </w:tcPr>
          <w:p/>
        </w:tc>
        <w:tc>
          <w:tcPr>
            <w:tcW w:type="dxa" w:w="3118"/>
          </w:tcPr>
          <w:p>
            <w:pPr>
              <w:spacing w:after="40"/>
            </w:pPr>
            <w:r>
              <w:rPr>
                <w:b w:val="0"/>
                <w:sz w:val="18"/>
              </w:rPr>
              <w:t>Describe el Sistema de Gestión de Seguridad y Salud en el Trabajo, considerando la normativa vigente ISO 45001 y la norma nacional vigente.</w:t>
            </w:r>
          </w:p>
        </w:tc>
        <w:tc>
          <w:tcPr>
            <w:tcW w:type="dxa" w:w="3685"/>
          </w:tcPr>
          <w:p>
            <w:pPr>
              <w:spacing w:after="40"/>
            </w:pPr>
            <w:r>
              <w:rPr>
                <w:b/>
                <w:sz w:val="18"/>
              </w:rPr>
              <w:t>Marco legal del Sistema de Gestión de Seguridad y Salud en el Trabajo</w:t>
            </w:r>
          </w:p>
          <w:p>
            <w:pPr>
              <w:spacing w:after="40"/>
              <w:ind w:left="170"/>
            </w:pPr>
            <w:r>
              <w:rPr>
                <w:b w:val="0"/>
                <w:sz w:val="18"/>
              </w:rPr>
              <w:t>•  Ley 29783, Ley de Seguridad y Salud en el Trabajo, y su reglamento DS 005-2012-TR.</w:t>
            </w:r>
          </w:p>
          <w:p>
            <w:pPr>
              <w:spacing w:after="40"/>
              <w:ind w:left="170"/>
            </w:pPr>
            <w:r>
              <w:rPr>
                <w:b w:val="0"/>
                <w:sz w:val="18"/>
              </w:rPr>
              <w:t>•  DS 024-2016-EM: obligaciones del empleador en el sector minero.</w:t>
            </w:r>
          </w:p>
          <w:p>
            <w:pPr>
              <w:spacing w:after="40"/>
              <w:ind w:left="170"/>
            </w:pPr>
            <w:r>
              <w:rPr>
                <w:b w:val="0"/>
                <w:sz w:val="18"/>
              </w:rPr>
              <w:t>•  Principios del sistema: prevención, responsabilidad, cooperación, participación y primacía de la realidad.</w:t>
            </w:r>
          </w:p>
          <w:p>
            <w:pPr>
              <w:spacing w:after="40"/>
              <w:ind w:left="170"/>
            </w:pPr>
            <w:r>
              <w:rPr>
                <w:b w:val="0"/>
                <w:sz w:val="18"/>
              </w:rPr>
              <w:t>•  Obligación legal frente a certificación voluntaria: diferencia con la ISO 45001.</w:t>
            </w:r>
          </w:p>
          <w:p>
            <w:pPr>
              <w:spacing w:after="40"/>
            </w:pPr>
            <w:r>
              <w:rPr>
                <w:b/>
                <w:sz w:val="18"/>
              </w:rPr>
              <w:t>Diagnóstico de línea base y política de seguridad y salud en el trabajo</w:t>
            </w:r>
          </w:p>
          <w:p>
            <w:pPr>
              <w:spacing w:after="40"/>
              <w:ind w:left="170"/>
            </w:pPr>
            <w:r>
              <w:rPr>
                <w:b w:val="0"/>
                <w:sz w:val="18"/>
              </w:rPr>
              <w:t>•  Estudio de línea base del sistema de gestión: finalidad y oportunidad.</w:t>
            </w:r>
          </w:p>
          <w:p>
            <w:pPr>
              <w:spacing w:after="40"/>
              <w:ind w:left="170"/>
            </w:pPr>
            <w:r>
              <w:rPr>
                <w:b w:val="0"/>
                <w:sz w:val="18"/>
              </w:rPr>
              <w:t>•  Lista de verificación de lineamientos del SGSST (RM 050-2013-TR): los ocho lineamientos.</w:t>
            </w:r>
          </w:p>
          <w:p>
            <w:pPr>
              <w:spacing w:after="40"/>
              <w:ind w:left="170"/>
            </w:pPr>
            <w:r>
              <w:rPr>
                <w:b w:val="0"/>
                <w:sz w:val="18"/>
              </w:rPr>
              <w:t>•  Política de seguridad y salud en el trabajo: contenido, aprobación y difusión.</w:t>
            </w:r>
          </w:p>
          <w:p>
            <w:pPr>
              <w:spacing w:after="40"/>
              <w:ind w:left="170"/>
            </w:pPr>
            <w:r>
              <w:rPr>
                <w:b w:val="0"/>
                <w:sz w:val="18"/>
              </w:rPr>
              <w:t>•  Definición y comunicación de responsabilidades de SST en todos los niveles.</w:t>
            </w:r>
          </w:p>
          <w:p>
            <w:pPr>
              <w:spacing w:after="40"/>
            </w:pPr>
            <w:r>
              <w:rPr>
                <w:b/>
                <w:sz w:val="18"/>
              </w:rPr>
              <w:t>Organización del sistema de gestión</w:t>
            </w:r>
          </w:p>
          <w:p>
            <w:pPr>
              <w:spacing w:after="40"/>
              <w:ind w:left="170"/>
            </w:pPr>
            <w:r>
              <w:rPr>
                <w:b w:val="0"/>
                <w:sz w:val="18"/>
              </w:rPr>
              <w:t>•  Comité de Seguridad y Salud en el Trabajo y supervisor: cuándo corresponde cada uno.</w:t>
            </w:r>
          </w:p>
          <w:p>
            <w:pPr>
              <w:spacing w:after="40"/>
              <w:ind w:left="170"/>
            </w:pPr>
            <w:r>
              <w:rPr>
                <w:b w:val="0"/>
                <w:sz w:val="18"/>
              </w:rPr>
              <w:t>•  Constitución paritaria, funciones y libro de actas del comité.</w:t>
            </w:r>
          </w:p>
          <w:p>
            <w:pPr>
              <w:spacing w:after="40"/>
              <w:ind w:left="170"/>
            </w:pPr>
            <w:r>
              <w:rPr>
                <w:b w:val="0"/>
                <w:sz w:val="18"/>
              </w:rPr>
              <w:t>•  Reglamento Interno de Seguridad y Salud en el Trabajo (RISST).</w:t>
            </w:r>
          </w:p>
          <w:p>
            <w:pPr>
              <w:spacing w:after="40"/>
              <w:ind w:left="170"/>
            </w:pPr>
            <w:r>
              <w:rPr>
                <w:b w:val="0"/>
                <w:sz w:val="18"/>
              </w:rPr>
              <w:t>•  Participación y consulta de los trabajadores.</w:t>
            </w:r>
          </w:p>
          <w:p>
            <w:pPr>
              <w:spacing w:after="40"/>
            </w:pPr>
            <w:r>
              <w:rPr>
                <w:b/>
                <w:sz w:val="18"/>
              </w:rPr>
              <w:t>Planeamiento del sistema de gestión</w:t>
            </w:r>
          </w:p>
          <w:p>
            <w:pPr>
              <w:spacing w:after="40"/>
              <w:ind w:left="170"/>
            </w:pPr>
            <w:r>
              <w:rPr>
                <w:b w:val="0"/>
                <w:sz w:val="18"/>
              </w:rPr>
              <w:t>•  Identificación de peligros y evaluación de riesgos: exigencia del sistema y participación de los trabajadores.</w:t>
            </w:r>
          </w:p>
          <w:p>
            <w:pPr>
              <w:spacing w:after="40"/>
              <w:ind w:left="170"/>
            </w:pPr>
            <w:r>
              <w:rPr>
                <w:b w:val="0"/>
                <w:sz w:val="18"/>
              </w:rPr>
              <w:t>•  Mapa de riesgos: elaboración, exhibición y actualización.</w:t>
            </w:r>
          </w:p>
          <w:p>
            <w:pPr>
              <w:spacing w:after="40"/>
              <w:ind w:left="170"/>
            </w:pPr>
            <w:r>
              <w:rPr>
                <w:b w:val="0"/>
                <w:sz w:val="18"/>
              </w:rPr>
              <w:t>•  Jerarquía de controles.</w:t>
            </w:r>
          </w:p>
          <w:p>
            <w:pPr>
              <w:spacing w:after="40"/>
              <w:ind w:left="170"/>
            </w:pPr>
            <w:r>
              <w:rPr>
                <w:b w:val="0"/>
                <w:sz w:val="18"/>
              </w:rPr>
              <w:t>•  Objetivos de seguridad y salud en el trabajo medibles.</w:t>
            </w:r>
          </w:p>
          <w:p>
            <w:pPr>
              <w:spacing w:after="40"/>
              <w:ind w:left="170"/>
            </w:pPr>
            <w:r>
              <w:rPr>
                <w:b w:val="0"/>
                <w:sz w:val="18"/>
              </w:rPr>
              <w:t>•  Plan y Programa Anual de SST: actividades, responsables, cronograma y presupuesto.</w:t>
            </w:r>
          </w:p>
          <w:p>
            <w:pPr>
              <w:spacing w:after="40"/>
            </w:pPr>
            <w:r>
              <w:rPr>
                <w:b/>
                <w:sz w:val="18"/>
              </w:rPr>
              <w:t>Implementación y operación</w:t>
            </w:r>
          </w:p>
          <w:p>
            <w:pPr>
              <w:spacing w:after="40"/>
              <w:ind w:left="170"/>
            </w:pPr>
            <w:r>
              <w:rPr>
                <w:b w:val="0"/>
                <w:sz w:val="18"/>
              </w:rPr>
              <w:t>•  Programa anual de capacitaciones: inducción, capacitación, entrenamiento y simulacros.</w:t>
            </w:r>
          </w:p>
          <w:p>
            <w:pPr>
              <w:spacing w:after="40"/>
              <w:ind w:left="170"/>
            </w:pPr>
            <w:r>
              <w:rPr>
                <w:b w:val="0"/>
                <w:sz w:val="18"/>
              </w:rPr>
              <w:t>•  Frecuencia legal de las capacitaciones y su registro.</w:t>
            </w:r>
          </w:p>
          <w:p>
            <w:pPr>
              <w:spacing w:after="40"/>
              <w:ind w:left="170"/>
            </w:pPr>
            <w:r>
              <w:rPr>
                <w:b w:val="0"/>
                <w:sz w:val="18"/>
              </w:rPr>
              <w:t>•  Entrega de equipos de protección personal y medidas de prevención.</w:t>
            </w:r>
          </w:p>
          <w:p>
            <w:pPr>
              <w:spacing w:after="40"/>
              <w:ind w:left="170"/>
            </w:pPr>
            <w:r>
              <w:rPr>
                <w:b w:val="0"/>
                <w:sz w:val="18"/>
              </w:rPr>
              <w:t>•  Preparación y respuesta ante emergencias.</w:t>
            </w:r>
          </w:p>
          <w:p>
            <w:pPr>
              <w:spacing w:after="40"/>
            </w:pPr>
            <w:r>
              <w:rPr>
                <w:b/>
                <w:sz w:val="18"/>
              </w:rPr>
              <w:t>Registros del sistema e investigación de accidentes</w:t>
            </w:r>
          </w:p>
          <w:p>
            <w:pPr>
              <w:spacing w:after="40"/>
              <w:ind w:left="170"/>
            </w:pPr>
            <w:r>
              <w:rPr>
                <w:b w:val="0"/>
                <w:sz w:val="18"/>
              </w:rPr>
              <w:t>•  Registros obligatorios del SGSST y sus formatos referenciales (RM 050-2013-TR).</w:t>
            </w:r>
          </w:p>
          <w:p>
            <w:pPr>
              <w:spacing w:after="40"/>
              <w:ind w:left="170"/>
            </w:pPr>
            <w:r>
              <w:rPr>
                <w:b w:val="0"/>
                <w:sz w:val="18"/>
              </w:rPr>
              <w:t>•  Plazos de conservación de los registros y acceso de los trabajadores.</w:t>
            </w:r>
          </w:p>
          <w:p>
            <w:pPr>
              <w:spacing w:after="40"/>
              <w:ind w:left="170"/>
            </w:pPr>
            <w:r>
              <w:rPr>
                <w:b w:val="0"/>
                <w:sz w:val="18"/>
              </w:rPr>
              <w:t>•  Accidente de trabajo, incidente e incidente peligroso: definiciones y diferencias.</w:t>
            </w:r>
          </w:p>
          <w:p>
            <w:pPr>
              <w:spacing w:after="40"/>
              <w:ind w:left="170"/>
            </w:pPr>
            <w:r>
              <w:rPr>
                <w:b w:val="0"/>
                <w:sz w:val="18"/>
              </w:rPr>
              <w:t>•  Investigación de accidentes e incidentes y notificación a la autoridad.</w:t>
            </w:r>
          </w:p>
          <w:p>
            <w:pPr>
              <w:spacing w:after="40"/>
            </w:pPr>
            <w:r>
              <w:rPr>
                <w:b/>
                <w:sz w:val="18"/>
              </w:rPr>
              <w:t>Verificación y evaluación del desempeño</w:t>
            </w:r>
          </w:p>
          <w:p>
            <w:pPr>
              <w:spacing w:after="40"/>
              <w:ind w:left="170"/>
            </w:pPr>
            <w:r>
              <w:rPr>
                <w:b w:val="0"/>
                <w:sz w:val="18"/>
              </w:rPr>
              <w:t>•  Estadísticas de SST: índices de frecuencia, severidad y accidentabilidad.</w:t>
            </w:r>
          </w:p>
          <w:p>
            <w:pPr>
              <w:spacing w:after="40"/>
              <w:ind w:left="170"/>
            </w:pPr>
            <w:r>
              <w:rPr>
                <w:b w:val="0"/>
                <w:sz w:val="18"/>
              </w:rPr>
              <w:t>•  Inspecciones internas de seguridad y salud en el trabajo.</w:t>
            </w:r>
          </w:p>
          <w:p>
            <w:pPr>
              <w:spacing w:after="40"/>
              <w:ind w:left="170"/>
            </w:pPr>
            <w:r>
              <w:rPr>
                <w:b w:val="0"/>
                <w:sz w:val="18"/>
              </w:rPr>
              <w:t>•  Auditorías del sistema de gestión.</w:t>
            </w:r>
          </w:p>
          <w:p>
            <w:pPr>
              <w:spacing w:after="40"/>
              <w:ind w:left="170"/>
            </w:pPr>
            <w:r>
              <w:rPr>
                <w:b w:val="0"/>
                <w:sz w:val="18"/>
              </w:rPr>
              <w:t>•  Evaluación del cumplimiento normativo.</w:t>
            </w:r>
          </w:p>
          <w:p>
            <w:pPr>
              <w:spacing w:after="40"/>
            </w:pPr>
            <w:r>
              <w:rPr>
                <w:b/>
                <w:sz w:val="18"/>
              </w:rPr>
              <w:t>Revisión por la dirección y mejora continua</w:t>
            </w:r>
          </w:p>
          <w:p>
            <w:pPr>
              <w:spacing w:after="40"/>
              <w:ind w:left="170"/>
            </w:pPr>
            <w:r>
              <w:rPr>
                <w:b w:val="0"/>
                <w:sz w:val="18"/>
              </w:rPr>
              <w:t>•  Revisión del sistema de gestión por la alta dirección.</w:t>
            </w:r>
          </w:p>
          <w:p>
            <w:pPr>
              <w:spacing w:after="40"/>
              <w:ind w:left="170"/>
            </w:pPr>
            <w:r>
              <w:rPr>
                <w:b w:val="0"/>
                <w:sz w:val="18"/>
              </w:rPr>
              <w:t>•  Acciones correctivas y preventivas.</w:t>
            </w:r>
          </w:p>
          <w:p>
            <w:pPr>
              <w:spacing w:after="40"/>
              <w:ind w:left="170"/>
            </w:pPr>
            <w:r>
              <w:rPr>
                <w:b w:val="0"/>
                <w:sz w:val="18"/>
              </w:rPr>
              <w:t>•  Mejora continua del sistema de gestión de seguridad y salud en el trabajo.</w:t>
            </w:r>
          </w:p>
        </w:tc>
      </w:tr>
      <w:tr>
        <w:tc>
          <w:tcPr>
            <w:tcW w:type="dxa" w:w="2551"/>
            <w:vMerge/>
          </w:tcPr>
          <w:p/>
        </w:tc>
        <w:tc>
          <w:tcPr>
            <w:tcW w:type="dxa" w:w="3118"/>
          </w:tcPr>
          <w:p>
            <w:pPr>
              <w:spacing w:after="40"/>
            </w:pPr>
            <w:r>
              <w:rPr>
                <w:b w:val="0"/>
                <w:sz w:val="18"/>
              </w:rPr>
              <w:t>Describe el Sistema de Gestión Ambiental, considerando la normativa vigente ISO 14001.</w:t>
            </w:r>
          </w:p>
        </w:tc>
        <w:tc>
          <w:tcPr>
            <w:tcW w:type="dxa" w:w="3685"/>
          </w:tcPr>
          <w:p>
            <w:pPr>
              <w:spacing w:after="40"/>
            </w:pPr>
            <w:r>
              <w:rPr>
                <w:b/>
                <w:sz w:val="18"/>
              </w:rPr>
              <w:t>Introducción a la ISO 14001 y la Gestión Ambiental</w:t>
            </w:r>
          </w:p>
          <w:p>
            <w:pPr>
              <w:spacing w:after="40"/>
              <w:ind w:left="170"/>
            </w:pPr>
            <w:r>
              <w:rPr>
                <w:b w:val="0"/>
                <w:sz w:val="18"/>
              </w:rPr>
              <w:t>•  Introducción a la norma ISO 14001:2015 y principios básicos de la gestión ambiental.</w:t>
            </w:r>
          </w:p>
          <w:p>
            <w:pPr>
              <w:spacing w:after="40"/>
              <w:ind w:left="170"/>
            </w:pPr>
            <w:r>
              <w:rPr>
                <w:b w:val="0"/>
                <w:sz w:val="18"/>
              </w:rPr>
              <w:t>•  Importancia de la implementación del sistema de gestión ambiental.</w:t>
            </w:r>
          </w:p>
          <w:p>
            <w:pPr>
              <w:spacing w:after="40"/>
              <w:ind w:left="170"/>
            </w:pPr>
            <w:r>
              <w:rPr>
                <w:b w:val="0"/>
                <w:sz w:val="18"/>
              </w:rPr>
              <w:t>•  Contexto de la organización y partes interesadas en la gestión ambiental.</w:t>
            </w:r>
          </w:p>
          <w:p>
            <w:pPr>
              <w:spacing w:after="40"/>
            </w:pPr>
            <w:r>
              <w:rPr>
                <w:b/>
                <w:sz w:val="18"/>
              </w:rPr>
              <w:t>Planificación y evaluación de aspectos ambientales</w:t>
            </w:r>
          </w:p>
          <w:p>
            <w:pPr>
              <w:spacing w:after="40"/>
              <w:ind w:left="170"/>
            </w:pPr>
            <w:r>
              <w:rPr>
                <w:b w:val="0"/>
                <w:sz w:val="18"/>
              </w:rPr>
              <w:t>•  Identificación de aspectos ambientales significativos en la organización.</w:t>
            </w:r>
          </w:p>
          <w:p>
            <w:pPr>
              <w:spacing w:after="40"/>
              <w:ind w:left="170"/>
            </w:pPr>
            <w:r>
              <w:rPr>
                <w:b w:val="0"/>
                <w:sz w:val="18"/>
              </w:rPr>
              <w:t>•  Evaluación de los impactos ambientales y su relación con el ciclo de vida de los productos.</w:t>
            </w:r>
          </w:p>
          <w:p>
            <w:pPr>
              <w:spacing w:after="40"/>
              <w:ind w:left="170"/>
            </w:pPr>
            <w:r>
              <w:rPr>
                <w:b w:val="0"/>
                <w:sz w:val="18"/>
              </w:rPr>
              <w:t>•  Establecimiento de objetivos y metas ambientales.</w:t>
            </w:r>
          </w:p>
          <w:p>
            <w:pPr>
              <w:spacing w:after="40"/>
              <w:ind w:left="170"/>
            </w:pPr>
            <w:r>
              <w:rPr>
                <w:b w:val="0"/>
                <w:sz w:val="18"/>
              </w:rPr>
              <w:t>•  Planificación de acciones correctivas para mitigar los impactos.</w:t>
            </w:r>
          </w:p>
          <w:p>
            <w:pPr>
              <w:spacing w:after="40"/>
            </w:pPr>
            <w:r>
              <w:rPr>
                <w:b/>
                <w:sz w:val="18"/>
              </w:rPr>
              <w:t>Control operacional y mejora continua en la gestión ambiental</w:t>
            </w:r>
          </w:p>
          <w:p>
            <w:pPr>
              <w:spacing w:after="40"/>
              <w:ind w:left="170"/>
            </w:pPr>
            <w:r>
              <w:rPr>
                <w:b w:val="0"/>
                <w:sz w:val="18"/>
              </w:rPr>
              <w:t>•  Control operacional en el sistema de gestión ambiental.</w:t>
            </w:r>
          </w:p>
          <w:p>
            <w:pPr>
              <w:spacing w:after="40"/>
              <w:ind w:left="170"/>
            </w:pPr>
            <w:r>
              <w:rPr>
                <w:b w:val="0"/>
                <w:sz w:val="18"/>
              </w:rPr>
              <w:t>•  Monitoreo de indicadores de desempeño ambiental.</w:t>
            </w:r>
          </w:p>
          <w:p>
            <w:pPr>
              <w:spacing w:after="40"/>
              <w:ind w:left="170"/>
            </w:pPr>
            <w:r>
              <w:rPr>
                <w:b w:val="0"/>
                <w:sz w:val="18"/>
              </w:rPr>
              <w:t>•  Acciones correctivas y mejora continua en la gestión ambiental.</w:t>
            </w:r>
          </w:p>
          <w:p>
            <w:pPr>
              <w:spacing w:after="40"/>
              <w:ind w:left="170"/>
            </w:pPr>
            <w:r>
              <w:rPr>
                <w:b w:val="0"/>
                <w:sz w:val="18"/>
              </w:rPr>
              <w:t>•  Integración de la gestión ambiental en los procesos de la organización.</w:t>
            </w:r>
          </w:p>
        </w:tc>
      </w:tr>
    </w:tbl>
    <w:p>
      <w:pPr>
        <w:spacing w:after="160"/>
      </w:pPr>
      <w:r>
        <w:rPr>
          <w:b/>
          <w:i w:val="0"/>
          <w:color w:val="1F3864"/>
          <w:sz w:val="26"/>
        </w:rPr>
        <w:t>Sistema de evaluación</w:t>
      </w:r>
    </w:p>
    <w:p>
      <w:pPr>
        <w:spacing w:after="120"/>
      </w:pPr>
      <w:r>
        <w:rPr>
          <w:b w:val="0"/>
          <w:i w:val="0"/>
          <w:sz w:val="20"/>
        </w:rPr>
        <w:t>La evaluación forma parte del proceso de enseñanza-aprendizaje y contribuye a mejorar el desempeño de los/as estudiantes. En este sentido, la evaluación de esta unidad didáctica será continua y basada en criterios e indicadores que valoren el dominio de los conocimientos teóricos, las habilidades prácticas, así como los aspectos actitudinales propios del quehacer profesional.</w:t>
      </w:r>
    </w:p>
    <w:p>
      <w:pPr>
        <w:spacing w:after="40"/>
      </w:pPr>
      <w:r>
        <w:rPr>
          <w:b/>
          <w:i w:val="0"/>
          <w:sz w:val="22"/>
        </w:rPr>
        <w:t>Situaciones evaluativas</w:t>
      </w:r>
    </w:p>
    <w:p>
      <w:pPr>
        <w:spacing w:after="120"/>
      </w:pPr>
      <w:r>
        <w:rPr>
          <w:b w:val="0"/>
          <w:i w:val="0"/>
          <w:sz w:val="20"/>
        </w:rPr>
        <w:t>La unidad didáctica será evaluada considerando dos dimensiones de la competencia relacionada al módulo formativo: 1) Conocimiento, 2) Habilidades, destrezas y actitudes, las cuales serán valoradas de la siguiente manera: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fill="1F3864"/>
          </w:tcPr>
          <w:p>
            <w:pPr>
              <w:spacing w:after="40"/>
            </w:pPr>
            <w:r>
              <w:rPr>
                <w:b/>
                <w:color w:val="FFFFFF"/>
                <w:sz w:val="18"/>
              </w:rPr>
              <w:t>DIMENSIÓN</w:t>
            </w:r>
          </w:p>
        </w:tc>
        <w:tc>
          <w:tcPr>
            <w:tcW w:type="dxa" w:w="2835"/>
            <w:shd w:val="clear" w:fill="1F3864"/>
          </w:tcPr>
          <w:p>
            <w:pPr>
              <w:spacing w:after="40"/>
            </w:pPr>
            <w:r>
              <w:rPr>
                <w:b/>
                <w:color w:val="FFFFFF"/>
                <w:sz w:val="18"/>
              </w:rPr>
              <w:t>SITUACIÓN EVALUATIVA</w:t>
            </w:r>
          </w:p>
        </w:tc>
        <w:tc>
          <w:tcPr>
            <w:tcW w:type="dxa" w:w="3005"/>
            <w:shd w:val="clear" w:fill="1F3864"/>
          </w:tcPr>
          <w:p>
            <w:pPr>
              <w:spacing w:after="40"/>
            </w:pPr>
            <w:r>
              <w:rPr>
                <w:b/>
                <w:color w:val="FFFFFF"/>
                <w:sz w:val="18"/>
              </w:rPr>
              <w:t>INSTRUMENTO DE EVALUACIÓN</w:t>
            </w:r>
          </w:p>
        </w:tc>
        <w:tc>
          <w:tcPr>
            <w:tcW w:type="dxa" w:w="1134"/>
            <w:shd w:val="clear" w:fill="1F3864"/>
          </w:tcPr>
          <w:p>
            <w:pPr>
              <w:spacing w:after="40"/>
            </w:pPr>
            <w:r>
              <w:rPr>
                <w:b/>
                <w:color w:val="FFFFFF"/>
                <w:sz w:val="18"/>
              </w:rPr>
              <w:t>PESO</w:t>
            </w:r>
          </w:p>
        </w:tc>
      </w:tr>
      <w:tr>
        <w:tc>
          <w:tcPr>
            <w:tcW w:type="dxa" w:w="2381"/>
          </w:tcPr>
          <w:p>
            <w:pPr>
              <w:spacing w:after="40"/>
            </w:pPr>
            <w:r>
              <w:rPr>
                <w:b w:val="0"/>
                <w:sz w:val="18"/>
              </w:rPr>
              <w:t>CONOCIMIENTO</w:t>
            </w:r>
          </w:p>
        </w:tc>
        <w:tc>
          <w:tcPr>
            <w:tcW w:type="dxa" w:w="2835"/>
          </w:tcPr>
          <w:p>
            <w:pPr>
              <w:spacing w:after="40"/>
            </w:pPr>
            <w:r>
              <w:rPr>
                <w:b w:val="0"/>
                <w:sz w:val="18"/>
              </w:rPr>
              <w:t>Cuestionario de verificación 1 (CV1)</w:t>
            </w:r>
          </w:p>
        </w:tc>
        <w:tc>
          <w:tcPr>
            <w:tcW w:type="dxa" w:w="3005"/>
          </w:tcPr>
          <w:p>
            <w:pPr>
              <w:spacing w:after="40"/>
            </w:pPr>
            <w:r>
              <w:rPr>
                <w:b w:val="0"/>
                <w:sz w:val="18"/>
              </w:rPr>
              <w:t>Cuestionario en plataforma virtual</w:t>
            </w:r>
          </w:p>
        </w:tc>
        <w:tc>
          <w:tcPr>
            <w:tcW w:type="dxa" w:w="1134"/>
          </w:tcPr>
          <w:p>
            <w:pPr>
              <w:spacing w:after="40"/>
            </w:pPr>
            <w:r>
              <w:rPr>
                <w:b w:val="0"/>
                <w:sz w:val="18"/>
              </w:rPr>
              <w:t>2,5%</w:t>
            </w:r>
          </w:p>
        </w:tc>
      </w:tr>
      <w:tr>
        <w:tc>
          <w:tcPr>
            <w:tcW w:type="dxa" w:w="2381"/>
          </w:tcPr>
          <w:p>
            <w:pPr>
              <w:spacing w:after="40"/>
            </w:pPr>
            <w:r>
              <w:rPr>
                <w:b w:val="0"/>
                <w:sz w:val="18"/>
              </w:rPr>
            </w:r>
          </w:p>
        </w:tc>
        <w:tc>
          <w:tcPr>
            <w:tcW w:type="dxa" w:w="2835"/>
          </w:tcPr>
          <w:p>
            <w:pPr>
              <w:spacing w:after="40"/>
            </w:pPr>
            <w:r>
              <w:rPr>
                <w:b w:val="0"/>
                <w:sz w:val="18"/>
              </w:rPr>
              <w:t>Cuestionario de verificación 2 (CV2)</w:t>
            </w:r>
          </w:p>
        </w:tc>
        <w:tc>
          <w:tcPr>
            <w:tcW w:type="dxa" w:w="3005"/>
          </w:tcPr>
          <w:p>
            <w:pPr>
              <w:spacing w:after="40"/>
            </w:pPr>
            <w:r>
              <w:rPr>
                <w:b w:val="0"/>
                <w:sz w:val="18"/>
              </w:rPr>
              <w:t>Cuestionario en plataforma virtual</w:t>
            </w:r>
          </w:p>
        </w:tc>
        <w:tc>
          <w:tcPr>
            <w:tcW w:type="dxa" w:w="1134"/>
          </w:tcPr>
          <w:p>
            <w:pPr>
              <w:spacing w:after="40"/>
            </w:pPr>
            <w:r>
              <w:rPr>
                <w:b w:val="0"/>
                <w:sz w:val="18"/>
              </w:rPr>
              <w:t>2,5%</w:t>
            </w:r>
          </w:p>
        </w:tc>
      </w:tr>
      <w:tr>
        <w:tc>
          <w:tcPr>
            <w:tcW w:type="dxa" w:w="2381"/>
          </w:tcPr>
          <w:p>
            <w:pPr>
              <w:spacing w:after="40"/>
            </w:pPr>
            <w:r>
              <w:rPr>
                <w:b w:val="0"/>
                <w:sz w:val="18"/>
              </w:rPr>
            </w:r>
          </w:p>
        </w:tc>
        <w:tc>
          <w:tcPr>
            <w:tcW w:type="dxa" w:w="2835"/>
          </w:tcPr>
          <w:p>
            <w:pPr>
              <w:spacing w:after="40"/>
            </w:pPr>
            <w:r>
              <w:rPr>
                <w:b w:val="0"/>
                <w:sz w:val="18"/>
              </w:rPr>
              <w:t>Cuestionario de verificación 3 (CV3)</w:t>
            </w:r>
          </w:p>
        </w:tc>
        <w:tc>
          <w:tcPr>
            <w:tcW w:type="dxa" w:w="3005"/>
          </w:tcPr>
          <w:p>
            <w:pPr>
              <w:spacing w:after="40"/>
            </w:pPr>
            <w:r>
              <w:rPr>
                <w:b w:val="0"/>
                <w:sz w:val="18"/>
              </w:rPr>
              <w:t>Cuestionario en plataforma virtual</w:t>
            </w:r>
          </w:p>
        </w:tc>
        <w:tc>
          <w:tcPr>
            <w:tcW w:type="dxa" w:w="1134"/>
          </w:tcPr>
          <w:p>
            <w:pPr>
              <w:spacing w:after="40"/>
            </w:pPr>
            <w:r>
              <w:rPr>
                <w:b w:val="0"/>
                <w:sz w:val="18"/>
              </w:rPr>
              <w:t>2,5%</w:t>
            </w:r>
          </w:p>
        </w:tc>
      </w:tr>
      <w:tr>
        <w:tc>
          <w:tcPr>
            <w:tcW w:type="dxa" w:w="2381"/>
          </w:tcPr>
          <w:p>
            <w:pPr>
              <w:spacing w:after="40"/>
            </w:pPr>
            <w:r>
              <w:rPr>
                <w:b w:val="0"/>
                <w:sz w:val="18"/>
              </w:rPr>
            </w:r>
          </w:p>
        </w:tc>
        <w:tc>
          <w:tcPr>
            <w:tcW w:type="dxa" w:w="2835"/>
          </w:tcPr>
          <w:p>
            <w:pPr>
              <w:spacing w:after="40"/>
            </w:pPr>
            <w:r>
              <w:rPr>
                <w:b w:val="0"/>
                <w:sz w:val="18"/>
              </w:rPr>
              <w:t>Cuestionario de verificación 4 (CV4)</w:t>
            </w:r>
          </w:p>
        </w:tc>
        <w:tc>
          <w:tcPr>
            <w:tcW w:type="dxa" w:w="3005"/>
          </w:tcPr>
          <w:p>
            <w:pPr>
              <w:spacing w:after="40"/>
            </w:pPr>
            <w:r>
              <w:rPr>
                <w:b w:val="0"/>
                <w:sz w:val="18"/>
              </w:rPr>
              <w:t>Cuestionario en plataforma virtual</w:t>
            </w:r>
          </w:p>
        </w:tc>
        <w:tc>
          <w:tcPr>
            <w:tcW w:type="dxa" w:w="1134"/>
          </w:tcPr>
          <w:p>
            <w:pPr>
              <w:spacing w:after="40"/>
            </w:pPr>
            <w:r>
              <w:rPr>
                <w:b w:val="0"/>
                <w:sz w:val="18"/>
              </w:rPr>
              <w:t>2,5%</w:t>
            </w:r>
          </w:p>
        </w:tc>
      </w:tr>
      <w:tr>
        <w:tc>
          <w:tcPr>
            <w:tcW w:type="dxa" w:w="2381"/>
          </w:tcPr>
          <w:p>
            <w:pPr>
              <w:spacing w:after="40"/>
            </w:pPr>
            <w:r>
              <w:rPr>
                <w:b w:val="0"/>
                <w:sz w:val="18"/>
              </w:rPr>
            </w:r>
          </w:p>
        </w:tc>
        <w:tc>
          <w:tcPr>
            <w:tcW w:type="dxa" w:w="2835"/>
          </w:tcPr>
          <w:p>
            <w:pPr>
              <w:spacing w:after="40"/>
            </w:pPr>
            <w:r>
              <w:rPr>
                <w:b w:val="0"/>
                <w:sz w:val="18"/>
              </w:rPr>
              <w:t>Examen parcial (EP)</w:t>
            </w:r>
          </w:p>
        </w:tc>
        <w:tc>
          <w:tcPr>
            <w:tcW w:type="dxa" w:w="3005"/>
          </w:tcPr>
          <w:p>
            <w:pPr>
              <w:spacing w:after="40"/>
            </w:pPr>
            <w:r>
              <w:rPr>
                <w:b w:val="0"/>
                <w:sz w:val="18"/>
              </w:rPr>
              <w:t>Cuestionario en plataforma virtual</w:t>
            </w:r>
          </w:p>
        </w:tc>
        <w:tc>
          <w:tcPr>
            <w:tcW w:type="dxa" w:w="1134"/>
          </w:tcPr>
          <w:p>
            <w:pPr>
              <w:spacing w:after="40"/>
            </w:pPr>
            <w:r>
              <w:rPr>
                <w:b w:val="0"/>
                <w:sz w:val="18"/>
              </w:rPr>
              <w:t>20%</w:t>
            </w:r>
          </w:p>
        </w:tc>
      </w:tr>
      <w:tr>
        <w:tc>
          <w:tcPr>
            <w:tcW w:type="dxa" w:w="2381"/>
          </w:tcPr>
          <w:p>
            <w:pPr>
              <w:spacing w:after="40"/>
            </w:pPr>
            <w:r>
              <w:rPr>
                <w:b w:val="0"/>
                <w:sz w:val="18"/>
              </w:rPr>
            </w:r>
          </w:p>
        </w:tc>
        <w:tc>
          <w:tcPr>
            <w:tcW w:type="dxa" w:w="2835"/>
          </w:tcPr>
          <w:p>
            <w:pPr>
              <w:spacing w:after="40"/>
            </w:pPr>
            <w:r>
              <w:rPr>
                <w:b w:val="0"/>
                <w:sz w:val="18"/>
              </w:rPr>
              <w:t>Examen final (EF)</w:t>
            </w:r>
          </w:p>
        </w:tc>
        <w:tc>
          <w:tcPr>
            <w:tcW w:type="dxa" w:w="3005"/>
          </w:tcPr>
          <w:p>
            <w:pPr>
              <w:spacing w:after="40"/>
            </w:pPr>
            <w:r>
              <w:rPr>
                <w:b w:val="0"/>
                <w:sz w:val="18"/>
              </w:rPr>
              <w:t>Cuestionario en plataforma virtual</w:t>
            </w:r>
          </w:p>
        </w:tc>
        <w:tc>
          <w:tcPr>
            <w:tcW w:type="dxa" w:w="1134"/>
          </w:tcPr>
          <w:p>
            <w:pPr>
              <w:spacing w:after="40"/>
            </w:pPr>
            <w:r>
              <w:rPr>
                <w:b w:val="0"/>
                <w:sz w:val="18"/>
              </w:rPr>
              <w:t>20%</w:t>
            </w:r>
          </w:p>
        </w:tc>
      </w:tr>
      <w:tr>
        <w:tc>
          <w:tcPr>
            <w:tcW w:type="dxa" w:w="2381"/>
          </w:tcPr>
          <w:p>
            <w:pPr>
              <w:spacing w:after="40"/>
            </w:pPr>
            <w:r>
              <w:rPr>
                <w:b w:val="0"/>
                <w:sz w:val="18"/>
              </w:rPr>
              <w:t>HABILIDADES, DESTREZAS Y ACTITUDES</w:t>
            </w:r>
          </w:p>
        </w:tc>
        <w:tc>
          <w:tcPr>
            <w:tcW w:type="dxa" w:w="2835"/>
          </w:tcPr>
          <w:p>
            <w:pPr>
              <w:spacing w:after="40"/>
            </w:pPr>
            <w:r>
              <w:rPr>
                <w:b w:val="0"/>
                <w:sz w:val="18"/>
              </w:rPr>
              <w:t>Trabajo colaborativo 1 (TC1)</w:t>
            </w:r>
          </w:p>
        </w:tc>
        <w:tc>
          <w:tcPr>
            <w:tcW w:type="dxa" w:w="3005"/>
          </w:tcPr>
          <w:p>
            <w:pPr>
              <w:spacing w:after="40"/>
            </w:pPr>
            <w:r>
              <w:rPr>
                <w:b w:val="0"/>
                <w:sz w:val="18"/>
              </w:rPr>
              <w:t>Instrumento de observación directa</w:t>
            </w:r>
          </w:p>
        </w:tc>
        <w:tc>
          <w:tcPr>
            <w:tcW w:type="dxa" w:w="1134"/>
          </w:tcPr>
          <w:p>
            <w:pPr>
              <w:spacing w:after="40"/>
            </w:pPr>
            <w:r>
              <w:rPr>
                <w:b w:val="0"/>
                <w:sz w:val="18"/>
              </w:rPr>
              <w:t>25%</w:t>
            </w:r>
          </w:p>
        </w:tc>
      </w:tr>
      <w:tr>
        <w:tc>
          <w:tcPr>
            <w:tcW w:type="dxa" w:w="2381"/>
          </w:tcPr>
          <w:p>
            <w:pPr>
              <w:spacing w:after="40"/>
            </w:pPr>
            <w:r>
              <w:rPr>
                <w:b w:val="0"/>
                <w:sz w:val="18"/>
              </w:rPr>
            </w:r>
          </w:p>
        </w:tc>
        <w:tc>
          <w:tcPr>
            <w:tcW w:type="dxa" w:w="2835"/>
          </w:tcPr>
          <w:p>
            <w:pPr>
              <w:spacing w:after="40"/>
            </w:pPr>
            <w:r>
              <w:rPr>
                <w:b w:val="0"/>
                <w:sz w:val="18"/>
              </w:rPr>
              <w:t>Trabajo colaborativo 2 (TC2)</w:t>
            </w:r>
          </w:p>
        </w:tc>
        <w:tc>
          <w:tcPr>
            <w:tcW w:type="dxa" w:w="3005"/>
          </w:tcPr>
          <w:p>
            <w:pPr>
              <w:spacing w:after="40"/>
            </w:pPr>
            <w:r>
              <w:rPr>
                <w:b w:val="0"/>
                <w:sz w:val="18"/>
              </w:rPr>
              <w:t>Instrumento de observación directa</w:t>
            </w:r>
          </w:p>
        </w:tc>
        <w:tc>
          <w:tcPr>
            <w:tcW w:type="dxa" w:w="1134"/>
          </w:tcPr>
          <w:p>
            <w:pPr>
              <w:spacing w:after="40"/>
            </w:pPr>
            <w:r>
              <w:rPr>
                <w:b w:val="0"/>
                <w:sz w:val="18"/>
              </w:rPr>
              <w:t>25%</w:t>
            </w:r>
          </w:p>
        </w:tc>
      </w:tr>
      <w:tr>
        <w:tc>
          <w:tcPr>
            <w:tcW w:type="dxa" w:w="2381"/>
          </w:tcPr>
          <w:p>
            <w:pPr>
              <w:spacing w:after="40"/>
            </w:pPr>
            <w:r>
              <w:rPr>
                <w:b w:val="0"/>
                <w:sz w:val="18"/>
              </w:rPr>
            </w:r>
          </w:p>
        </w:tc>
        <w:tc>
          <w:tcPr>
            <w:tcW w:type="dxa" w:w="2835"/>
          </w:tcPr>
          <w:p>
            <w:pPr>
              <w:spacing w:after="40"/>
            </w:pPr>
            <w:r>
              <w:rPr>
                <w:b w:val="0"/>
                <w:sz w:val="18"/>
              </w:rPr>
            </w:r>
          </w:p>
        </w:tc>
        <w:tc>
          <w:tcPr>
            <w:tcW w:type="dxa" w:w="3005"/>
          </w:tcPr>
          <w:p>
            <w:pPr>
              <w:spacing w:after="40"/>
            </w:pPr>
            <w:r>
              <w:rPr>
                <w:b w:val="0"/>
                <w:sz w:val="18"/>
              </w:rPr>
              <w:t>TOTAL</w:t>
            </w:r>
          </w:p>
        </w:tc>
        <w:tc>
          <w:tcPr>
            <w:tcW w:type="dxa" w:w="1134"/>
          </w:tcPr>
          <w:p>
            <w:pPr>
              <w:spacing w:after="40"/>
            </w:pPr>
            <w:r>
              <w:rPr>
                <w:b w:val="0"/>
                <w:sz w:val="18"/>
              </w:rPr>
              <w:t>100%</w:t>
            </w:r>
          </w:p>
        </w:tc>
      </w:tr>
    </w:tbl>
    <w:p>
      <w:pPr>
        <w:spacing w:after="120"/>
      </w:pPr>
    </w:p>
    <w:p>
      <w:pPr>
        <w:spacing w:after="40"/>
      </w:pPr>
      <w:r>
        <w:rPr>
          <w:b/>
          <w:i w:val="0"/>
          <w:sz w:val="22"/>
        </w:rPr>
        <w:t>Nota final y nota mínima aprobatoria</w:t>
      </w:r>
    </w:p>
    <w:p>
      <w:pPr>
        <w:spacing w:after="120"/>
      </w:pPr>
      <w:r>
        <w:rPr>
          <w:b/>
          <w:i w:val="0"/>
          <w:sz w:val="20"/>
        </w:rPr>
        <w:t>Nota final = (Promedio CV) × 0,1 + EP × 0,2 + (Promedio TC) × 0,5 + EF × 0,2</w:t>
      </w:r>
    </w:p>
    <w:p>
      <w:pPr>
        <w:spacing w:after="120"/>
      </w:pPr>
      <w:r>
        <w:rPr>
          <w:b w:val="0"/>
          <w:i w:val="0"/>
          <w:sz w:val="18"/>
        </w:rPr>
        <w:t>CV = Cuestionario de verificación · TC = Trabajo colaborativo · EP = Examen parcial · EF = Examen final</w:t>
      </w:r>
    </w:p>
    <w:p>
      <w:pPr>
        <w:spacing w:after="120"/>
      </w:pPr>
      <w:r>
        <w:rPr>
          <w:b w:val="0"/>
          <w:i w:val="0"/>
          <w:sz w:val="20"/>
        </w:rPr>
        <w:t>La nota mínima aprobatoria para las unidades didácticas Teórico-Prácticas es trece (13), tanto para cursos técnicos como para cursos para la empleabilidad. En todos los casos la fracción 0,5 o más se considerará como una unidad a favor del estudiante.</w:t>
      </w:r>
    </w:p>
    <w:p>
      <w:pPr>
        <w:spacing w:after="40"/>
      </w:pPr>
      <w:r>
        <w:rPr>
          <w:b/>
          <w:i w:val="0"/>
          <w:sz w:val="22"/>
        </w:rPr>
        <w:t>Desaprobación de la unidad didáctica</w:t>
      </w:r>
    </w:p>
    <w:p>
      <w:pPr>
        <w:spacing w:after="40"/>
      </w:pPr>
      <w:r>
        <w:rPr>
          <w:b/>
          <w:i w:val="0"/>
          <w:sz w:val="20"/>
        </w:rPr>
        <w:t>Inasistencias.</w:t>
      </w:r>
    </w:p>
    <w:p>
      <w:pPr>
        <w:spacing w:after="120"/>
      </w:pPr>
      <w:r>
        <w:rPr>
          <w:b w:val="0"/>
          <w:i w:val="0"/>
          <w:sz w:val="20"/>
        </w:rPr>
        <w:t>El estudiante deberá cumplir con el 70% de asistencias para estar habilitado en el sistema de recuperación. Un estudiante que desapruebe por inasistencia (DPI) estará inhabilitado para realizar exámenes de subsanación y deberá llevar obligatoriamente el curso de recuperación correspondiente.</w:t>
      </w:r>
    </w:p>
    <w:p>
      <w:pPr>
        <w:spacing w:after="40"/>
      </w:pPr>
      <w:r>
        <w:rPr>
          <w:b/>
          <w:i w:val="0"/>
          <w:sz w:val="20"/>
        </w:rPr>
        <w:t>Rendimiento académico.</w:t>
      </w:r>
    </w:p>
    <w:p>
      <w:pPr>
        <w:spacing w:after="120"/>
      </w:pPr>
      <w:r>
        <w:rPr>
          <w:b w:val="0"/>
          <w:i w:val="0"/>
          <w:sz w:val="20"/>
        </w:rPr>
        <w:t>El estudiante que obtenga un promedio final menor a 12.5 tendrá la condición de desaprobado y deberá solicitar un examen de subsanación, el cual le permitirá aprobar con nota máxima de 13 como promedio final del curso subsanado. Cada estudiante tendrá la posibilidad de rendir este examen hasta en 2 oportunidades.</w:t>
      </w:r>
    </w:p>
    <w:p>
      <w:pPr>
        <w:spacing w:after="120"/>
      </w:pPr>
      <w:r>
        <w:rPr>
          <w:b w:val="0"/>
          <w:i w:val="0"/>
          <w:sz w:val="20"/>
        </w:rPr>
        <w:t>Si el estudiante desaprueba ambas oportunidades deberá realizar un CURSO DE RECUPERACIÓN de 15 horas, el cual se dará de forma virtual para cursos teórico-prácticos y presencial para proyectos. El estudiante podrá obtener una nota de 0 a 20 en esta recuperación que reemplazará la nota final del promedio. En ambos casos deberá seguir el procedimiento vigente establecido por el área de Servicios Académicos en el Reglamento Interno del Estudiante.</w:t>
      </w:r>
    </w:p>
    <w:p>
      <w:pPr>
        <w:spacing w:after="160"/>
      </w:pPr>
      <w:r>
        <w:rPr>
          <w:b/>
          <w:i w:val="0"/>
          <w:color w:val="1F3864"/>
          <w:sz w:val="26"/>
        </w:rPr>
        <w:t>Metodología de Enseñanza-Aprendizaje</w:t>
      </w:r>
    </w:p>
    <w:p>
      <w:pPr>
        <w:spacing w:after="120"/>
      </w:pPr>
      <w:r>
        <w:rPr>
          <w:b w:val="0"/>
          <w:i w:val="0"/>
          <w:sz w:val="20"/>
        </w:rPr>
        <w:t>La metodología empleada en las unidades didácticas teórico-prácticas es el Estudio de Casos; este método consiste en el análisis de una situación real o simulada que presenta problemas y retos ante los cuales los estudiantes deben tomar decisiones fundamentadas en los enfoques o teorías del ámbito disciplinar o especialidad del curso en cuestión.</w:t>
      </w:r>
    </w:p>
    <w:p>
      <w:pPr>
        <w:spacing w:after="120"/>
      </w:pPr>
      <w:r>
        <w:rPr>
          <w:b w:val="0"/>
          <w:i w:val="0"/>
          <w:sz w:val="20"/>
        </w:rPr>
        <w:t>El programa de estudios de Seguridad Industrial se realiza bajo la modalidad semipresencial que comprende dos ciclos presenciales (ciclos 1 y 3) y un ciclo a distancia (ciclo 2), de 12 semanas de duración y a implementarse de forma consecutiva.</w:t>
      </w:r>
    </w:p>
    <w:p>
      <w:pPr>
        <w:spacing w:after="120"/>
      </w:pPr>
      <w:r>
        <w:rPr>
          <w:b w:val="0"/>
          <w:i w:val="0"/>
          <w:sz w:val="20"/>
        </w:rPr>
        <w:t>Las actividades de aprendizaje se distribuyen de la siguiente manera:</w:t>
      </w:r>
    </w:p>
    <w:tbl>
      <w:tblPr>
        <w:tblStyle w:val="TableGrid"/>
        <w:tblW w:type="auto" w:w="0"/>
        <w:jc w:val="center"/>
        <w:tblLook w:firstColumn="1" w:firstRow="1" w:lastColumn="0" w:lastRow="0" w:noHBand="0" w:noVBand="1" w:val="04A0"/>
      </w:tblPr>
      <w:tblGrid>
        <w:gridCol w:w="4873"/>
        <w:gridCol w:w="4873"/>
      </w:tblGrid>
      <w:tr>
        <w:tc>
          <w:tcPr>
            <w:tcW w:type="dxa" w:w="4535"/>
            <w:shd w:val="clear" w:fill="1F3864"/>
          </w:tcPr>
          <w:p>
            <w:pPr>
              <w:spacing w:after="40"/>
            </w:pPr>
            <w:r>
              <w:rPr>
                <w:b/>
                <w:color w:val="FFFFFF"/>
                <w:sz w:val="18"/>
              </w:rPr>
              <w:t>AUTÓNOMAS (25%)</w:t>
            </w:r>
          </w:p>
        </w:tc>
        <w:tc>
          <w:tcPr>
            <w:tcW w:type="dxa" w:w="4819"/>
            <w:shd w:val="clear" w:fill="1F3864"/>
          </w:tcPr>
          <w:p>
            <w:pPr>
              <w:spacing w:after="40"/>
            </w:pPr>
            <w:r>
              <w:rPr>
                <w:b/>
                <w:color w:val="FFFFFF"/>
                <w:sz w:val="18"/>
              </w:rPr>
              <w:t>DIRIGIDAS (75%)</w:t>
            </w:r>
          </w:p>
        </w:tc>
      </w:tr>
      <w:tr>
        <w:tc>
          <w:tcPr>
            <w:tcW w:type="dxa" w:w="4535"/>
          </w:tcPr>
          <w:p>
            <w:pPr>
              <w:spacing w:after="40"/>
            </w:pPr>
            <w:r>
              <w:rPr>
                <w:b w:val="0"/>
                <w:sz w:val="18"/>
              </w:rPr>
              <w:t>Tareas y exámenes: 15%</w:t>
              <w:br/>
              <w:t>Revisión de videos y lecturas: 10%</w:t>
            </w:r>
          </w:p>
        </w:tc>
        <w:tc>
          <w:tcPr>
            <w:tcW w:type="dxa" w:w="4819"/>
          </w:tcPr>
          <w:p>
            <w:pPr>
              <w:spacing w:after="40"/>
            </w:pPr>
            <w:r>
              <w:rPr>
                <w:b w:val="0"/>
                <w:sz w:val="18"/>
              </w:rPr>
              <w:t>Sesiones en vivo para abordaje de casos (virtuales y presenciales): 75%</w:t>
            </w:r>
          </w:p>
        </w:tc>
      </w:tr>
    </w:tbl>
    <w:p>
      <w:pPr>
        <w:spacing w:after="120"/>
      </w:pPr>
    </w:p>
    <w:p>
      <w:pPr>
        <w:spacing w:after="120"/>
      </w:pPr>
      <w:r>
        <w:rPr>
          <w:b w:val="0"/>
          <w:i w:val="0"/>
          <w:sz w:val="20"/>
        </w:rPr>
        <w:t>Las actividades autónomas se realizan a través de los Entornos Virtuales de Aprendizaje (EVA). Los estudiantes tendrán acceso a contenido especializado, lecturas, casos de estudio y videos educativos, que deberán revisar antes de cada sesión en vivo, con carácter de obligatoriedad. Las actividades dirigidas (sesiones en vivo) se realizan a través de la plataforma de videoconferencias de los EVA, siempre bajo la guía de un/a instructor/a especialista. Estas sesiones se organizan en sesiones de adquisición y sesiones de evaluación.</w:t>
      </w:r>
    </w:p>
    <w:p>
      <w:pPr>
        <w:spacing w:after="160"/>
      </w:pPr>
      <w:r>
        <w:rPr>
          <w:b/>
          <w:i w:val="0"/>
          <w:color w:val="1F3864"/>
          <w:sz w:val="26"/>
        </w:rPr>
        <w:t>Materiales y recursos requeridos para el desarrollo de la unidad didáctica</w:t>
      </w:r>
    </w:p>
    <w:p>
      <w:pPr>
        <w:spacing w:after="40"/>
        <w:ind w:left="283"/>
      </w:pPr>
      <w:r>
        <w:rPr>
          <w:b w:val="0"/>
          <w:i w:val="0"/>
          <w:sz w:val="20"/>
        </w:rPr>
        <w:t>•  Ley 29783 — Ley de Seguridad y Salud en el Trabajo</w:t>
      </w:r>
    </w:p>
    <w:p>
      <w:pPr>
        <w:spacing w:after="40"/>
        <w:ind w:left="283"/>
      </w:pPr>
      <w:r>
        <w:rPr>
          <w:b w:val="0"/>
          <w:i w:val="0"/>
          <w:sz w:val="20"/>
        </w:rPr>
        <w:t>•  DS 005-2012-TR — Reglamento de la Ley de Seguridad y Salud en el Trabajo</w:t>
      </w:r>
    </w:p>
    <w:p>
      <w:pPr>
        <w:spacing w:after="40"/>
        <w:ind w:left="283"/>
      </w:pPr>
      <w:r>
        <w:rPr>
          <w:b w:val="0"/>
          <w:i w:val="0"/>
          <w:sz w:val="20"/>
        </w:rPr>
        <w:t>•  DS 024-2016-EM — Reglamento de Seguridad y Salud Ocupacional en Minería</w:t>
      </w:r>
    </w:p>
    <w:p>
      <w:pPr>
        <w:spacing w:after="40"/>
        <w:ind w:left="283"/>
      </w:pPr>
      <w:r>
        <w:rPr>
          <w:b w:val="0"/>
          <w:i w:val="0"/>
          <w:sz w:val="20"/>
        </w:rPr>
        <w:t>•  RM 050-2013-TR — Formatos referenciales y Guía básica sobre Sistema de Gestión de SST</w:t>
      </w:r>
    </w:p>
    <w:p>
      <w:pPr>
        <w:spacing w:after="40"/>
        <w:ind w:left="283"/>
      </w:pPr>
      <w:r>
        <w:rPr>
          <w:b w:val="0"/>
          <w:i w:val="0"/>
          <w:sz w:val="20"/>
        </w:rPr>
        <w:t>•  Norma ISO 9001</w:t>
      </w:r>
    </w:p>
    <w:p>
      <w:pPr>
        <w:spacing w:after="40"/>
        <w:ind w:left="283"/>
      </w:pPr>
      <w:r>
        <w:rPr>
          <w:b w:val="0"/>
          <w:i w:val="0"/>
          <w:sz w:val="20"/>
        </w:rPr>
        <w:t>•  Norma ISO 14001</w:t>
      </w:r>
    </w:p>
    <w:p>
      <w:pPr>
        <w:spacing w:after="160"/>
      </w:pPr>
      <w:r>
        <w:rPr>
          <w:b/>
          <w:i w:val="0"/>
          <w:color w:val="1F3864"/>
          <w:sz w:val="26"/>
        </w:rPr>
        <w:t>Referencias bibliográficas y webgráficas</w:t>
      </w:r>
    </w:p>
    <w:p>
      <w:pPr>
        <w:spacing w:after="40"/>
        <w:ind w:left="283"/>
      </w:pPr>
      <w:r>
        <w:rPr>
          <w:b w:val="0"/>
          <w:i w:val="0"/>
          <w:sz w:val="20"/>
        </w:rPr>
        <w:t>•  Ley N.º 29783, Ley de Seguridad y Salud en el Trabajo, y sus modificatorias.</w:t>
      </w:r>
    </w:p>
    <w:p>
      <w:pPr>
        <w:spacing w:after="40"/>
        <w:ind w:left="283"/>
      </w:pPr>
      <w:r>
        <w:rPr>
          <w:b w:val="0"/>
          <w:i w:val="0"/>
          <w:sz w:val="20"/>
        </w:rPr>
        <w:t>•  Decreto Supremo N.º 005-2012-TR, Reglamento de la Ley N.º 29783.</w:t>
      </w:r>
    </w:p>
    <w:p>
      <w:pPr>
        <w:spacing w:after="40"/>
        <w:ind w:left="283"/>
      </w:pPr>
      <w:r>
        <w:rPr>
          <w:b w:val="0"/>
          <w:i w:val="0"/>
          <w:sz w:val="20"/>
        </w:rPr>
        <w:t>•  Decreto Supremo N.º 024-2016-EM, Reglamento de Seguridad y Salud Ocupacional en Minería, y su modificatoria DS 023-2017-EM.</w:t>
      </w:r>
    </w:p>
    <w:p>
      <w:pPr>
        <w:spacing w:after="40"/>
        <w:ind w:left="283"/>
      </w:pPr>
      <w:r>
        <w:rPr>
          <w:b w:val="0"/>
          <w:i w:val="0"/>
          <w:sz w:val="20"/>
        </w:rPr>
        <w:t>•  Resolución Ministerial N.º 050-2013-TR, que aprueba los Formatos Referenciales de los registros obligatorios del SGSST y la Guía Básica sobre Sistema de Gestión de Seguridad y Salud en el Trabajo.</w:t>
      </w:r>
    </w:p>
    <w:p>
      <w:pPr>
        <w:spacing w:after="40"/>
        <w:ind w:left="283"/>
      </w:pPr>
      <w:r>
        <w:rPr>
          <w:b w:val="0"/>
          <w:i w:val="0"/>
          <w:sz w:val="20"/>
        </w:rPr>
        <w:t>•  Norma ISO 9001:2015 — Sistema de Gestión de la Calidad.</w:t>
      </w:r>
    </w:p>
    <w:p>
      <w:pPr>
        <w:spacing w:after="40"/>
        <w:ind w:left="283"/>
      </w:pPr>
      <w:r>
        <w:rPr>
          <w:b w:val="0"/>
          <w:i w:val="0"/>
          <w:sz w:val="20"/>
        </w:rPr>
        <w:t>•  Norma ISO 14001:2015 — Sistema de Gestión Ambiental.</w:t>
      </w:r>
    </w:p>
    <w:p>
      <w:pPr>
        <w:spacing w:after="40"/>
        <w:ind w:left="283"/>
      </w:pPr>
      <w:r>
        <w:rPr>
          <w:b w:val="0"/>
          <w:i w:val="0"/>
          <w:sz w:val="20"/>
        </w:rPr>
        <w:t>•  Norma ISO 45001:2018 — Sistema de Gestión de Seguridad y Salud en el Trabajo (referencia de contraste).</w:t>
      </w:r>
    </w:p>
    <w:p>
      <w:r>
        <w:br w:type="page"/>
      </w:r>
    </w:p>
    <w:p>
      <w:pPr>
        <w:spacing w:after="160"/>
      </w:pPr>
      <w:r>
        <w:rPr>
          <w:b/>
          <w:i w:val="0"/>
          <w:color w:val="1F3864"/>
          <w:sz w:val="24"/>
        </w:rPr>
        <w:t>Anexo — qué cambia respecto del sílabo vigente</w:t>
      </w:r>
    </w:p>
    <w:tbl>
      <w:tblPr>
        <w:tblStyle w:val="TableGrid"/>
        <w:tblW w:type="auto" w:w="0"/>
        <w:tblLook w:firstColumn="1" w:firstRow="1" w:lastColumn="0" w:lastRow="0" w:noHBand="0" w:noVBand="1" w:val="04A0"/>
      </w:tblPr>
      <w:tblGrid>
        <w:gridCol w:w="4873"/>
        <w:gridCol w:w="4873"/>
      </w:tblGrid>
      <w:tr>
        <w:tc>
          <w:tcPr>
            <w:tcW w:type="dxa" w:w="2551"/>
            <w:shd w:val="clear" w:fill="1F3864"/>
          </w:tcPr>
          <w:p>
            <w:pPr>
              <w:spacing w:after="40"/>
            </w:pPr>
            <w:r>
              <w:rPr>
                <w:b/>
                <w:color w:val="FFFFFF"/>
                <w:sz w:val="18"/>
              </w:rPr>
              <w:t>QUÉ CAMBIA</w:t>
            </w:r>
          </w:p>
        </w:tc>
        <w:tc>
          <w:tcPr>
            <w:tcW w:type="dxa" w:w="6803"/>
            <w:shd w:val="clear" w:fill="1F3864"/>
          </w:tcPr>
          <w:p>
            <w:pPr>
              <w:spacing w:after="40"/>
            </w:pPr>
            <w:r>
              <w:rPr>
                <w:b/>
                <w:color w:val="FFFFFF"/>
                <w:sz w:val="18"/>
              </w:rPr>
              <w:t>EN QUÉ CONSISTE Y POR QUÉ</w:t>
            </w:r>
          </w:p>
        </w:tc>
      </w:tr>
      <w:tr>
        <w:tc>
          <w:tcPr>
            <w:tcW w:type="dxa" w:w="2551"/>
            <w:shd w:val="clear" w:fill="D9E2F3"/>
          </w:tcPr>
          <w:p>
            <w:pPr>
              <w:spacing w:after="40"/>
            </w:pPr>
            <w:r>
              <w:rPr>
                <w:b/>
                <w:sz w:val="18"/>
              </w:rPr>
              <w:t>Capacidad</w:t>
            </w:r>
          </w:p>
        </w:tc>
        <w:tc>
          <w:tcPr>
            <w:tcW w:type="dxa" w:w="6803"/>
          </w:tcPr>
          <w:p>
            <w:pPr>
              <w:spacing w:after="40"/>
            </w:pPr>
            <w:r>
              <w:rPr>
                <w:b w:val="0"/>
                <w:sz w:val="18"/>
              </w:rPr>
              <w:t>Pasa de «Describir» a «EXPLICAR el proceso de implementación… considerando la normativa vigente ISO». Corrige la inversión que traía la versión anterior, donde los indicadores (explica) estaban por encima de su propia capacidad (describir). Ahora la escalera es correcta: capacidad explicar ≥ indicadores describir.</w:t>
            </w:r>
          </w:p>
        </w:tc>
      </w:tr>
      <w:tr>
        <w:tc>
          <w:tcPr>
            <w:tcW w:type="dxa" w:w="2551"/>
            <w:shd w:val="clear" w:fill="D9E2F3"/>
          </w:tcPr>
          <w:p>
            <w:pPr>
              <w:spacing w:after="40"/>
            </w:pPr>
            <w:r>
              <w:rPr>
                <w:b/>
                <w:sz w:val="18"/>
              </w:rPr>
              <w:t>Verbo de los cuatro indicadores</w:t>
            </w:r>
          </w:p>
        </w:tc>
        <w:tc>
          <w:tcPr>
            <w:tcW w:type="dxa" w:w="6803"/>
          </w:tcPr>
          <w:p>
            <w:pPr>
              <w:spacing w:after="40"/>
            </w:pPr>
            <w:r>
              <w:rPr>
                <w:b w:val="0"/>
                <w:sz w:val="18"/>
              </w:rPr>
              <w:t>Pasan de «Explica» a «DESCRIBE». Consecuencia directa: el techo de verbo del curso baja un peldaño. Ninguna sesión, caso ni criterio de rúbrica puede pedir explicar, justificar, demostrar ni proponer: todos se redactaron de nuevo en nivel describir.</w:t>
            </w:r>
          </w:p>
        </w:tc>
      </w:tr>
      <w:tr>
        <w:tc>
          <w:tcPr>
            <w:tcW w:type="dxa" w:w="2551"/>
            <w:shd w:val="clear" w:fill="D9E2F3"/>
          </w:tcPr>
          <w:p>
            <w:pPr>
              <w:spacing w:after="40"/>
            </w:pPr>
            <w:r>
              <w:rPr>
                <w:b/>
                <w:sz w:val="18"/>
              </w:rPr>
              <w:t>Indicador 3</w:t>
            </w:r>
          </w:p>
        </w:tc>
        <w:tc>
          <w:tcPr>
            <w:tcW w:type="dxa" w:w="6803"/>
          </w:tcPr>
          <w:p>
            <w:pPr>
              <w:spacing w:after="40"/>
            </w:pPr>
            <w:r>
              <w:rPr>
                <w:b w:val="0"/>
                <w:sz w:val="18"/>
              </w:rPr>
              <w:t>Queda como «Describe el Sistema de Gestión de Seguridad y Salud en el Trabajo, considerando la normativa vigente ISO 45001 y la norma nacional vigente». La ISO 45001 vuelve al indicador, ahora junto a la normativa nacional; el bloque de contenidos sigue estructurado sobre la Ley 29783 y la RM 050-2013-TR.</w:t>
            </w:r>
          </w:p>
        </w:tc>
      </w:tr>
      <w:tr>
        <w:tc>
          <w:tcPr>
            <w:tcW w:type="dxa" w:w="2551"/>
            <w:shd w:val="clear" w:fill="D9E2F3"/>
          </w:tcPr>
          <w:p>
            <w:pPr>
              <w:spacing w:after="40"/>
            </w:pPr>
            <w:r>
              <w:rPr>
                <w:b/>
                <w:sz w:val="18"/>
              </w:rPr>
              <w:t>Indicador 1</w:t>
            </w:r>
          </w:p>
        </w:tc>
        <w:tc>
          <w:tcPr>
            <w:tcW w:type="dxa" w:w="6803"/>
          </w:tcPr>
          <w:p>
            <w:pPr>
              <w:spacing w:after="40"/>
            </w:pPr>
            <w:r>
              <w:rPr>
                <w:b w:val="0"/>
                <w:sz w:val="18"/>
              </w:rPr>
              <w:t>Vuelve a «considerando las normas ISO», sin la mención a la normativa nacional.</w:t>
            </w:r>
          </w:p>
        </w:tc>
      </w:tr>
      <w:tr>
        <w:tc>
          <w:tcPr>
            <w:tcW w:type="dxa" w:w="2551"/>
            <w:shd w:val="clear" w:fill="D9E2F3"/>
          </w:tcPr>
          <w:p>
            <w:pPr>
              <w:spacing w:after="40"/>
            </w:pPr>
            <w:r>
              <w:rPr>
                <w:b/>
                <w:sz w:val="18"/>
              </w:rPr>
              <w:t>Indicador 4</w:t>
            </w:r>
          </w:p>
        </w:tc>
        <w:tc>
          <w:tcPr>
            <w:tcW w:type="dxa" w:w="6803"/>
          </w:tcPr>
          <w:p>
            <w:pPr>
              <w:spacing w:after="40"/>
            </w:pPr>
            <w:r>
              <w:rPr>
                <w:b w:val="0"/>
                <w:sz w:val="18"/>
              </w:rPr>
              <w:t>Se corrige la errata del sílabo vigente, que repetía el texto del indicador 3 (ISO 45001) mientras sus contenidos eran de ISO 14001. Se restituye el texto correcto.</w:t>
            </w:r>
          </w:p>
        </w:tc>
      </w:tr>
      <w:tr>
        <w:tc>
          <w:tcPr>
            <w:tcW w:type="dxa" w:w="2551"/>
            <w:shd w:val="clear" w:fill="D9E2F3"/>
          </w:tcPr>
          <w:p>
            <w:pPr>
              <w:spacing w:after="40"/>
            </w:pPr>
            <w:r>
              <w:rPr>
                <w:b/>
                <w:sz w:val="18"/>
              </w:rPr>
              <w:t>Contenidos del indicador 3</w:t>
            </w:r>
          </w:p>
        </w:tc>
        <w:tc>
          <w:tcPr>
            <w:tcW w:type="dxa" w:w="6803"/>
          </w:tcPr>
          <w:p>
            <w:pPr>
              <w:spacing w:after="40"/>
            </w:pPr>
            <w:r>
              <w:rPr>
                <w:b w:val="0"/>
                <w:sz w:val="18"/>
              </w:rPr>
              <w:t>Reemplazados íntegramente. Antes eran las cláusulas de la ISO 45001; ahora son el SGSST legal: marco normativo, línea base, política, comité y RISST, planeamiento, capacitaciones, registros, investigación de accidentes, índices, auditorías y revisión por la dirección.</w:t>
            </w:r>
          </w:p>
        </w:tc>
      </w:tr>
      <w:tr>
        <w:tc>
          <w:tcPr>
            <w:tcW w:type="dxa" w:w="2551"/>
            <w:shd w:val="clear" w:fill="D9E2F3"/>
          </w:tcPr>
          <w:p>
            <w:pPr>
              <w:spacing w:after="40"/>
            </w:pPr>
            <w:r>
              <w:rPr>
                <w:b/>
                <w:sz w:val="18"/>
              </w:rPr>
              <w:t>Contenidos del indicador 2</w:t>
            </w:r>
          </w:p>
        </w:tc>
        <w:tc>
          <w:tcPr>
            <w:tcW w:type="dxa" w:w="6803"/>
          </w:tcPr>
          <w:p>
            <w:pPr>
              <w:spacing w:after="40"/>
            </w:pPr>
            <w:r>
              <w:rPr>
                <w:b w:val="0"/>
                <w:sz w:val="18"/>
              </w:rPr>
              <w:t>Comprimidos de 15 a 9 subtemas, conservando la arquitectura de la norma (contexto → liderazgo → planificación → documentación). Es la consecuencia del reparto 20 / 60 / 20.</w:t>
            </w:r>
          </w:p>
        </w:tc>
      </w:tr>
      <w:tr>
        <w:tc>
          <w:tcPr>
            <w:tcW w:type="dxa" w:w="2551"/>
            <w:shd w:val="clear" w:fill="D9E2F3"/>
          </w:tcPr>
          <w:p>
            <w:pPr>
              <w:spacing w:after="40"/>
            </w:pPr>
            <w:r>
              <w:rPr>
                <w:b/>
                <w:sz w:val="18"/>
              </w:rPr>
              <w:t>Contenidos del indicador 4</w:t>
            </w:r>
          </w:p>
        </w:tc>
        <w:tc>
          <w:tcPr>
            <w:tcW w:type="dxa" w:w="6803"/>
          </w:tcPr>
          <w:p>
            <w:pPr>
              <w:spacing w:after="40"/>
            </w:pPr>
            <w:r>
              <w:rPr>
                <w:b w:val="0"/>
                <w:sz w:val="18"/>
              </w:rPr>
              <w:t>Comprimidos de 12 a 11 subtemas. Sin cambio de enfoque.</w:t>
            </w:r>
          </w:p>
        </w:tc>
      </w:tr>
      <w:tr>
        <w:tc>
          <w:tcPr>
            <w:tcW w:type="dxa" w:w="2551"/>
            <w:shd w:val="clear" w:fill="D9E2F3"/>
          </w:tcPr>
          <w:p>
            <w:pPr>
              <w:spacing w:after="40"/>
            </w:pPr>
            <w:r>
              <w:rPr>
                <w:b/>
                <w:sz w:val="18"/>
              </w:rPr>
              <w:t>Sistema de evaluación</w:t>
            </w:r>
          </w:p>
        </w:tc>
        <w:tc>
          <w:tcPr>
            <w:tcW w:type="dxa" w:w="6803"/>
          </w:tcPr>
          <w:p>
            <w:pPr>
              <w:spacing w:after="40"/>
            </w:pPr>
            <w:r>
              <w:rPr>
                <w:b w:val="0"/>
                <w:sz w:val="18"/>
              </w:rPr>
              <w:t>Los cuatro indicadores quedan evaluados. En la versión de admisiones 2024 los indicadores 3 y 4 tenían la celda de evaluación en blanco.</w:t>
            </w:r>
          </w:p>
        </w:tc>
      </w:tr>
      <w:tr>
        <w:tc>
          <w:tcPr>
            <w:tcW w:type="dxa" w:w="2551"/>
            <w:shd w:val="clear" w:fill="D9E2F3"/>
          </w:tcPr>
          <w:p>
            <w:pPr>
              <w:spacing w:after="40"/>
            </w:pPr>
            <w:r>
              <w:rPr>
                <w:b/>
                <w:sz w:val="18"/>
              </w:rPr>
              <w:t>Materiales y bibliografía</w:t>
            </w:r>
          </w:p>
        </w:tc>
        <w:tc>
          <w:tcPr>
            <w:tcW w:type="dxa" w:w="6803"/>
          </w:tcPr>
          <w:p>
            <w:pPr>
              <w:spacing w:after="40"/>
            </w:pPr>
            <w:r>
              <w:rPr>
                <w:b w:val="0"/>
                <w:sz w:val="18"/>
              </w:rPr>
              <w:t>Se incorporan la Ley 29783, el DS 005-2012-TR, el DS 024-2016-EM y la RM 050-2013-TR, hoy ausentes. La ISO 45001 se mantiene como norma del indicador 3.</w:t>
            </w:r>
          </w:p>
        </w:tc>
      </w:tr>
      <w:tr>
        <w:tc>
          <w:tcPr>
            <w:tcW w:type="dxa" w:w="2551"/>
            <w:shd w:val="clear" w:fill="D9E2F3"/>
          </w:tcPr>
          <w:p>
            <w:pPr>
              <w:spacing w:after="40"/>
            </w:pPr>
            <w:r>
              <w:rPr>
                <w:b/>
                <w:sz w:val="18"/>
              </w:rPr>
              <w:t>Créditos</w:t>
            </w:r>
          </w:p>
        </w:tc>
        <w:tc>
          <w:tcPr>
            <w:tcW w:type="dxa" w:w="6803"/>
          </w:tcPr>
          <w:p>
            <w:pPr>
              <w:spacing w:after="40"/>
            </w:pPr>
            <w:r>
              <w:rPr>
                <w:b w:val="0"/>
                <w:sz w:val="18"/>
              </w:rPr>
              <w:t>Se mantiene 4, como dicen la triangulación y el sílabo vigentes. Nota: cursos.csv registra 5; esa discrepancia está abierta como observación aparte.</w:t>
            </w:r>
          </w:p>
        </w:tc>
      </w:tr>
    </w:tbl>
    <w:p>
      <w:pPr>
        <w:spacing w:after="120"/>
      </w:pPr>
    </w:p>
    <w:p>
      <w:r>
        <w:rPr>
          <w:b/>
          <w:color w:val="C00000"/>
          <w:sz w:val="18"/>
        </w:rPr>
        <w:t xml:space="preserve">Pendiente de verificación.  </w:t>
      </w:r>
      <w:r>
        <w:rPr>
          <w:sz w:val="18"/>
        </w:rPr>
        <w:t>Antes de que estos documentos entren en vigencia debe verificarse contra el texto publicado la numeración de los artículos de la Ley 29783 y de su reglamento que sustentan el comité de SST, el RISST, el mapa de riesgos, el estudio de línea base y la frecuencia de capacitaciones; y la numeración de los anexos de la RM 050-2013-TR.</w:t>
      </w:r>
    </w:p>
    <w:p>
      <w:pPr>
        <w:spacing w:after="120"/>
      </w:pPr>
    </w:p>
    <w:p>
      <w:pPr>
        <w:spacing w:after="120"/>
      </w:pPr>
      <w:r>
        <w:rPr>
          <w:b w:val="0"/>
          <w:i/>
          <w:sz w:val="18"/>
        </w:rPr>
        <w:t>No cambian: misión y visión, sistema de evaluación y pesos, fórmula de la nota, nota mínima aprobatoria, reglas de inasistencia y rendimiento académico, y metodología. Se reproducen del sílabo vigente sin modificación.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