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22"/>
        </w:rPr>
        <w:t>TRABAJO COLABORATIVO 1</w:t>
      </w:r>
    </w:p>
    <w:tbl>
      <w:tblPr>
        <w:tblStyle w:val="TableGrid"/>
        <w:tblW w:type="auto" w:w="0"/>
        <w:jc w:val="center"/>
        <w:tblLook w:firstColumn="1" w:firstRow="1" w:lastColumn="0" w:lastRow="0" w:noHBand="0" w:noVBand="1" w:val="04A0"/>
      </w:tblPr>
      <w:tblGrid>
        <w:gridCol w:w="4986"/>
        <w:gridCol w:w="4986"/>
      </w:tblGrid>
      <w:tr>
        <w:tc>
          <w:tcPr>
            <w:tcW w:type="dxa" w:w="2494"/>
            <w:shd w:val="clear" w:fill="D9E2F3"/>
          </w:tcPr>
          <w:p>
            <w:pPr>
              <w:spacing w:after="120"/>
            </w:pPr>
            <w:r>
              <w:rPr>
                <w:b/>
                <w:color w:val="1F3864"/>
                <w:sz w:val="20"/>
              </w:rPr>
              <w:t>PROGRAMA DE ESTUDIOS</w:t>
            </w:r>
          </w:p>
        </w:tc>
        <w:tc>
          <w:tcPr>
            <w:tcW w:type="dxa" w:w="7143"/>
          </w:tcPr>
          <w:p>
            <w:pPr>
              <w:spacing w:after="120"/>
            </w:pPr>
            <w:r>
              <w:rPr>
                <w:b w:val="0"/>
                <w:sz w:val="20"/>
              </w:rPr>
              <w:t>Seguridad Industrial</w:t>
            </w:r>
          </w:p>
        </w:tc>
      </w:tr>
      <w:tr>
        <w:tc>
          <w:tcPr>
            <w:tcW w:type="dxa" w:w="2494"/>
            <w:shd w:val="clear" w:fill="D9E2F3"/>
          </w:tcPr>
          <w:p>
            <w:pPr>
              <w:spacing w:after="120"/>
            </w:pPr>
            <w:r>
              <w:rPr>
                <w:b/>
                <w:color w:val="1F3864"/>
                <w:sz w:val="20"/>
              </w:rPr>
              <w:t>UNIDAD DIDÁCTICA</w:t>
            </w:r>
          </w:p>
        </w:tc>
        <w:tc>
          <w:tcPr>
            <w:tcW w:type="dxa" w:w="7143"/>
          </w:tcPr>
          <w:p>
            <w:pPr>
              <w:spacing w:after="120"/>
            </w:pPr>
            <w:r>
              <w:rPr>
                <w:b w:val="0"/>
                <w:sz w:val="20"/>
              </w:rPr>
              <w:t>Sistema de gestión de calidad, seguridad, salud y medio ambiente</w:t>
            </w:r>
          </w:p>
        </w:tc>
      </w:tr>
      <w:tr>
        <w:tc>
          <w:tcPr>
            <w:tcW w:type="dxa" w:w="2494"/>
            <w:shd w:val="clear" w:fill="D9E2F3"/>
          </w:tcPr>
          <w:p>
            <w:pPr>
              <w:spacing w:after="120"/>
            </w:pPr>
            <w:r>
              <w:rPr>
                <w:b/>
                <w:color w:val="1F3864"/>
                <w:sz w:val="20"/>
              </w:rPr>
              <w:t>INDICADOR/ES DE LOGRO DE LA CAPACIDAD</w:t>
            </w:r>
          </w:p>
        </w:tc>
        <w:tc>
          <w:tcPr>
            <w:tcW w:type="dxa" w:w="7143"/>
          </w:tcPr>
          <w:p>
            <w:pPr>
              <w:spacing w:after="120"/>
            </w:pPr>
            <w:r>
              <w:rPr>
                <w:b w:val="0"/>
                <w:sz w:val="20"/>
              </w:rPr>
              <w:t>•  Describe el proceso del Sistema Integrado de Gestión de Calidad, Seguridad y Salud en el Trabajo, y Medio Ambiente, considerando las normas ISO.</w:t>
            </w:r>
          </w:p>
          <w:p>
            <w:pPr>
              <w:spacing w:after="120"/>
            </w:pPr>
            <w:r>
              <w:rPr>
                <w:b w:val="0"/>
                <w:sz w:val="20"/>
              </w:rPr>
              <w:t>•  Describe el proceso de Gestión de Calidad, considerando la normativa vigente ISO 9001.</w:t>
            </w:r>
          </w:p>
          <w:p>
            <w:pPr>
              <w:spacing w:after="120"/>
            </w:pPr>
            <w:r>
              <w:rPr>
                <w:b w:val="0"/>
                <w:sz w:val="20"/>
              </w:rPr>
              <w:t>•  Describe el Sistema de Gestión de Seguridad y Salud en el Trabajo, considerando la normativa vigente ISO 45001 y la norma nacional vigente.</w:t>
            </w:r>
          </w:p>
        </w:tc>
      </w:tr>
      <w:tr>
        <w:tc>
          <w:tcPr>
            <w:tcW w:type="dxa" w:w="2494"/>
            <w:shd w:val="clear" w:fill="D9E2F3"/>
          </w:tcPr>
          <w:p>
            <w:pPr>
              <w:spacing w:after="120"/>
            </w:pPr>
            <w:r>
              <w:rPr>
                <w:b/>
                <w:color w:val="1F3864"/>
                <w:sz w:val="20"/>
              </w:rPr>
              <w:t>DESCRIPCIÓN DEL CASO 1</w:t>
            </w:r>
          </w:p>
        </w:tc>
        <w:tc>
          <w:tcPr>
            <w:tcW w:type="dxa" w:w="7143"/>
          </w:tcPr>
          <w:p>
            <w:pPr>
              <w:spacing w:after="160"/>
            </w:pPr>
            <w:r>
              <w:rPr>
                <w:b w:val="0"/>
                <w:sz w:val="20"/>
              </w:rPr>
              <w:t>Una contratista minera recibe el resultado de la evaluación que el cliente le hizo antes de autorizar el ingreso de su personal, y tiene pocos días para responder. El equipo lee el informe y la carpeta que la empresa entregó, reconoce qué le falta al sistema de gestión, describe a quién deja sin cubrir cada hueco y propone por dónde empezar a cerrarlos. El lunes a las siete, Rosa Quispe encontró sobre su escritorio un sobre de la unidad minera y una nota de gerencia con tres palabras: «resuélvelo, es urgente».</w:t>
            </w:r>
          </w:p>
          <w:p>
            <w:pPr>
              <w:spacing w:after="160"/>
            </w:pPr>
            <w:r>
              <w:rPr>
                <w:b w:val="0"/>
                <w:sz w:val="20"/>
              </w:rPr>
              <w:t>Rosa lleva ocho meses como jefa de SSOMA en Servicios Mineros Huanza, una contratista de mantenimiento mecánico con 78 trabajadores en planilla. El sobre traía el resultado de la evaluación que el cliente le hizo a la empresa antes de autorizar el ingreso a la planta concentradora: ochenta y seis páginas y, en la primera, un cuadro de ocho filas. Al pie, un número: 42 %.</w:t>
            </w:r>
          </w:p>
          <w:p>
            <w:pPr>
              <w:spacing w:after="160"/>
            </w:pPr>
            <w:r>
              <w:rPr>
                <w:b w:val="0"/>
                <w:sz w:val="20"/>
              </w:rPr>
              <w:t>Las filas iban de mejor a peor. La de arriba, la que pregunta por las inspecciones y los exámenes médicos, marcaba 67 %. Las dos de abajo estaban en 17 % y 29 %: la de la política y la del planeamiento. En el margen de esa última, alguien del cliente había escrito a lápiz: «no exhibido».</w:t>
            </w:r>
          </w:p>
          <w:p>
            <w:pPr>
              <w:spacing w:after="160"/>
            </w:pPr>
            <w:r>
              <w:rPr>
                <w:b w:val="0"/>
                <w:sz w:val="20"/>
              </w:rPr>
              <w:t>Rosa fue al archivador a buscar lo que el evaluador no encontró. La política estaba —impresa, en una carpeta con el logo de la empresa—, pero era el borrador que dejó el consultor el año pasado: al pie, sobre la línea de firma del gerente general, no había nada. Del reglamento interno solo existía el índice. De comité no había: en su lugar, un memorando designaba a un supervisor de seguridad, firmado por gerencia. Y de identificación de peligros, cada frente llenaba antes de empezar el formato que da el cliente, tarea por tarea; no había un documento propio de la empresa, ni nada colgado a la entrada del taller. El programa del año tampoco existía: las capacitaciones se dictaban cuando el cliente las pedía.</w:t>
            </w:r>
          </w:p>
          <w:p>
            <w:pPr>
              <w:spacing w:after="160"/>
            </w:pPr>
            <w:r>
              <w:rPr>
                <w:b w:val="0"/>
                <w:sz w:val="20"/>
              </w:rPr>
              <w:t>Lo que sí había era la carpeta de exámenes médicos al día, los cargos de entrega de EPP firmados uno por uno, y un fólder grueso de inspecciones mensuales. Rosa lo abrió: catorce observaciones levantadas en los últimos seis meses, ninguna con responsable ni fecha de cierre, y varias repetidas de un mes al siguiente.</w:t>
            </w:r>
          </w:p>
          <w:p>
            <w:pPr>
              <w:spacing w:after="160"/>
            </w:pPr>
            <w:r>
              <w:rPr>
                <w:b w:val="0"/>
                <w:sz w:val="20"/>
              </w:rPr>
              <w:t>A media mañana bajó a la oficina del gerente. Estaba con el jefe de operaciones y con un correo del área de compras del cliente abierto en la pantalla: a partir del próximo año solo mantendrían en su registro de proveedores a las empresas que estuvieran avanzando hacia la certificación de calidad. «Tenemos plata para una cosa», dijo el gerente. «Si no entramos a planta el viernes 12, perdemos el contrato. Y si el año que viene nos sacan del registro, da igual haber entrado».</w:t>
            </w:r>
          </w:p>
          <w:p>
            <w:pPr>
              <w:spacing w:after="160"/>
            </w:pPr>
            <w:r>
              <w:rPr>
                <w:b w:val="0"/>
                <w:sz w:val="20"/>
              </w:rPr>
              <w:t>«Yo no firmo un pase de ingreso sin mapa de riesgos», dijo el jefe de operaciones. «¿Te acuerdas de la contratista que entró en marzo? Un ayudante metió la mano en una faja que nadie había señalizado. Perdió dos dedos. Desde ese día el cliente revisa la carpeta antes de firmar nada». El gerente los miró a los dos. «Rosa, dime qué le falta a esta empresa, a quién deja sin cubrir, y por dónde empiezo».</w:t>
            </w:r>
          </w:p>
        </w:tc>
      </w:tr>
      <w:tr>
        <w:tc>
          <w:tcPr>
            <w:tcW w:type="dxa" w:w="2494"/>
            <w:shd w:val="clear" w:fill="D9E2F3"/>
          </w:tcPr>
          <w:p>
            <w:pPr>
              <w:spacing w:after="120"/>
            </w:pPr>
            <w:r>
              <w:rPr>
                <w:b/>
                <w:color w:val="1F3864"/>
                <w:sz w:val="20"/>
              </w:rPr>
              <w:t>PREGUNTA GATILLADORA</w:t>
            </w:r>
          </w:p>
        </w:tc>
        <w:tc>
          <w:tcPr>
            <w:tcW w:type="dxa" w:w="7143"/>
          </w:tcPr>
          <w:p>
            <w:pPr>
              <w:spacing w:after="120"/>
            </w:pPr>
            <w:r>
              <w:rPr>
                <w:b w:val="0"/>
                <w:sz w:val="20"/>
              </w:rPr>
              <w:t>¿Qué le falta a esta empresa, a quién deja sin cubrir y por dónde se empieza?</w:t>
            </w:r>
          </w:p>
        </w:tc>
      </w:tr>
      <w:tr>
        <w:tc>
          <w:tcPr>
            <w:tcW w:type="dxa" w:w="2494"/>
            <w:shd w:val="clear" w:fill="D9E2F3"/>
          </w:tcPr>
          <w:p>
            <w:pPr>
              <w:spacing w:after="120"/>
            </w:pPr>
            <w:r>
              <w:rPr>
                <w:b/>
                <w:color w:val="1F3864"/>
                <w:sz w:val="20"/>
              </w:rPr>
              <w:t>PRODUCTO</w:t>
            </w:r>
          </w:p>
        </w:tc>
        <w:tc>
          <w:tcPr>
            <w:tcW w:type="dxa" w:w="7143"/>
          </w:tcPr>
          <w:p>
            <w:pPr>
              <w:spacing w:after="120"/>
            </w:pPr>
            <w:r>
              <w:rPr>
                <w:b w:val="0"/>
                <w:sz w:val="20"/>
              </w:rPr>
              <w:t>Informe de brechas y programa de cierre, en dos piezas: (1) el cuadro de correspondencia —qué documento u órgano cubre cada brecha y qué norma lo exige— resuelto marcando sobre la relación con distractores que se entrega; (2) tres objetivos con indicador, meta y plazo, y la respuesta al gerente. Se sustenta en 8 minutos, con roles.</w:t>
            </w:r>
          </w:p>
        </w:tc>
      </w:tr>
      <w:tr>
        <w:tc>
          <w:tcPr>
            <w:tcW w:type="dxa" w:w="2494"/>
            <w:shd w:val="clear" w:fill="D9E2F3"/>
          </w:tcPr>
          <w:p>
            <w:pPr>
              <w:spacing w:after="120"/>
            </w:pPr>
            <w:r>
              <w:rPr>
                <w:b/>
                <w:color w:val="1F3864"/>
                <w:sz w:val="20"/>
              </w:rPr>
              <w:t>ROLES</w:t>
            </w:r>
          </w:p>
        </w:tc>
        <w:tc>
          <w:tcPr>
            <w:tcW w:type="dxa" w:w="7143"/>
          </w:tcPr>
          <w:p>
            <w:pPr>
              <w:spacing w:after="120"/>
            </w:pPr>
            <w:r>
              <w:rPr>
                <w:b w:val="0"/>
                <w:sz w:val="20"/>
              </w:rPr>
              <w:t>Cuatro integrantes, un rol cada uno. LECTOR DEL INFORME: extrae del relato y del cuadro qué lineamientos están caídos y con qué cifras. RESPONSABLE DE NORMA: relaciona cada brecha con el documento u órgano que la cubre y con la norma que lo exige. REDACTOR DEL PROGRAMA: arma los tres objetivos con indicador, meta y plazo. VOCERO: ordena la sustentación, abre y responde primero. Cada integrante responde ante el equipo por su parte.</w:t>
            </w:r>
          </w:p>
        </w:tc>
      </w:tr>
      <w:tr>
        <w:tc>
          <w:tcPr>
            <w:tcW w:type="dxa" w:w="2494"/>
            <w:shd w:val="clear" w:fill="D9E2F3"/>
          </w:tcPr>
          <w:p>
            <w:pPr>
              <w:spacing w:after="120"/>
            </w:pPr>
            <w:r>
              <w:rPr>
                <w:b/>
                <w:color w:val="1F3864"/>
                <w:sz w:val="20"/>
              </w:rPr>
              <w:t>TIEMPO</w:t>
            </w:r>
          </w:p>
        </w:tc>
        <w:tc>
          <w:tcPr>
            <w:tcW w:type="dxa" w:w="7143"/>
          </w:tcPr>
          <w:p>
            <w:pPr>
              <w:spacing w:after="120"/>
            </w:pPr>
            <w:r>
              <w:rPr>
                <w:b w:val="0"/>
                <w:sz w:val="20"/>
              </w:rPr>
              <w:t>2 horas de trabajo autónomo · equipos de 4 · sustentación de 8 minutos</w:t>
            </w:r>
          </w:p>
        </w:tc>
      </w:tr>
      <w:tr>
        <w:tc>
          <w:tcPr>
            <w:tcW w:type="dxa" w:w="2494"/>
            <w:shd w:val="clear" w:fill="D9E2F3"/>
          </w:tcPr>
          <w:p>
            <w:pPr>
              <w:spacing w:after="120"/>
            </w:pPr>
            <w:r>
              <w:rPr>
                <w:b/>
                <w:color w:val="1F3864"/>
                <w:sz w:val="20"/>
              </w:rPr>
              <w:t>RECURSOS</w:t>
            </w:r>
          </w:p>
        </w:tc>
        <w:tc>
          <w:tcPr>
            <w:tcW w:type="dxa" w:w="7143"/>
          </w:tcPr>
          <w:p>
            <w:pPr>
              <w:spacing w:after="120"/>
            </w:pPr>
            <w:r>
              <w:rPr>
                <w:b w:val="0"/>
                <w:sz w:val="20"/>
              </w:rPr>
              <w:t>•  Informe de evaluación del cliente con el cuadro de ocho lineamientos y su detalle</w:t>
            </w:r>
          </w:p>
          <w:p>
            <w:pPr>
              <w:spacing w:after="120"/>
            </w:pPr>
            <w:r>
              <w:rPr>
                <w:b w:val="0"/>
                <w:sz w:val="20"/>
              </w:rPr>
              <w:t>•  Relación de documentos, órganos y normas con distractores, para marcar</w:t>
            </w:r>
          </w:p>
          <w:p>
            <w:pPr>
              <w:spacing w:after="120"/>
            </w:pPr>
            <w:r>
              <w:rPr>
                <w:b w:val="0"/>
                <w:sz w:val="20"/>
              </w:rPr>
              <w:t>•  Extractos de la Ley 29783 y su reglamento</w:t>
            </w:r>
          </w:p>
          <w:p>
            <w:pPr>
              <w:spacing w:after="120"/>
            </w:pPr>
            <w:r>
              <w:rPr>
                <w:b w:val="0"/>
                <w:sz w:val="20"/>
              </w:rPr>
              <w:t>•  Extractos de la RM 050-2013-TR</w:t>
            </w:r>
          </w:p>
          <w:p>
            <w:pPr>
              <w:spacing w:after="120"/>
            </w:pPr>
            <w:r>
              <w:rPr>
                <w:b w:val="0"/>
                <w:sz w:val="20"/>
              </w:rPr>
              <w:t>•  Extractos de la ISO 9001:2015</w:t>
            </w:r>
          </w:p>
        </w:tc>
      </w:tr>
    </w:tbl>
    <w:p/>
    <w:p>
      <w:r>
        <w:rPr>
          <w:b/>
          <w:color w:val="808080"/>
          <w:sz w:val="18"/>
        </w:rPr>
        <w:t>Nota para el instructor — no se entrega al estudiante</w:t>
      </w:r>
    </w:p>
    <w:p>
      <w:pPr>
        <w:spacing w:after="100"/>
        <w:ind w:left="283"/>
      </w:pPr>
      <w:r>
        <w:rPr>
          <w:color w:val="595959"/>
          <w:sz w:val="18"/>
        </w:rPr>
        <w:t>•  Destreza: DESCRIBIR. Procesos que el relato debe permitir recorrer: percibir con claridad → seleccionar las partes esenciales → ordenar la exposición → describir con lenguaje apropiado. Si el equipo recibe los datos en viñetas se salta los tres primeros; por eso el caso va en párrafos.</w:t>
      </w:r>
    </w:p>
    <w:p>
      <w:pPr>
        <w:spacing w:after="100"/>
        <w:ind w:left="283"/>
      </w:pPr>
      <w:r>
        <w:rPr>
          <w:color w:val="595959"/>
          <w:sz w:val="18"/>
        </w:rPr>
        <w:t>•  El riesgo no está rotulado: va como anécdota en boca del jefe de operaciones —el ayudante que perdió dos dedos en la faja sin señalizar—. Si un equipo no lo recoge, el instructor no lo señala: lo pregunta.</w:t>
      </w:r>
    </w:p>
    <w:p>
      <w:pPr>
        <w:spacing w:after="100"/>
        <w:ind w:left="283"/>
      </w:pPr>
      <w:r>
        <w:rPr>
          <w:color w:val="595959"/>
          <w:sz w:val="18"/>
        </w:rPr>
        <w:t>•  La incertidumbre tampoco: es el dato del relato que contradice al informe del cliente — el informe califica las inspecciones con 67 %, el mejor de los ocho lineamientos, y el fólder que Rosa abre tiene catorce observaciones sin responsable ni fecha de cierre, varias repetidas de un mes al siguiente. El registro está; el cierre no. Es lo que pide el nivel Excelente del criterio 3.</w:t>
      </w:r>
    </w:p>
    <w:p>
      <w:pPr>
        <w:spacing w:after="100"/>
        <w:ind w:left="283"/>
      </w:pPr>
      <w:r>
        <w:rPr>
          <w:color w:val="595959"/>
          <w:sz w:val="18"/>
        </w:rPr>
        <w:t>•  La respuesta no se nombra en ninguna parte: el relato no dice «sistema integrado», ni «obligación legal frente a certificación voluntaria», ni cuáles son los documentos que sirven a más de un sistema.</w:t>
      </w:r>
    </w:p>
    <w:p>
      <w:pPr>
        <w:spacing w:after="100"/>
        <w:ind w:left="283"/>
      </w:pPr>
      <w:r>
        <w:rPr>
          <w:color w:val="595959"/>
          <w:sz w:val="18"/>
        </w:rPr>
        <w:t>•  El colaborativo NO lleva variantes: toda la clase trabaja el mismo caso, porque es la evaluación del bloque y todos deben rendir sobre lo mismo. Las variantes A y B son de los casos de sesión (§13).</w:t>
      </w:r>
    </w:p>
    <w:p>
      <w:pPr>
        <w:spacing w:after="100"/>
        <w:ind w:left="283"/>
      </w:pPr>
      <w:r>
        <w:rPr>
          <w:color w:val="595959"/>
          <w:sz w:val="18"/>
        </w:rPr>
        <w:t>•  El nivel Excelente del criterio 3 es el que separa: ver que la disyuntiva del gerente es falsa porque los documentos que faltan sirven a más de un sistema a la vez.</w:t>
      </w:r>
    </w:p>
    <w:p>
      <w:pPr>
        <w:spacing w:after="100"/>
        <w:ind w:left="283"/>
      </w:pPr>
      <w:r>
        <w:rPr>
          <w:color w:val="595959"/>
          <w:sz w:val="18"/>
        </w:rPr>
        <w:t>•  El cuadro de correspondencia se llena MARCANDO, no escribiendo: la relación (recurso 08) trae dieciséis documentos —seis sirven, diez sobran— y ocho normas. Con dos horas de presupuesto, escribirlo no cabe.</w:t>
      </w:r>
    </w:p>
    <w:p>
      <w:pPr>
        <w:spacing w:after="100"/>
        <w:ind w:left="283"/>
      </w:pPr>
      <w:r>
        <w:rPr>
          <w:color w:val="595959"/>
          <w:sz w:val="18"/>
        </w:rPr>
        <w:t>•  Las cinco brechas que califica el criterio 2 son las mismas que el anexo (recurso 07) marca en NO, y las mismas que el relato deja ver. Si se toca uno de los tres, se tocan los tres.</w:t>
      </w:r>
    </w:p>
    <w:p>
      <w:pPr>
        <w:spacing w:after="100"/>
        <w:ind w:left="283"/>
      </w:pPr>
      <w:r>
        <w:rPr>
          <w:color w:val="595959"/>
          <w:sz w:val="18"/>
        </w:rPr>
        <w:t>•  CLAVE del recurso 08 — política → documento 1 · órgano de representación → documento 2, comité paritario y NO el 3 (supervisor), porque con 78 trabajadores corresponde comité · reglamento interno → documento 4, RISST y NO el 5 (Reglamento Interno de Trabajo) · identificación de peligros y mapa → documento 6 · programa anual → documento 8. Los cinco los exigen la Ley 29783 (A) y su reglamento DS 005-2012-TR (B); por tratarse de actividad minera también alcanza el DS 024-2016-EM (C), y la RM 050-2013-TR (D) da el formato. Los otros diez documentos sobran; el más tentador es el 3.</w:t>
      </w:r>
    </w:p>
    <w:p>
      <w:pPr>
        <w:spacing w:after="100"/>
        <w:ind w:left="283"/>
      </w:pPr>
      <w:r>
        <w:rPr>
          <w:color w:val="C00000"/>
          <w:sz w:val="18"/>
        </w:rPr>
        <w:t>•  PENDIENTE — el §12 exige anclar el caso en una tesis de repositorio peruano y revelarla al cerrar la sustentación. Los datos de hoy son verosímiles pero construidos.</w:t>
      </w:r>
    </w:p>
    <w:p>
      <w:r>
        <w:rPr>
          <w:b/>
          <w:color w:val="595959"/>
          <w:sz w:val="18"/>
        </w:rPr>
        <w:t>Presupuesto de tiempo — 120 min · 4 estudiantes. Leer el relato y extraer los datos 15 · reconocer qué lineamientos están caídos, marcando 20 · por dónde empezar y por qué 20 · llenar el cuadro de correspondencia 18 · el hueco que nadie mira 12 · armar las láminas 25 · ensayar con roles 10.</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