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МОДЕЛЬ РАСЧЁТА РАСПОЛОЖЕНИЯ СПУТНИКОВ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и доступности связи в LEO-группировке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Методология, обоснование выбора модели (защита), результаты расчётов по сценариям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Схема данных: cosmo-A-1.0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Идея и постановка задачи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Задача — рассчитать геометрию LEO-группировки спутников связи (положения, межспутниковые линии ISL, видимость наземных станций) и на этой основе оценить фактическую доступность связи между клиентскими терминалами и шлюзом на заданном горизонте моделирования, с учётом поэтапного ввода группировки и отказов спутников/шлюзов.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Ключевое отличие от «просто визуализации орбит»: схема сценария декларирует целевой показатель target_availability, и задача считается решённой только тогда, когда модель фактически проверяет его выполнение для каждого клиента — а не останавливается на геометрическом снапшоте контактов.</w:t>
      </w:r>
    </w:p>
    <w:p>
      <w:pPr>
        <w:pStyle w:val="Heading2"/>
        <w:spacing w:after="120" w:before="260"/>
      </w:pPr>
      <w:r>
        <w:t xml:space="preserve">Даны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Параметры орбиты: высота 550 км, наклонение 87°, 3 плоскости × 16 спутников (Walker-подобная схема).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Временная сетка: горизонт до 86 400–172 800 с, шаг 120 с.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Ограничения линий: минимальный угол места 10°, дальность ISL 2000–3000 км (варьируется по сценариям).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Сценарии: полная группировка, первая очередь запуска (16 из 48 КА), отказ 10 аппаратов, урезанная дальность ISL.</w:t>
      </w:r>
    </w:p>
    <w:p>
      <w:pPr>
        <w:pStyle w:val="Heading2"/>
        <w:spacing w:after="120" w:before="260"/>
      </w:pPr>
      <w:r>
        <w:t xml:space="preserve">Требуется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Положения спутников на любой момент времени.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Граф контактов (ISL и земля-спутник) с учётом активности КА и отказов.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Фактическая доступность связи client → gateway, сопоставленная с target_availability.</w:t>
      </w:r>
    </w:p>
    <w:p>
      <w:pPr>
        <w:pStyle w:val="Heading1"/>
        <w:spacing w:after="160" w:before="360"/>
      </w:pPr>
      <w:r>
        <w:t xml:space="preserve">2. Обоснование выбора модели (защита)</w:t>
      </w:r>
    </w:p>
    <w:p>
      <w:pPr>
        <w:pStyle w:val="Heading2"/>
        <w:spacing w:after="120" w:before="260"/>
      </w:pPr>
      <w:r>
        <w:t xml:space="preserve">2.1. Орбитальная динамика: аналитическая круговая модель, а не численное интегрирование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Орбита круговая (эксцентриситет не задаётся, только altitude), параметры плоскостей постоянны в пределах сценария. Для кругового движения аргумент широты растёт строго линейно: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u(t) = u₀ + n·t,   n = √(μ / r³)   — среднее движение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На горизонте моделирования ≤48 часов вековой уход от возмущений (J2) для данной орбиты даёт смещение порядка долей градуса в час — это влияет на секунды-минуты длительности отдельных контактов, но не меняет топологию связности, которая и является предметом анализа. Поэтому выбрана закрытая аналитическая форма вместо численного интегратора (RK4/RK45 с J2, атмосферным торможением и т.д.).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Обоснование выбора, а не упрощение по умолчанию: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Задача — анализ дизайна группировки (топология, покрытие, отказоустойчивость), а не операционная навигация, где точность до метра критична.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Аналитическая форма полностью векторизуется (NumPy, без циклов по спутникам) — критично, так как расчёт выполняется по сетке времени × парам спутников × наземным станциям × сценариям.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повышения точности (горизонт &gt;48 ч, предпусковая валидация) модель расширяется добавлением векового дрейфа J2 без потери закрытой формы (см. раздел 6).</w:t>
      </w:r>
    </w:p>
    <w:p>
      <w:pPr>
        <w:pStyle w:val="Heading2"/>
        <w:spacing w:after="120" w:before="260"/>
      </w:pPr>
      <w:r>
        <w:t xml:space="preserve">2.2. Геометрия межспутниковых линий: тест видимости через хорду, а не просто расстояние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Наивный критерий «расстояние между спутниками меньше isl_range_km» некорректен: на LEO-орбите пара спутников может быть в пределах дальности, но линия между ними проходит сквозь Землю. В реализованной модели корректно рассчитывается точка отрезка, ближайшая к центру Земли (через проекцию с ограничением параметра λ ∈ [0, 1]), и требуется, чтобы эта точка была дальше радиуса Земли. Это устраняет ложноположительные линии связи через толщу планеты.</w:t>
      </w:r>
    </w:p>
    <w:p>
      <w:pPr>
        <w:pStyle w:val="Heading2"/>
        <w:spacing w:after="120" w:before="260"/>
      </w:pPr>
      <w:r>
        <w:t xml:space="preserve">2.3. Доступность связи: max-flow с ёмкостью канала, а не бинарная связность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Исходная реализация ограничивалась построением снапшота графа контактов на момент времени, но не отвечала на прикладной вопрос сценария — держит ли группировка целевую доступность. Добавленный модуль availability.py закрывает этот разрыв между спецификацией схемы (target_availability) и расчётным ядром.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Решения, заложенные в модель, и их обоснование: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Наземные узлы не ретранслируют трафик (физическое ограничение архитектуры сети) — при построении графа пути прочие наземные точки, кроме источника (клиент) и стока (шлюз), исключаются из графа; путь всегда имеет вид client → sat → ... → sat → gateway.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Ёмкость ребра моделируется как убывающая функция дальности (квадратичное приближение по аналогии с законом Фриза P ~ 1/d²) вместо бинарного «есть/нет» — это даёт более реалистичную метрику деградации сети вблизи предела дальности, а не резкий обрыв.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Доступность в момент t определяется через max-flow(client, gateway) &gt; 0 — корректно учитывает multi-hop маршруты через ISL-mesh, а не только прямую видимость.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Несколько шлюзов объединяются через виртуальный сток стандартным приёмом multi-sink max-flow — модель расширяется на произвольное число шлюзов без изменения алгоритма.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Итоговая availability = доля временных отсчётов горизонта, когда доступность = 1 — классическое определение SLA-аптайма, напрямую сопоставимое с target_availability из схемы сценария.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Вычислительная сложность: на каждый временной шаг решается задача max-flow на графе из ~50 узлов методом scipy.sparse.csgraph.maximum_flow (алгоритм push-relabel/Диница) — полный горизонт (720 шагов) по 3 клиентам считается за 1–1.6 секунды, что подтверждено измерением (раздел 5).</w:t>
      </w:r>
    </w:p>
    <w:p>
      <w:pPr>
        <w:pStyle w:val="Heading1"/>
        <w:spacing w:after="160" w:before="360"/>
      </w:pPr>
      <w:r>
        <w:t xml:space="preserve">3. Математическая модель</w:t>
      </w:r>
    </w:p>
    <w:p>
      <w:pPr>
        <w:pStyle w:val="Heading2"/>
        <w:spacing w:after="120" w:before="260"/>
      </w:pPr>
      <w:r>
        <w:t xml:space="preserve">3.1. Положение спутника (ECI)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u(t) = radians(slot_deg + phase_deg плоскости) + n·t
Ω = radians(raan_deg);  i = radians(inclination_deg);  r = R⊕ + H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x = r(cosΩ·cos u − sinΩ·sin u·cos i)
y = r(sinΩ·cos u + cosΩ·sin u·cos i)
z = r·sin u·sin i</w:t>
      </w:r>
    </w:p>
    <w:p>
      <w:pPr>
        <w:pStyle w:val="Heading2"/>
        <w:spacing w:after="120" w:before="260"/>
      </w:pPr>
      <w:r>
        <w:t xml:space="preserve">3.2. Вращение Земли (для перехода в Earth-fixed систему)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θ(t) = earth_angle0 + ω⊕·t,   ω⊕ = 2π / 86164.09054 с (звёздные сутки)</w:t>
      </w:r>
    </w:p>
    <w:p>
      <w:pPr>
        <w:pStyle w:val="Heading2"/>
        <w:spacing w:after="120" w:before="260"/>
      </w:pPr>
      <w:r>
        <w:t xml:space="preserve">3.3. Тест ISL-контакта (line-of-sight через хорду)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dist = |xyz_j − xyz_i|
λ = clip(−xyz_i·Δ / |Δ|², 0, 1)
closest = |xyz_i + λ·Δ|
контакт: dist &lt; isl_range_km  И  closest &gt; R⊕  И  оба КА активны</w:t>
      </w:r>
    </w:p>
    <w:p>
      <w:pPr>
        <w:pStyle w:val="Heading2"/>
        <w:spacing w:after="120" w:before="260"/>
      </w:pPr>
      <w:r>
        <w:t xml:space="preserve">3.4. Угол места и видимость наземной станции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el = arcsin( (xyz_sat − xyz_ground) · n̂_ground / |xyz_sat − xyz_ground| )
видимость: el ≥ min_elevation_deg  И  КА активен  И  шлюз не в отказе</w:t>
      </w:r>
    </w:p>
    <w:p>
      <w:pPr>
        <w:pStyle w:val="Heading2"/>
        <w:spacing w:after="120" w:before="260"/>
      </w:pPr>
      <w:r>
        <w:t xml:space="preserve">3.5. Ёмкость канала (модель деградации по дальности)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ISL:    cap(d) = round( max(0, 1 − (d / isl_range_km)²) · CAP )
Земля:  cap(el) = round( min((el − el_min)/80°, 1) · CAP ),  насыщение при запасе угла места 80°</w:t>
      </w:r>
    </w:p>
    <w:p>
      <w:pPr>
        <w:pStyle w:val="Heading2"/>
        <w:spacing w:after="120" w:before="260"/>
      </w:pPr>
      <w:r>
        <w:t xml:space="preserve">3.6. Доступность (SLA-метрика)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available(t) = [ max-flow(client → {gateway_1, ..., gateway_k}) &gt; 0 ]
availability = (Σₜ available(t)) / (число отсчётов горизонта)
SLA выполнен, если availability ≥ target_availability</w:t>
      </w:r>
    </w:p>
    <w:p>
      <w:pPr>
        <w:pStyle w:val="Heading1"/>
        <w:spacing w:after="160" w:before="360"/>
      </w:pPr>
      <w:r>
        <w:t xml:space="preserve">4. Алгоритм расчёта (availability.py)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Для каждого момента t на сетке [0, horizon_s) с шагом step_s: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Построить снапшот геометрии — positions(), snapshot() (geometry.py).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Для каждого клиентского терминала: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Построить граф max-flow: узлы — источник(клиент), активные спутники, шлюзы, виртуальный сток; рёбра — из snapshot.edges с ёмкостью по п. 3.5, прочие наземные узлы исключены.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Решить задачу максимального потока (scipy.sparse.csgraph.maximum_flow).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Зафиксировать: доступен ли клиент в момент t (flow &gt; 0) и величину потока.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Агрегировать по времени: availability = доля доступных отсчётов; сравнить с target_availability.</w:t>
      </w:r>
    </w:p>
    <w:p>
      <w:pPr>
        <w:pStyle w:val="Heading1"/>
        <w:spacing w:after="160" w:before="360"/>
      </w:pPr>
      <w:r>
        <w:t xml:space="preserve">5. Результаты по сценариям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Расчёт выполнен на полном горизонте 86 400 с (720 отсчётов по 120 с) для всех четырёх сценариев. Время расчёта — 1.2–1.6 секунды на сценарий (3 клиента × 720 шагов max-flow).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750"/>
        <w:gridCol w:w="1650"/>
        <w:gridCol w:w="1350"/>
        <w:gridCol w:w="1088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7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16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1088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 / Total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01. Полная группировка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C65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0.9667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✔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696/720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01. Полная группировка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C70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0.9875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✔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711/720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01. Полная группировка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C72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0.9889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✔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712/720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02. Первая очередь (16/48 КА)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C65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0.2722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196/720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02. Первая очередь (16/48 КА)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C70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0.1583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114/720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02. Первая очередь (16/48 КА)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C72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0.1264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91/720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03. Отказ 10 КА (с 6-го часа)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C65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0.7931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571/720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03. Отказ 10 КА (с 6-го часа)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C70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0.8083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582/720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03. Отказ 10 КА (с 6-го часа)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C72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0.8250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594/720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04. ISL-дальность 2000 км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C65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0.7750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558/720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04. ISL-дальность 2000 км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C70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0.6222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448/720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04. ISL-дальность 2000 км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C72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0.6514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✘ не выполнен</w:t>
            </w:r>
          </w:p>
        </w:tc>
        <w:tc>
          <w:tcPr>
            <w:tcW w:type="dxa" w:w="10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469/720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60"/>
      </w:pPr>
      <w:r>
        <w:t xml:space="preserve">Интерпретация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Только сценарий полной группировки (01) удовлетворяет целевой доступности для всех клиентов — подтверждает корректность проектных параметров в номинальной конфигурации.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Первая очередь запуска (02) даёт критически низкую доступность (0.13–0.27) — количественно показывает, что промежуточный этап развёртывания не самодостаточен и требует явного плана поэтапного покрытия/резервирования на время довывода группировки.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Отказ 10 КА (03) снижает доступность до 0.79–0.83 — заметная, но не катастрофическая деградация.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Сокращение дальности ISL до 2000 км (04) снижает доступность сильнее (0.62–0.78), чем потеря 20% спутников — количественно демонстрирует, что связность группировки чувствительнее к дальности лазерного канала, чем к точечным отказам узлов. Это прямой аргумент в пользу приоритизации требований к ISL-терминалам при проектировании.</w:t>
      </w:r>
    </w:p>
    <w:p>
      <w:pPr>
        <w:pStyle w:val="Heading1"/>
        <w:spacing w:after="160" w:before="360"/>
      </w:pPr>
      <w:r>
        <w:t xml:space="preserve">6. Ограничения модели и направления развития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Модель ёмкости канала (квадратичная деградация по дальности) иллюстративна и не откалибрована по реальному link budget (мощность передатчика, диаграмма направленности, атмосферные потери для земных линий) — для предпусковой валидации требует замены на измеренную/расчётную характеристику аппаратуры.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Возмущения орбиты (J2, атмосферное торможение на 550 км) не учтены — приемлемо для горизонта ≤48 ч и анализа топологии, но требует расширения для горизонтов от нескольких суток и операционного использования.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Оценка точечная (один заданный набор отказов на сценарий), а не вероятностная — для инженерной оценки риска целесообразен переход к Monte Carlo перебору случайных комбинаций отказов и построению распределения availability, а не единственного значения.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Единственный шлюз в текущих сценариях — модель уже поддерживает multi-gateway (виртуальный сток), но не оценивает количественно чувствительность сети к отказу конкретно этого шлюза (single point of failure) — целесообразно добавить как отдельную метрику.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При кратном росте числа спутников (сотни–тысячи) потребуется замена полного перебора пар (O(N²)) на пространственный индекс (k-d дерево / grid) и перенос горячего пути расчёта в компилируемый код (Numba/Rust) — направление обосновано отдельно и не входит в объём текущей реализации.</w:t>
      </w:r>
    </w:p>
    <w:p>
      <w:pPr>
        <w:pStyle w:val="Heading1"/>
        <w:spacing w:after="160" w:before="360"/>
      </w:pPr>
      <w:r>
        <w:t xml:space="preserve">7. Использованные и созданные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238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geometry.py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исходный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Загрузка/валидация сценария, положения спутников (ECI/Earth-fixed), снапшот графа контактов (ISL, видимость наземных станций).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availability.py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создан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Расчёт фактической доступности client → gateway через max-flow по ISL-mesh с ёмкостью каналов, сопоставление с target_availability.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01_full_constellation.json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исходный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Сценарий: полная группировка, 48 КА, без отказов.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02_first_launch.json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исходный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Сценарий: первая очередь запуска (launch_stage=1, 16 из 48 КА активны).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03_satellite_outages.json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исходный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Сценарий: отказ 10 аппаратов с 6-го часа горизонта.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04_link_range.json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исходный</w:t>
            </w:r>
          </w:p>
        </w:tc>
        <w:tc>
          <w:tcPr>
            <w:tcW w:type="dxa" w:w="52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Сценарий: дальность ISL сокращена до 2000 км (базово 3000 км).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Модель расчёта расположения спутников и доступности связи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8" w:sz="6"/>
      </w:pBdr>
      <w:spacing w:after="160" w:before="36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2026-09-11T09:27:26.238Z</dcterms:created>
  <dcterms:modified xsi:type="dcterms:W3CDTF">2026-09-11T09:27:26.249Z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