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40" w:after="330"/>
        <w:jc w:val="center"/>
        <w:rPr>
          <w:lang w:val="en-US" w:eastAsia="zh-CN"/>
        </w:rPr>
      </w:pPr>
      <w:r>
        <w:rPr>
          <w:lang w:val="en-US" w:eastAsia="zh-CN"/>
        </w:rPr>
        <w:t>一种共享记忆的深度自适应大语言模型及其训练方法</w:t>
      </w:r>
    </w:p>
    <w:p>
      <w:pPr>
        <w:pStyle w:val="Heading1"/>
        <w:jc w:val="center"/>
        <w:rPr/>
      </w:pPr>
      <w:r>
        <w:rPr/>
        <w:t>专利技术交底书</w:t>
      </w:r>
    </w:p>
    <w:p>
      <w:pPr>
        <w:pStyle w:val="Normal"/>
        <w:ind w:firstLine="840"/>
        <w:rPr>
          <w:rFonts w:ascii="宋体" w:hAnsi="宋体" w:cs="宋体"/>
          <w:sz w:val="28"/>
          <w:szCs w:val="28"/>
        </w:rPr>
      </w:pPr>
      <w:r>
        <w:rPr>
          <w:rFonts w:cs="宋体" w:ascii="宋体" w:hAnsi="宋体"/>
          <w:sz w:val="28"/>
          <w:szCs w:val="28"/>
        </w:rPr>
      </w:r>
    </w:p>
    <w:p>
      <w:pPr>
        <w:pStyle w:val="Normal"/>
        <w:rPr>
          <w:rFonts w:ascii="宋体" w:hAnsi="宋体" w:cs="宋体"/>
          <w:sz w:val="28"/>
          <w:szCs w:val="28"/>
        </w:rPr>
      </w:pPr>
      <w:r>
        <w:rPr>
          <w:rFonts w:cs="宋体" w:ascii="宋体" w:hAnsi="宋体"/>
          <w:sz w:val="28"/>
          <w:szCs w:val="28"/>
        </w:rPr>
      </w:r>
    </w:p>
    <w:tbl>
      <w:tblPr>
        <w:tblStyle w:val="9"/>
        <w:tblW w:w="1008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5880"/>
      </w:tblGrid>
      <w:tr>
        <w:trPr>
          <w:trHeight w:val="907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专利发明人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冯长柱</w:t>
            </w:r>
          </w:p>
        </w:tc>
      </w:tr>
      <w:tr>
        <w:trPr>
          <w:trHeight w:val="851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技术交底书撰写人</w:t>
            </w:r>
          </w:p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  <w:t>(</w:t>
            </w: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联系方式：电话及邮箱</w:t>
            </w: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  <w:t>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冯长柱</w:t>
            </w:r>
          </w:p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2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</w:rPr>
              <w:t>发明创造类型（发明或实用新型）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widowControl w:val="false"/>
              <w:tabs>
                <w:tab w:val="clear" w:pos="420"/>
                <w:tab w:val="left" w:pos="1712" w:leader="none"/>
              </w:tabs>
              <w:spacing w:lineRule="auto" w:line="360"/>
              <w:jc w:val="center"/>
              <w:rPr>
                <w:rFonts w:ascii="宋体" w:hAnsi="宋体" w:cs="宋体"/>
                <w:b/>
                <w:b/>
                <w:kern w:val="2"/>
                <w:sz w:val="28"/>
                <w:szCs w:val="28"/>
              </w:rPr>
            </w:pPr>
            <w:r>
              <w:rPr>
                <w:rFonts w:ascii="宋体" w:hAnsi="宋体" w:cs="宋体"/>
                <w:b/>
                <w:kern w:val="2"/>
                <w:sz w:val="28"/>
                <w:szCs w:val="28"/>
                <w:lang w:val="en-US" w:eastAsia="zh-CN"/>
              </w:rPr>
              <w:t>发明</w:t>
            </w:r>
          </w:p>
        </w:tc>
      </w:tr>
    </w:tbl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技术交底书是专利申请的重要依据，请在技术交底书中完整地对技术方案进行说明。请认真填写如下内容：</w:t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spacing w:lineRule="exact" w:line="42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注：即申请技术的通用名称，不得使用商标、型号、人名、地名，不得超过</w:t>
      </w:r>
      <w:r>
        <w:rPr>
          <w:rFonts w:cs="宋体" w:ascii="宋体" w:hAnsi="宋体"/>
          <w:b/>
          <w:sz w:val="28"/>
          <w:szCs w:val="28"/>
        </w:rPr>
        <w:t>25</w:t>
      </w:r>
      <w:r>
        <w:rPr>
          <w:rFonts w:ascii="宋体" w:hAnsi="宋体" w:cs="宋体"/>
          <w:b/>
          <w:sz w:val="28"/>
          <w:szCs w:val="28"/>
        </w:rPr>
        <w:t>字。</w:t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ascii="宋体" w:hAnsi="宋体" w:cs="宋体"/>
          <w:b/>
          <w:sz w:val="28"/>
          <w:szCs w:val="28"/>
        </w:rPr>
        <w:t>名称</w:t>
      </w:r>
      <w:r>
        <w:rPr>
          <w:rFonts w:ascii="宋体" w:hAnsi="宋体" w:cs="宋体"/>
          <w:b/>
          <w:kern w:val="2"/>
          <w:sz w:val="28"/>
          <w:szCs w:val="28"/>
          <w:u w:val="single"/>
          <w:lang w:val="en-US" w:eastAsia="zh-CN"/>
        </w:rPr>
        <w:t>一种共享记忆的深度自适应大语言模型及其训练方法</w:t>
      </w:r>
    </w:p>
    <w:p>
      <w:pPr>
        <w:pStyle w:val="Normal"/>
        <w:tabs>
          <w:tab w:val="clear" w:pos="420"/>
          <w:tab w:val="left" w:pos="9302" w:leader="none"/>
        </w:tabs>
        <w:spacing w:lineRule="exact" w:line="42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  <w:t xml:space="preserve">     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9302" w:leader="none"/>
        </w:tabs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所属技术领域</w:t>
      </w:r>
      <w:r>
        <w:rPr>
          <w:rFonts w:ascii="宋体" w:hAnsi="宋体" w:cs="宋体"/>
          <w:b/>
          <w:sz w:val="28"/>
          <w:szCs w:val="28"/>
          <w:u w:val="single"/>
        </w:rPr>
        <w:t xml:space="preserve"> 大语言模型的参数共享、</w:t>
      </w:r>
      <w:r>
        <w:rPr>
          <w:rFonts w:ascii="宋体" w:hAnsi="宋体" w:cs="宋体"/>
          <w:b/>
          <w:sz w:val="28"/>
          <w:szCs w:val="28"/>
          <w:u w:val="single"/>
        </w:rPr>
        <w:t>循环</w:t>
      </w:r>
      <w:r>
        <w:rPr>
          <w:rFonts w:ascii="宋体" w:hAnsi="宋体" w:cs="宋体"/>
          <w:b/>
          <w:sz w:val="28"/>
          <w:szCs w:val="28"/>
          <w:u w:val="single"/>
        </w:rPr>
        <w:t>次数选择及训练方法。</w:t>
      </w:r>
    </w:p>
    <w:p>
      <w:pPr>
        <w:pStyle w:val="Normal"/>
        <w:spacing w:lineRule="exact" w:line="420"/>
        <w:ind w:firstLine="211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注：指申请技术所属或直接应用的技术领域。如“试电笔”指示电压存在的试电装置领域。</w:t>
      </w:r>
    </w:p>
    <w:p>
      <w:pPr>
        <w:pStyle w:val="Normal"/>
        <w:spacing w:lineRule="exact" w:line="600"/>
        <w:ind w:firstLine="281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sz w:val="28"/>
          <w:szCs w:val="28"/>
        </w:rPr>
        <w:t>背景技术 语言模型提前停止计算、按需选择专家模块、共享参数和低秩输出修正已有公开基础，如</w:t>
      </w:r>
      <w:r>
        <w:rPr>
          <w:rFonts w:cs="宋体" w:ascii="宋体" w:hAnsi="宋体"/>
          <w:b/>
          <w:sz w:val="28"/>
          <w:szCs w:val="28"/>
        </w:rPr>
        <w:t>US2019/0266236A1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US2022/0157045A1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US2020/0279150A1</w:t>
      </w:r>
      <w:r>
        <w:rPr>
          <w:rFonts w:ascii="宋体" w:hAnsi="宋体" w:cs="宋体"/>
          <w:b/>
          <w:sz w:val="28"/>
          <w:szCs w:val="28"/>
        </w:rPr>
        <w:t>及</w:t>
      </w:r>
      <w:r>
        <w:rPr>
          <w:rFonts w:cs="宋体" w:ascii="宋体" w:hAnsi="宋体"/>
          <w:b/>
          <w:sz w:val="28"/>
          <w:szCs w:val="28"/>
        </w:rPr>
        <w:t>Mobius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MoEUT</w:t>
      </w:r>
      <w:r>
        <w:rPr>
          <w:rFonts w:ascii="宋体" w:hAnsi="宋体" w:cs="宋体"/>
          <w:b/>
          <w:sz w:val="28"/>
          <w:szCs w:val="28"/>
        </w:rPr>
        <w:t>等文献。本方案重点是四类共享参数库的连接方式，以及“先选循环次数，再交替训练输出修正和主体模型”的组合。检索依据见《检索与代码核验记录</w:t>
      </w:r>
      <w:r>
        <w:rPr>
          <w:rFonts w:cs="宋体" w:ascii="宋体" w:hAnsi="宋体"/>
          <w:b/>
          <w:sz w:val="28"/>
          <w:szCs w:val="28"/>
        </w:rPr>
        <w:t>_1.5</w:t>
      </w:r>
      <w:r>
        <w:rPr>
          <w:rFonts w:ascii="宋体" w:hAnsi="宋体" w:cs="宋体"/>
          <w:b/>
          <w:sz w:val="28"/>
          <w:szCs w:val="28"/>
        </w:rPr>
        <w:t>》。</w:t>
      </w:r>
    </w:p>
    <w:p>
      <w:pPr>
        <w:pStyle w:val="Normal"/>
        <w:spacing w:lineRule="exact" w:line="420"/>
        <w:ind w:left="720" w:hanging="0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注：该背景技术是指与该申请技术最接近的现有技术（可以是现有的专利或者文献）</w:t>
      </w:r>
      <w:r>
        <w:rPr>
          <w:rFonts w:cs="宋体" w:ascii="宋体" w:hAnsi="宋体"/>
          <w:b/>
          <w:color w:val="595959"/>
          <w:szCs w:val="21"/>
        </w:rPr>
        <w:t>/</w:t>
      </w:r>
      <w:r>
        <w:rPr>
          <w:rFonts w:ascii="宋体" w:hAnsi="宋体" w:cs="宋体"/>
          <w:b/>
          <w:color w:val="595959"/>
          <w:szCs w:val="21"/>
        </w:rPr>
        <w:t>或者现有产品，或者该申请技术是基于何种现有技术而研发的。</w:t>
      </w:r>
    </w:p>
    <w:p>
      <w:pPr>
        <w:pStyle w:val="Normal"/>
        <w:spacing w:lineRule="exact" w:line="420"/>
        <w:ind w:left="720" w:hanging="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cs="宋体" w:ascii="宋体" w:hAnsi="宋体"/>
          <w:b/>
          <w:sz w:val="28"/>
          <w:szCs w:val="28"/>
          <w:u w:val="single"/>
        </w:rPr>
      </w:r>
    </w:p>
    <w:p>
      <w:pPr>
        <w:pStyle w:val="Normal"/>
        <w:numPr>
          <w:ilvl w:val="0"/>
          <w:numId w:val="2"/>
        </w:numPr>
        <w:spacing w:lineRule="exact" w:line="420"/>
        <w:jc w:val="left"/>
        <w:rPr>
          <w:rFonts w:ascii="宋体" w:hAnsi="宋体" w:cs="宋体"/>
          <w:b/>
          <w:b/>
          <w:sz w:val="28"/>
          <w:szCs w:val="28"/>
          <w:u w:val="single"/>
          <w:lang w:val="en-US"/>
        </w:rPr>
      </w:pPr>
      <w:r>
        <w:rPr>
          <w:rFonts w:ascii="宋体" w:hAnsi="宋体" w:cs="宋体"/>
          <w:b/>
          <w:sz w:val="28"/>
          <w:szCs w:val="28"/>
        </w:rPr>
        <w:t>本发明解决的技术问题：让多轮循环使用同一套参数，同时允许每轮选择不同参数块；为每个输入选择循环次数，并让模型在所选次数下学会预测下一个</w:t>
      </w:r>
      <w:r>
        <w:rPr>
          <w:rFonts w:cs="宋体" w:ascii="宋体" w:hAnsi="宋体"/>
          <w:b/>
          <w:sz w:val="28"/>
          <w:szCs w:val="28"/>
        </w:rPr>
        <w:t>token</w:t>
      </w:r>
      <w:r>
        <w:rPr>
          <w:rFonts w:ascii="宋体" w:hAnsi="宋体" w:cs="宋体"/>
          <w:b/>
          <w:sz w:val="28"/>
          <w:szCs w:val="28"/>
        </w:rPr>
        <w:t>。</w:t>
      </w:r>
      <w:r>
        <w:rPr>
          <w:rFonts w:cs="宋体" w:ascii="宋体" w:hAnsi="宋体"/>
          <w:b/>
          <w:sz w:val="28"/>
          <w:szCs w:val="28"/>
        </w:rPr>
        <w:t>token</w:t>
      </w:r>
      <w:r>
        <w:rPr>
          <w:rFonts w:ascii="宋体" w:hAnsi="宋体" w:cs="宋体"/>
          <w:b/>
          <w:sz w:val="28"/>
          <w:szCs w:val="28"/>
        </w:rPr>
        <w:t>是模型处理文本的基本单位，可以对应一个字、一个词或它们的一部分。</w:t>
      </w:r>
    </w:p>
    <w:p>
      <w:pPr>
        <w:pStyle w:val="Normal"/>
        <w:numPr>
          <w:ilvl w:val="0"/>
          <w:numId w:val="2"/>
        </w:numPr>
        <w:spacing w:lineRule="exact" w:line="420"/>
        <w:rPr>
          <w:rFonts w:ascii="宋体" w:hAnsi="宋体" w:cs="宋体"/>
          <w:b/>
          <w:b/>
          <w:sz w:val="28"/>
          <w:szCs w:val="28"/>
          <w:u w:val="single"/>
        </w:rPr>
      </w:pPr>
      <w:r>
        <w:rPr>
          <w:rFonts w:ascii="宋体" w:hAnsi="宋体" w:cs="宋体"/>
          <w:b/>
          <w:sz w:val="28"/>
          <w:szCs w:val="28"/>
        </w:rPr>
        <w:t>具体实施方式（应该结合图形详细阐述该技术方案）：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1.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模型结构（图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）。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本先转成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，再转成内部数字向量。模型最多循环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轮，每轮更新这些向量。“深度”就是已循环的轮数。各轮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共用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四类参数库，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但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各自有独立的选择器和两层归一化模块；归一化用于调整向量的数值尺度。“共享记忆”指可学习的参数矩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阵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，不是保存聊天记录。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2.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共享参数。四类库用于前馈处理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、查询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、键和值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、注意力输出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，每库有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个可选块。注意力让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结合前文信息：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用于匹配，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提供被组合的内容，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处理组合结果；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进一步加工向量。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块内门、升维、降维三矩阵配套；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块内键、值矩阵配套。各轮使用同一套库参数。当前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L=N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，每类选择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1≤k≤N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，可选任意候选块。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3.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一轮怎样计算。先归一化输入，再由该轮选择器为每个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分别选择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块，选取得分最高的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块，用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softmax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把所选得分转成总和为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的合并权重。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先各自计算并加权合并，再计算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间的注意力；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使用同一组块号和权重。随后用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块处理注意力结果，加回输入；再归一化，用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块处理并再次相加。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O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沿用本轮开始时的选择，不重新选块。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4.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块内配对。选中的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FFN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块先完成“门投影经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SiLU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激活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升维投影→降维”，再按权重合并各块结果；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表示逐元素相乘。这样三矩阵始终属于同一块。执行时按块收集需要处理的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，计算后把结果放回原位置，避免为每个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复制矩阵。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训练流程（图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2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左）。每小批数据依次执行：跑完全部轮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数并保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存结果→为每个样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本选轮数→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阶段训练输出修正→按原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选轮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→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训练主体模型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主体模型包括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嵌入、共享库、各轮模块、最终归一化和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共享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输出头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W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；“读出”是把内部向量变成下一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得分的模块。当前联合训练要求梯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度累积次数为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，可从随机参数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、已有权重或检查点开始。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先选轮数。采集时跑完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轮，但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不记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录用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于计算主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体参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数梯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度的中间过程；保存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各轮最后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位置的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归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一化向量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h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、原输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出头得分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Wh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及相邻轮变化量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，供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复用。根据真实下一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计算各轮评分，分别给每个样本选择评分最低的轮数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，同分选较浅者。候选从硬下限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d_h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开始；软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阈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值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d_s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只用于惩罚过浅循环，两者分设。本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更新后不重选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轮数。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7.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各轮共用输出头，再加独立修正。得分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z_t=s_t(Wh_t+B_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tA_th_t+c_t)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，经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softmax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转成概率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q_t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先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把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向量压缩到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r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再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把它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变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成词表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修正；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调整各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得分，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s_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调整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整体尺度。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初值为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初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值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因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此初始结果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等于原输出头。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阶段只训练修正；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阶段固定修正但让误差穿过它，训练含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W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的主体模型。选轮数、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监督和提前退出都使用同一读出。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8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评分越低越好。六项依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次衡量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预测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错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误、不够自信、前两候选过近、状态变化、循环轮数及循环过浅：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C1=e/(lnV+e)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2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=1−p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C3=1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−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4=δ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/τ_d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C5=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t/L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6=m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ax(0,(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s−t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)/L)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e=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−lnq_t(y)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y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为真实下一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为词表大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小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p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最高概率，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前两名概率差。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为相邻轮归一化向量差的长度除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以当前向量长度，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再对有效文本位置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平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均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分母至少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10⁻⁶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；采集首轮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δ=0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τ_d&gt;0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C4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可大于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9.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 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阶段怎样训练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。六项评分按固定权重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π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相加，得到ℓ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_t,i=Σ_jπ_jC_j,t,i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π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非负且和为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。在候选轮数上计算选择概率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ρ_t,i=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softmax_t(−ℓ_t,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i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/T)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T&gt;0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固定。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损失为“所选评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分的样本平均＋所选轮数的负对数概率平均＋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β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选择熵平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均”。前一项降低所选轮数的评分，后两项让选择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更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集中；已选轮数作为固定目标。选择熵衡量各轮选择概率是否分散，其值为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−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Σ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_tρ_t,i lnρ_t,i/l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nM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为候选数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M=1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时取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β≥0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10. 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阶段怎样训练。按原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分组，每组重新计算前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d_i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轮，使用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A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更新后的对应读出预测全序列。输入为窗口除末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，标签为窗口除首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；例如输入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[A,B,C]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对应标签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[B,C,D]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，每个位置都预测下一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，末位也参与，不再移位。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B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损失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=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有效标签的平均预测误差（交叉熵）＋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λ×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路由均衡项。均衡项用于减少参数块使用过于集中，先按各组已执行轮数平均，再按组样本占比加权，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λ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为预设权重。固定读出修正，更新主体模型；该组未执行轮数不参与计算。</w:t>
      </w:r>
    </w:p>
    <w:p>
      <w:pPr>
        <w:pStyle w:val="Normal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11.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使用时怎样提前停止（图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2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右）。每个样本单独计算。没有真实答案，评分不使用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，其余权重不变；退出下限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d_p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取配置值与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的较小值，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C6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改用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d_p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。到下限后保存当前最好评分、轮数和全序列状态。评分严格降低就更新；首次不降低（含同分）就停止，用保存轮数的读出输出；一直降低则用第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轮。首轮略去状态变化项。实际循环轮数可能比输出所用轮数多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，且不保证找到全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轮的最低评分。每生成一个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token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重新计算当前序列，不使用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缓存；关闭提前退出则跑满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轮并用原输出头。</w:t>
      </w:r>
    </w:p>
    <w:p>
      <w:pPr>
        <w:pStyle w:val="Normal"/>
        <w:numPr>
          <w:ilvl w:val="0"/>
          <w:numId w:val="0"/>
        </w:numPr>
        <w:spacing w:lineRule="auto" w:line="240"/>
        <w:ind w:left="720" w:hanging="0"/>
        <w:jc w:val="left"/>
        <w:rPr/>
      </w:pP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 xml:space="preserve">12. 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实施参数。默认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L=N=24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、每类选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k=3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块；词表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151665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，隐藏维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1536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，前馈维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4096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，注意力头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KV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头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8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，输出修正秩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r=16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。主体约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10.92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亿参数，修正约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6247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万参数。联合训练默认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d_h=2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d_s=3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τ_d=0.05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T=0.25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、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β=0.05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π=(0.65,0.05,0.05,0.05,0.15,0.05)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λ=0.01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。当前推理入口的默认退出下限为</w:t>
      </w:r>
      <w:r>
        <w:rPr>
          <w:rFonts w:eastAsia="宋体" w:cs="宋体" w:ascii="宋体" w:hAnsi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8</w:t>
      </w:r>
      <w:r>
        <w:rPr>
          <w:rFonts w:ascii="宋体" w:hAnsi="宋体" w:cs="宋体"/>
          <w:b/>
          <w:color w:val="auto"/>
          <w:kern w:val="2"/>
          <w:sz w:val="28"/>
          <w:szCs w:val="28"/>
          <w:u w:val="single"/>
          <w:lang w:val="en-US" w:eastAsia="zh-CN" w:bidi="ar-SA"/>
        </w:rPr>
        <w:t>，未自动采用训练下限；这些数值用于实施，不单独作为创新。</w:t>
      </w:r>
    </w:p>
    <w:p>
      <w:pPr>
        <w:pStyle w:val="Normal"/>
        <w:spacing w:lineRule="auto" w:line="240"/>
        <w:ind w:hanging="0"/>
        <w:jc w:val="left"/>
        <w:rPr>
          <w:rFonts w:ascii="apple-system;SF UI Text;Arial;PingFang SC;Hiragino Sans GB;Microsoft YaHei;WenQuanYi Micro Hei;sans-serif;SimHei;SimSun" w:hAnsi="apple-system;SF UI Text;Arial;PingFang SC;Hiragino Sans GB;Microsoft YaHei;WenQuanYi Micro Hei;sans-serif;SimHei;SimSun" w:eastAsia="宋体" w:cs="宋体"/>
          <w:b/>
          <w:b/>
          <w:i w:val="false"/>
          <w:i w:val="false"/>
          <w:caps w:val="false"/>
          <w:smallCaps w:val="false"/>
          <w:color w:val="4D4D4D"/>
          <w:spacing w:val="0"/>
          <w:kern w:val="2"/>
          <w:sz w:val="20"/>
          <w:szCs w:val="28"/>
          <w:u w:val="single"/>
          <w:lang w:val="en-US" w:eastAsia="zh-CN" w:bidi="ar-SA"/>
        </w:rPr>
      </w:pPr>
      <w:r>
        <w:rPr>
          <w:rFonts w:eastAsia="宋体" w:cs="宋体" w:ascii="apple-system;SF UI Text;Arial;PingFang SC;Hiragino Sans GB;Microsoft YaHei;WenQuanYi Micro Hei;sans-serif;SimHei;SimSun" w:hAnsi="apple-system;SF UI Text;Arial;PingFang SC;Hiragino Sans GB;Microsoft YaHei;WenQuanYi Micro Hei;sans-serif;SimHei;SimSun"/>
          <w:b/>
          <w:i w:val="false"/>
          <w:caps w:val="false"/>
          <w:smallCaps w:val="false"/>
          <w:color w:val="4D4D4D"/>
          <w:spacing w:val="0"/>
          <w:kern w:val="2"/>
          <w:sz w:val="20"/>
          <w:szCs w:val="28"/>
          <w:u w:val="single"/>
          <w:lang w:val="en-US" w:eastAsia="zh-CN" w:bidi="ar-SA"/>
        </w:rPr>
      </w:r>
    </w:p>
    <w:p>
      <w:pPr>
        <w:pStyle w:val="Normal"/>
        <w:spacing w:lineRule="auto" w:line="240"/>
        <w:ind w:hanging="0"/>
        <w:jc w:val="left"/>
        <w:rPr>
          <w:u w:val="double"/>
        </w:rPr>
      </w:pPr>
      <w:r>
        <w:rPr>
          <w:u w:val="double"/>
        </w:rPr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有益效果 多轮直接复用同一套库参数，各轮仍可选择不同块；</w:t>
      </w:r>
      <w:r>
        <w:rPr>
          <w:rFonts w:cs="宋体" w:ascii="宋体" w:hAnsi="宋体"/>
          <w:b/>
          <w:sz w:val="28"/>
          <w:szCs w:val="28"/>
        </w:rPr>
        <w:t>KV</w:t>
      </w:r>
      <w:r>
        <w:rPr>
          <w:rFonts w:ascii="宋体" w:hAnsi="宋体" w:cs="宋体"/>
          <w:b/>
          <w:sz w:val="28"/>
          <w:szCs w:val="28"/>
        </w:rPr>
        <w:t>和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块内配对保持计算关系一致。训练先保存全部轮数的结果，再只对各组选定的前几轮建立主体模型的反向计算过程，使主体适应所选轮数。使用时每个样本可省去停止后的循环；训练仍要采集全部轮数，提前退出也有评分和探测开销。</w:t>
      </w:r>
    </w:p>
    <w:p>
      <w:pPr>
        <w:pStyle w:val="Normal"/>
        <w:spacing w:lineRule="exact" w:line="420"/>
        <w:jc w:val="left"/>
        <w:rPr>
          <w:rFonts w:ascii="宋体" w:hAnsi="宋体" w:cs="宋体"/>
          <w:b/>
          <w:b/>
          <w:color w:val="595959"/>
          <w:szCs w:val="21"/>
        </w:rPr>
      </w:pPr>
      <w:r>
        <w:rPr>
          <w:rFonts w:ascii="宋体" w:hAnsi="宋体" w:cs="宋体"/>
          <w:b/>
          <w:color w:val="595959"/>
          <w:szCs w:val="21"/>
        </w:rPr>
        <w:t>注：请清楚地写明本申请与现有技术相比所具有的有益效果。</w:t>
      </w:r>
    </w:p>
    <w:p>
      <w:pPr>
        <w:pStyle w:val="Normal"/>
        <w:spacing w:lineRule="exact" w:line="420"/>
        <w:jc w:val="left"/>
        <w:rPr>
          <w:rFonts w:ascii="宋体" w:hAnsi="宋体" w:cs="宋体"/>
          <w:b/>
          <w:b/>
          <w:sz w:val="28"/>
          <w:szCs w:val="28"/>
        </w:rPr>
      </w:pPr>
      <w:r>
        <w:rPr>
          <w:rFonts w:cs="宋体" w:ascii="宋体" w:hAnsi="宋体"/>
          <w:b/>
          <w:sz w:val="28"/>
          <w:szCs w:val="28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 xml:space="preserve">七、本发明的关键点和欲保护点是什么？（专利公司代写） 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关键点与欲保护点：以下连接与训练步骤作为组合描述，常规做法不单独主张。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1. </w:t>
      </w:r>
      <w:r>
        <w:rPr>
          <w:rFonts w:ascii="宋体" w:hAnsi="宋体" w:cs="宋体"/>
          <w:b/>
          <w:sz w:val="28"/>
          <w:szCs w:val="28"/>
        </w:rPr>
        <w:t>四类库一起共享：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Q</w:t>
      </w:r>
      <w:r>
        <w:rPr>
          <w:rFonts w:ascii="宋体" w:hAnsi="宋体" w:cs="宋体"/>
          <w:b/>
          <w:sz w:val="28"/>
          <w:szCs w:val="28"/>
        </w:rPr>
        <w:t>、配对</w:t>
      </w:r>
      <w:r>
        <w:rPr>
          <w:rFonts w:cs="宋体" w:ascii="宋体" w:hAnsi="宋体"/>
          <w:b/>
          <w:sz w:val="28"/>
          <w:szCs w:val="28"/>
        </w:rPr>
        <w:t>KV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O</w:t>
      </w:r>
      <w:r>
        <w:rPr>
          <w:rFonts w:ascii="宋体" w:hAnsi="宋体" w:cs="宋体"/>
          <w:b/>
          <w:sz w:val="28"/>
          <w:szCs w:val="28"/>
        </w:rPr>
        <w:t>跨轮共用；每轮有独立的四分支选择器，在注意力前同一状态上一次选块，并在本轮沿用。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2. </w:t>
      </w:r>
      <w:r>
        <w:rPr>
          <w:rFonts w:ascii="宋体" w:hAnsi="宋体" w:cs="宋体"/>
          <w:b/>
          <w:sz w:val="28"/>
          <w:szCs w:val="28"/>
        </w:rPr>
        <w:t>选择与计算的连接：</w:t>
      </w:r>
      <w:r>
        <w:rPr>
          <w:rFonts w:cs="宋体" w:ascii="宋体" w:hAnsi="宋体"/>
          <w:b/>
          <w:sz w:val="28"/>
          <w:szCs w:val="28"/>
        </w:rPr>
        <w:t>Q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V</w:t>
      </w:r>
      <w:r>
        <w:rPr>
          <w:rFonts w:ascii="宋体" w:hAnsi="宋体" w:cs="宋体"/>
          <w:b/>
          <w:sz w:val="28"/>
          <w:szCs w:val="28"/>
        </w:rPr>
        <w:t>先各自合并选块输出，再计算注意力；</w:t>
      </w:r>
      <w:r>
        <w:rPr>
          <w:rFonts w:cs="宋体" w:ascii="宋体" w:hAnsi="宋体"/>
          <w:b/>
          <w:sz w:val="28"/>
          <w:szCs w:val="28"/>
        </w:rPr>
        <w:t>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V</w:t>
      </w:r>
      <w:r>
        <w:rPr>
          <w:rFonts w:ascii="宋体" w:hAnsi="宋体" w:cs="宋体"/>
          <w:b/>
          <w:sz w:val="28"/>
          <w:szCs w:val="28"/>
        </w:rPr>
        <w:t>共用选择；</w:t>
      </w:r>
      <w:r>
        <w:rPr>
          <w:rFonts w:cs="宋体" w:ascii="宋体" w:hAnsi="宋体"/>
          <w:b/>
          <w:sz w:val="28"/>
          <w:szCs w:val="28"/>
        </w:rPr>
        <w:t>O</w:t>
      </w:r>
      <w:r>
        <w:rPr>
          <w:rFonts w:ascii="宋体" w:hAnsi="宋体" w:cs="宋体"/>
          <w:b/>
          <w:sz w:val="28"/>
          <w:szCs w:val="28"/>
        </w:rPr>
        <w:t>和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处理不同阶段的状态但不重选，</w:t>
      </w:r>
      <w:r>
        <w:rPr>
          <w:rFonts w:cs="宋体" w:ascii="宋体" w:hAnsi="宋体"/>
          <w:b/>
          <w:sz w:val="28"/>
          <w:szCs w:val="28"/>
        </w:rPr>
        <w:t>FFN</w:t>
      </w:r>
      <w:r>
        <w:rPr>
          <w:rFonts w:ascii="宋体" w:hAnsi="宋体" w:cs="宋体"/>
          <w:b/>
          <w:sz w:val="28"/>
          <w:szCs w:val="28"/>
        </w:rPr>
        <w:t>完成同块三矩阵路径后才合并。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3. </w:t>
      </w:r>
      <w:r>
        <w:rPr>
          <w:rFonts w:ascii="宋体" w:hAnsi="宋体" w:cs="宋体"/>
          <w:b/>
          <w:sz w:val="28"/>
          <w:szCs w:val="28"/>
        </w:rPr>
        <w:t>训练顺序：无梯度保存全部轮数的末位状态和原头得分→更新前逐样本选轮数→</w:t>
      </w:r>
      <w:r>
        <w:rPr>
          <w:rFonts w:cs="宋体" w:ascii="宋体" w:hAnsi="宋体"/>
          <w:b/>
          <w:sz w:val="28"/>
          <w:szCs w:val="28"/>
        </w:rPr>
        <w:t>A</w:t>
      </w:r>
      <w:r>
        <w:rPr>
          <w:rFonts w:ascii="宋体" w:hAnsi="宋体" w:cs="宋体"/>
          <w:b/>
          <w:sz w:val="28"/>
          <w:szCs w:val="28"/>
        </w:rPr>
        <w:t>只训练读出修正→按原选择分组重算→</w:t>
      </w:r>
      <w:r>
        <w:rPr>
          <w:rFonts w:cs="宋体" w:ascii="宋体" w:hAnsi="宋体"/>
          <w:b/>
          <w:sz w:val="28"/>
          <w:szCs w:val="28"/>
        </w:rPr>
        <w:t>B</w:t>
      </w:r>
      <w:r>
        <w:rPr>
          <w:rFonts w:ascii="宋体" w:hAnsi="宋体" w:cs="宋体"/>
          <w:b/>
          <w:sz w:val="28"/>
          <w:szCs w:val="28"/>
        </w:rPr>
        <w:t>固定修正、训练主体模型。本轮选择贯穿</w:t>
      </w:r>
      <w:r>
        <w:rPr>
          <w:rFonts w:cs="宋体" w:ascii="宋体" w:hAnsi="宋体"/>
          <w:b/>
          <w:sz w:val="28"/>
          <w:szCs w:val="28"/>
        </w:rPr>
        <w:t>A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B</w:t>
      </w:r>
      <w:r>
        <w:rPr>
          <w:rFonts w:ascii="宋体" w:hAnsi="宋体" w:cs="宋体"/>
          <w:b/>
          <w:sz w:val="28"/>
          <w:szCs w:val="28"/>
        </w:rPr>
        <w:t>两阶段。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4. </w:t>
      </w:r>
      <w:r>
        <w:rPr>
          <w:rFonts w:ascii="宋体" w:hAnsi="宋体" w:cs="宋体"/>
          <w:b/>
          <w:sz w:val="28"/>
          <w:szCs w:val="28"/>
        </w:rPr>
        <w:t>同一读出贯穿流程：共享输出头加各轮独立的低秩修正、偏置和缩放，用于轮数评价、</w:t>
      </w:r>
      <w:r>
        <w:rPr>
          <w:rFonts w:cs="宋体" w:ascii="宋体" w:hAnsi="宋体"/>
          <w:b/>
          <w:sz w:val="28"/>
          <w:szCs w:val="28"/>
        </w:rPr>
        <w:t>B</w:t>
      </w:r>
      <w:r>
        <w:rPr>
          <w:rFonts w:ascii="宋体" w:hAnsi="宋体" w:cs="宋体"/>
          <w:b/>
          <w:sz w:val="28"/>
          <w:szCs w:val="28"/>
        </w:rPr>
        <w:t>阶段监督及退出输出；修正初始不改变原头，</w:t>
      </w:r>
      <w:r>
        <w:rPr>
          <w:rFonts w:cs="宋体" w:ascii="宋体" w:hAnsi="宋体"/>
          <w:b/>
          <w:sz w:val="28"/>
          <w:szCs w:val="28"/>
        </w:rPr>
        <w:t>W</w:t>
      </w:r>
      <w:r>
        <w:rPr>
          <w:rFonts w:ascii="宋体" w:hAnsi="宋体" w:cs="宋体"/>
          <w:b/>
          <w:sz w:val="28"/>
          <w:szCs w:val="28"/>
        </w:rPr>
        <w:t>可在</w:t>
      </w:r>
      <w:r>
        <w:rPr>
          <w:rFonts w:cs="宋体" w:ascii="宋体" w:hAnsi="宋体"/>
          <w:b/>
          <w:sz w:val="28"/>
          <w:szCs w:val="28"/>
        </w:rPr>
        <w:t>B</w:t>
      </w:r>
      <w:r>
        <w:rPr>
          <w:rFonts w:ascii="宋体" w:hAnsi="宋体" w:cs="宋体"/>
          <w:b/>
          <w:sz w:val="28"/>
          <w:szCs w:val="28"/>
        </w:rPr>
        <w:t>阶段更新。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5. </w:t>
      </w:r>
      <w:r>
        <w:rPr>
          <w:rFonts w:ascii="宋体" w:hAnsi="宋体" w:cs="宋体"/>
          <w:b/>
          <w:sz w:val="28"/>
          <w:szCs w:val="28"/>
        </w:rPr>
        <w:t>轮数监督的关联：硬候选下限与过浅惩罚阈值分设；同一更新前选择同时决定</w:t>
      </w:r>
      <w:r>
        <w:rPr>
          <w:rFonts w:cs="宋体" w:ascii="宋体" w:hAnsi="宋体"/>
          <w:b/>
          <w:sz w:val="28"/>
          <w:szCs w:val="28"/>
        </w:rPr>
        <w:t>A</w:t>
      </w:r>
      <w:r>
        <w:rPr>
          <w:rFonts w:ascii="宋体" w:hAnsi="宋体" w:cs="宋体"/>
          <w:b/>
          <w:sz w:val="28"/>
          <w:szCs w:val="28"/>
        </w:rPr>
        <w:t>的所选评分、选择概率监督和</w:t>
      </w:r>
      <w:r>
        <w:rPr>
          <w:rFonts w:cs="宋体" w:ascii="宋体" w:hAnsi="宋体"/>
          <w:b/>
          <w:sz w:val="28"/>
          <w:szCs w:val="28"/>
        </w:rPr>
        <w:t>B</w:t>
      </w:r>
      <w:r>
        <w:rPr>
          <w:rFonts w:ascii="宋体" w:hAnsi="宋体" w:cs="宋体"/>
          <w:b/>
          <w:sz w:val="28"/>
          <w:szCs w:val="28"/>
        </w:rPr>
        <w:t>的分组轮数，</w:t>
      </w:r>
      <w:r>
        <w:rPr>
          <w:rFonts w:cs="宋体" w:ascii="宋体" w:hAnsi="宋体"/>
          <w:b/>
          <w:sz w:val="28"/>
          <w:szCs w:val="28"/>
        </w:rPr>
        <w:t>A</w:t>
      </w:r>
      <w:r>
        <w:rPr>
          <w:rFonts w:ascii="宋体" w:hAnsi="宋体" w:cs="宋体"/>
          <w:b/>
          <w:sz w:val="28"/>
          <w:szCs w:val="28"/>
        </w:rPr>
        <w:t>后不重新选择。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6. </w:t>
      </w:r>
      <w:r>
        <w:rPr>
          <w:rFonts w:ascii="宋体" w:hAnsi="宋体" w:cs="宋体"/>
          <w:b/>
          <w:sz w:val="28"/>
          <w:szCs w:val="28"/>
        </w:rPr>
        <w:t>配套提前退出：每样本单独评分，首次不再改善时停止，回到已保存的轮数和状态输出。训练用有标签的全轨迹选轮数，推理用无标签的局部停机，规则分别记载。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cs="宋体" w:ascii="宋体" w:hAnsi="宋体"/>
          <w:b/>
          <w:sz w:val="28"/>
          <w:szCs w:val="28"/>
        </w:rPr>
        <w:t xml:space="preserve">7. </w:t>
      </w:r>
      <w:r>
        <w:rPr>
          <w:rFonts w:ascii="宋体" w:hAnsi="宋体" w:cs="宋体"/>
          <w:b/>
          <w:sz w:val="28"/>
          <w:szCs w:val="28"/>
        </w:rPr>
        <w:t>参数共享连接、本轮选择复用、以及原选择贯穿交替训练是拟保护的整体关系；块数、秩、阈值、一般专家选择和负载均衡仅为实施配套。</w:t>
      </w:r>
    </w:p>
    <w:p>
      <w:pPr>
        <w:pStyle w:val="Normal"/>
        <w:rPr/>
      </w:pPr>
      <w:r>
        <w:rPr>
          <w:rFonts w:cs="宋体" w:ascii="宋体" w:hAnsi="宋体"/>
          <w:b/>
          <w:sz w:val="28"/>
          <w:szCs w:val="28"/>
        </w:rPr>
        <w:t xml:space="preserve">8. </w:t>
      </w:r>
      <w:r>
        <w:rPr>
          <w:rFonts w:ascii="宋体" w:hAnsi="宋体" w:cs="宋体"/>
          <w:b/>
          <w:sz w:val="28"/>
          <w:szCs w:val="28"/>
        </w:rPr>
        <w:t>正式权利要求以该结构和训练关系为一个总发明构思，纳入产生技术效果的连接与步骤。专利对照及创造性评价依据见核验记录。</w:t>
      </w:r>
    </w:p>
    <w:p>
      <w:pPr>
        <w:pStyle w:val="Normal"/>
        <w:spacing w:lineRule="exact" w:line="420"/>
        <w:jc w:val="left"/>
        <w:rPr>
          <w:rFonts w:ascii="宋体" w:hAnsi="宋体" w:eastAsia="宋体" w:cs="宋体"/>
          <w:b/>
          <w:b/>
          <w:sz w:val="28"/>
          <w:szCs w:val="28"/>
          <w:lang w:val="en-US" w:eastAsia="zh-CN"/>
        </w:rPr>
      </w:pPr>
      <w:r>
        <w:rPr>
          <w:rFonts w:ascii="宋体" w:hAnsi="宋体" w:cs="宋体"/>
          <w:b/>
          <w:sz w:val="28"/>
          <w:szCs w:val="28"/>
        </w:rPr>
        <w:t>常规做法简述：分词、归一化、位置编码、因果注意力、残差、</w:t>
      </w:r>
      <w:r>
        <w:rPr>
          <w:rFonts w:cs="宋体" w:ascii="宋体" w:hAnsi="宋体"/>
          <w:b/>
          <w:sz w:val="28"/>
          <w:szCs w:val="28"/>
        </w:rPr>
        <w:t>top-k</w:t>
      </w:r>
      <w:r>
        <w:rPr>
          <w:rFonts w:ascii="宋体" w:hAnsi="宋体" w:cs="宋体"/>
          <w:b/>
          <w:sz w:val="28"/>
          <w:szCs w:val="28"/>
        </w:rPr>
        <w:t>、</w:t>
      </w:r>
      <w:r>
        <w:rPr>
          <w:rFonts w:cs="宋体" w:ascii="宋体" w:hAnsi="宋体"/>
          <w:b/>
          <w:sz w:val="28"/>
          <w:szCs w:val="28"/>
        </w:rPr>
        <w:t>softmax</w:t>
      </w:r>
      <w:r>
        <w:rPr>
          <w:rFonts w:ascii="宋体" w:hAnsi="宋体" w:cs="宋体"/>
          <w:b/>
          <w:sz w:val="28"/>
          <w:szCs w:val="28"/>
        </w:rPr>
        <w:t>、交叉熵、负载均衡及低秩适配采用已知方法。撰写依据为《专利法》、实施细则及现行审查指南关于清楚完整公开和整体技术贡献的要求。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</w:t>
      </w:r>
    </w:p>
    <w:p>
      <w:pPr>
        <w:pStyle w:val="Normal"/>
        <w:ind w:left="500" w:hanging="0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  <w:t xml:space="preserve">                                                                                     </w:t>
      </w:r>
    </w:p>
    <w:p>
      <w:pPr>
        <w:pStyle w:val="Normal"/>
        <w:textAlignment w:val="baseline"/>
        <w:rPr>
          <w:rFonts w:ascii="宋体" w:hAnsi="宋体" w:cs="宋体"/>
          <w:sz w:val="28"/>
          <w:szCs w:val="28"/>
          <w:u w:val="single"/>
        </w:rPr>
      </w:pPr>
      <w:r>
        <w:rPr>
          <w:rFonts w:cs="宋体" w:ascii="宋体" w:hAnsi="宋体"/>
          <w:sz w:val="28"/>
          <w:szCs w:val="28"/>
          <w:u w:val="single"/>
        </w:rPr>
      </w:r>
    </w:p>
    <w:p>
      <w:pPr>
        <w:pStyle w:val="Normal"/>
        <w:spacing w:lineRule="exact" w:line="420"/>
        <w:rPr>
          <w:rFonts w:ascii="宋体" w:hAnsi="宋体" w:cs="宋体"/>
          <w:b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八、结构附图：</w:t>
      </w:r>
    </w:p>
    <w:p>
      <w:pPr>
        <w:pStyle w:val="Normal"/>
        <w:jc w:val="center"/>
        <w:rPr/>
      </w:pPr>
      <w:r>
        <w:rPr>
          <w:b/>
        </w:rPr>
        <w:t>图</w:t>
      </w:r>
      <w:r>
        <w:rPr>
          <w:b/>
        </w:rPr>
        <w:t xml:space="preserve">1  </w:t>
      </w:r>
      <w:r>
        <w:rPr>
          <w:b/>
        </w:rPr>
        <w:t>共享参数与一轮循环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37788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</w:rPr>
        <w:t>图</w:t>
      </w:r>
      <w:r>
        <w:rPr>
          <w:b/>
        </w:rPr>
        <w:t xml:space="preserve">2  </w:t>
      </w:r>
      <w:r>
        <w:rPr>
          <w:b/>
        </w:rPr>
        <w:t>交替训练与逐样本提前停止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45027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type w:val="nextPage"/>
      <w:pgSz w:w="11906" w:h="16838"/>
      <w:pgMar w:left="624" w:right="510" w:header="851" w:top="908" w:footer="992" w:bottom="1049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apple-system">
    <w:altName w:val="SF UI Text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8105" cy="130810"/>
              <wp:effectExtent l="0" t="0" r="0" b="0"/>
              <wp:wrapSquare wrapText="largest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30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stroked="f" style="position:absolute;margin-left:266.25pt;margin-top:0.05pt;width:6.05pt;height:10.2pt;mso-position-horizontal:center;mso-position-horizontal-relative:margin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/>
      <w:t>，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mirrorMargins/>
  <w:defaultTabStop w:val="4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360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rFonts w:ascii="Times New Roman" w:hAnsi="Times New Roman" w:eastAsia="宋体" w:cs="Times New Roman"/>
      <w:b/>
      <w:bCs/>
      <w:kern w:val="2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DefaultParagraphFont" w:default="1">
    <w:name w:val="Default Paragraph Font"/>
    <w:uiPriority w:val="0"/>
    <w:qFormat/>
    <w:rPr>
      <w:rFonts w:ascii="Times New Roman" w:hAnsi="Times New Roman" w:eastAsia="宋体" w:cs="Times New Roman"/>
    </w:rPr>
  </w:style>
  <w:style w:type="character" w:styleId="Pagenumber">
    <w:name w:val="page number"/>
    <w:uiPriority w:val="0"/>
    <w:qFormat/>
    <w:rPr>
      <w:rFonts w:ascii="Times New Roman" w:hAnsi="Times New Roman" w:eastAsia="宋体" w:cs="Times New Roman"/>
    </w:rPr>
  </w:style>
  <w:style w:type="character" w:styleId="1" w:customStyle="1">
    <w:name w:val="标题 1 字符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12" w:customStyle="1">
    <w:name w:val="页眉 字符"/>
    <w:uiPriority w:val="0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yle13" w:customStyle="1">
    <w:name w:val="标题 字符"/>
    <w:uiPriority w:val="0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uiPriority w:val="0"/>
    <w:pPr>
      <w:spacing w:lineRule="exact" w:line="600"/>
      <w:ind w:firstLine="570"/>
    </w:pPr>
    <w:rPr>
      <w:rFonts w:ascii="Times New Roman" w:hAnsi="Times New Roman" w:eastAsia="宋体" w:cs="Times New Roman"/>
      <w:sz w:val="28"/>
      <w:szCs w:val="20"/>
    </w:rPr>
  </w:style>
  <w:style w:type="paragraph" w:styleId="BlockText">
    <w:name w:val="Block Text"/>
    <w:basedOn w:val="Normal"/>
    <w:uiPriority w:val="0"/>
    <w:qFormat/>
    <w:pPr>
      <w:spacing w:lineRule="atLeast" w:line="312" w:before="120" w:after="0"/>
      <w:ind w:left="-105" w:right="-107" w:hanging="0"/>
      <w:textAlignment w:val="baseline"/>
    </w:pPr>
    <w:rPr>
      <w:rFonts w:ascii="Times New Roman" w:hAnsi="Times New Roman" w:eastAsia="黑体" w:cs="Times New Roman"/>
      <w:bCs/>
      <w:kern w:val="0"/>
      <w:szCs w:val="20"/>
    </w:rPr>
  </w:style>
  <w:style w:type="paragraph" w:styleId="BodyTextIndent2">
    <w:name w:val="Body Text Indent 2"/>
    <w:basedOn w:val="Normal"/>
    <w:uiPriority w:val="0"/>
    <w:qFormat/>
    <w:pPr>
      <w:ind w:firstLine="480"/>
      <w:textAlignment w:val="bottom"/>
    </w:pPr>
    <w:rPr>
      <w:rFonts w:ascii="宋体" w:hAnsi="宋体" w:eastAsia="宋体" w:cs="Times New Roman"/>
      <w:sz w:val="28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Times New Roman" w:hAnsi="Times New Roman" w:eastAsia="宋体" w:cs="Times New Roman"/>
      <w:sz w:val="18"/>
      <w:szCs w:val="20"/>
    </w:rPr>
  </w:style>
  <w:style w:type="paragraph" w:styleId="Header">
    <w:name w:val="Header"/>
    <w:basedOn w:val="Normal"/>
    <w:uiPriority w:val="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Title">
    <w:name w:val="Title"/>
    <w:basedOn w:val="Normal"/>
    <w:next w:val="Normal"/>
    <w:uiPriority w:val="0"/>
    <w:qFormat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Style14" w:customStyle="1">
    <w:name w:val="È±Ê¡ÎÄ±¾"/>
    <w:basedOn w:val="Normal"/>
    <w:uiPriority w:val="0"/>
    <w:qFormat/>
    <w:pPr>
      <w:widowControl/>
      <w:overflowPunct w:val="true"/>
      <w:jc w:val="left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FrameContents">
    <w:name w:val="Frame Contents"/>
    <w:basedOn w:val="Normal"/>
    <w:qFormat/>
    <w:pPr/>
    <w:rPr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4940</TotalTime>
  <Application>LibreOffice/6.4.7.2$Linux_X86_64 LibreOffice_project/40$Build-2</Application>
  <Pages>7</Pages>
  <Words>3295</Words>
  <Characters>3808</Characters>
  <CharactersWithSpaces>4433</CharactersWithSpaces>
  <Paragraphs>58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2021-01-18T07:38:00Z</dcterms:created>
  <dc:creator>wy</dc:creator>
  <dc:description/>
  <dc:language>en-US</dc:language>
  <cp:lastModifiedBy/>
  <cp:lastPrinted>2004-02-09T03:57:00Z</cp:lastPrinted>
  <dcterms:modified xsi:type="dcterms:W3CDTF">2026-10-09T13:57:34Z</dcterms:modified>
  <cp:revision>1726</cp:revision>
  <dc:subject/>
  <dc:title>金信公司专利申请技术交底书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 </vt:lpwstr>
  </property>
  <property fmtid="{D5CDD505-2E9C-101B-9397-08002B2CF9AE}" pid="4" name="ICV">
    <vt:lpwstr>20817AA2FD054A76A3A546D14CE61073</vt:lpwstr>
  </property>
  <property fmtid="{D5CDD505-2E9C-101B-9397-08002B2CF9AE}" pid="5" name="KSOProductBuildVer">
    <vt:lpwstr>2052-11.1.0.11115</vt:lpwstr>
  </property>
  <property fmtid="{D5CDD505-2E9C-101B-9397-08002B2CF9AE}" pid="6" name="LinksUpToDate">
    <vt:bool>0</vt:bool>
  </property>
  <property fmtid="{D5CDD505-2E9C-101B-9397-08002B2CF9AE}" pid="7" name="ScaleCrop">
    <vt:bool>0</vt:bool>
  </property>
</Properties>
</file>