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4"/>
        </w:rPr>
        <w:t>本项目与相关专利的检索对比分析（交底书补充材料）</w:t>
      </w:r>
    </w:p>
    <w:p>
      <w:r>
        <w:rPr>
          <w:rFonts w:ascii="Times New Roman" w:hAnsi="Times New Roman" w:eastAsia="宋体"/>
          <w:b w:val="0"/>
          <w:sz w:val="21"/>
        </w:rPr>
        <w:t>项目名称：一种共享记忆稀疏路由大模型两阶段训练及提前退出方法</w:t>
      </w:r>
    </w:p>
    <w:p>
      <w:r>
        <w:rPr>
          <w:rFonts w:ascii="Times New Roman" w:hAnsi="Times New Roman" w:eastAsia="宋体"/>
          <w:b w:val="0"/>
          <w:sz w:val="21"/>
        </w:rPr>
        <w:t>检索日期：2026年9月23日；检索库：WIPO PATENTSCOPE（PCT/CN/US等）、USPTO公开文本（图像版全文经OCR核对权利要求）、arXiv/OpenAlex。</w:t>
      </w:r>
    </w:p>
    <w:p>
      <w:pPr>
        <w:pStyle w:val="Heading1"/>
      </w:pPr>
      <w:r>
        <w:rPr>
          <w:rFonts w:ascii="Times New Roman" w:hAnsi="Times New Roman" w:eastAsia="黑体"/>
          <w:b/>
          <w:sz w:val="28"/>
        </w:rPr>
        <w:t>一、最接近的专利及其权利要求要点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18"/>
              </w:rPr>
              <w:t>公开号</w:t>
            </w:r>
          </w:p>
        </w:tc>
        <w:tc>
          <w:tcPr>
            <w:tcW w:type="dxa" w:w="2880"/>
          </w:tcPr>
          <w:p>
            <w:r/>
            <w:r>
              <w:rPr>
                <w:rFonts w:ascii="Times New Roman" w:hAnsi="Times New Roman" w:eastAsia="宋体"/>
                <w:b/>
                <w:sz w:val="18"/>
              </w:rPr>
              <w:t>名称</w:t>
            </w:r>
          </w:p>
        </w:tc>
        <w:tc>
          <w:tcPr>
            <w:tcW w:type="dxa" w:w="2880"/>
          </w:tcPr>
          <w:p>
            <w:r/>
            <w:r>
              <w:rPr>
                <w:rFonts w:ascii="Times New Roman" w:hAnsi="Times New Roman" w:eastAsia="宋体"/>
                <w:b/>
                <w:sz w:val="18"/>
              </w:rPr>
              <w:t>权利要求要点（核对后）</w:t>
            </w:r>
          </w:p>
        </w:tc>
      </w:tr>
      <w:tr>
        <w:tc>
          <w:tcPr>
            <w:tcW w:type="dxa" w:w="2880"/>
          </w:tcPr>
          <w:p>
            <w:r/>
            <w:r>
              <w:rPr>
                <w:rFonts w:ascii="Times New Roman" w:hAnsi="Times New Roman" w:eastAsia="宋体"/>
                <w:b w:val="0"/>
                <w:sz w:val="18"/>
              </w:rPr>
              <w:t>US2025/0356166A1</w:t>
            </w:r>
          </w:p>
        </w:tc>
        <w:tc>
          <w:tcPr>
            <w:tcW w:type="dxa" w:w="2880"/>
          </w:tcPr>
          <w:p>
            <w:r/>
            <w:r>
              <w:rPr>
                <w:rFonts w:ascii="Times New Roman" w:hAnsi="Times New Roman" w:eastAsia="宋体"/>
                <w:b w:val="0"/>
                <w:sz w:val="18"/>
              </w:rPr>
              <w:t>Recurrence in Transformer Architecture（循环Transformer架构）</w:t>
            </w:r>
          </w:p>
        </w:tc>
        <w:tc>
          <w:tcPr>
            <w:tcW w:type="dxa" w:w="2880"/>
          </w:tcPr>
          <w:p>
            <w:r/>
            <w:r>
              <w:rPr>
                <w:rFonts w:ascii="Times New Roman" w:hAnsi="Times New Roman" w:eastAsia="宋体"/>
                <w:b w:val="0"/>
                <w:sz w:val="18"/>
              </w:rPr>
              <w:t>权1：注意力层+循环神经网络块（在循环步内仅做逐元素运算得到隐藏状态）+乘法门控块；权3：注意力与循环块之间加归一化层。属于“层内/块内循环复用”，无全局记忆、无专家路由、无提前退出。</w:t>
            </w:r>
          </w:p>
        </w:tc>
      </w:tr>
      <w:tr>
        <w:tc>
          <w:tcPr>
            <w:tcW w:type="dxa" w:w="2880"/>
          </w:tcPr>
          <w:p>
            <w:r/>
            <w:r>
              <w:rPr>
                <w:rFonts w:ascii="Times New Roman" w:hAnsi="Times New Roman" w:eastAsia="宋体"/>
                <w:b w:val="0"/>
                <w:sz w:val="18"/>
              </w:rPr>
              <w:t>US2022/0157045A1</w:t>
            </w:r>
          </w:p>
        </w:tc>
        <w:tc>
          <w:tcPr>
            <w:tcW w:type="dxa" w:w="2880"/>
          </w:tcPr>
          <w:p>
            <w:r/>
            <w:r>
              <w:rPr>
                <w:rFonts w:ascii="Times New Roman" w:hAnsi="Times New Roman" w:eastAsia="宋体"/>
                <w:b w:val="0"/>
                <w:sz w:val="18"/>
              </w:rPr>
              <w:t>Automatic Early-Exiting Machine Learning Models（自动提前退出模型）</w:t>
            </w:r>
          </w:p>
        </w:tc>
        <w:tc>
          <w:tcPr>
            <w:tcW w:type="dxa" w:w="2880"/>
          </w:tcPr>
          <w:p>
            <w:r/>
            <w:r>
              <w:rPr>
                <w:rFonts w:ascii="Times New Roman" w:hAnsi="Times New Roman" w:eastAsia="宋体"/>
                <w:b w:val="0"/>
                <w:sz w:val="18"/>
              </w:rPr>
              <w:t>权1：分类模型中间激活送入门，由门判断是否退出并由对应分类器输出；权2：门由池化+多层感知机+Gumbel采样组成；权9-12：门比较当前与上一时间步中间激活的相似/相异度决定退出或继续；权8：以batch-shaping损失训练门以权衡误差与资源。无三信号联合、无可插拔校准读出、无共享记忆。</w:t>
            </w:r>
          </w:p>
        </w:tc>
      </w:tr>
      <w:tr>
        <w:tc>
          <w:tcPr>
            <w:tcW w:type="dxa" w:w="2880"/>
          </w:tcPr>
          <w:p>
            <w:r/>
            <w:r>
              <w:rPr>
                <w:rFonts w:ascii="Times New Roman" w:hAnsi="Times New Roman" w:eastAsia="宋体"/>
                <w:b w:val="0"/>
                <w:sz w:val="18"/>
              </w:rPr>
              <w:t>US2025/0342340A1</w:t>
            </w:r>
          </w:p>
        </w:tc>
        <w:tc>
          <w:tcPr>
            <w:tcW w:type="dxa" w:w="2880"/>
          </w:tcPr>
          <w:p>
            <w:r/>
            <w:r>
              <w:rPr>
                <w:rFonts w:ascii="Times New Roman" w:hAnsi="Times New Roman" w:eastAsia="宋体"/>
                <w:b w:val="0"/>
                <w:sz w:val="18"/>
              </w:rPr>
              <w:t>Safe Accelerating of Neural Network Inference by Early Exit（基于校准集的安全提前退出）</w:t>
            </w:r>
          </w:p>
        </w:tc>
        <w:tc>
          <w:tcPr>
            <w:tcW w:type="dxa" w:w="2880"/>
          </w:tcPr>
          <w:p>
            <w:r/>
            <w:r>
              <w:rPr>
                <w:rFonts w:ascii="Times New Roman" w:hAnsi="Times New Roman" w:eastAsia="宋体"/>
                <w:b w:val="0"/>
                <w:sz w:val="18"/>
              </w:rPr>
              <w:t>权1：用校准样本经全网络得到参考输出，记录各早退点的输出与置信度，设定同时依赖早退输出与参考输出的条件，评估置信度阈值使“置信度超阈值⇒满足条件”；权3：对离散候选阈值建立零假设并检验；权6：条件包括预测一致性、置信度一致性、性能连续性；权7：对两个条件分别求阈值并取最大值。仅用置信度单信号，面向测量数据分类/分割网络。</w:t>
            </w:r>
          </w:p>
        </w:tc>
      </w:tr>
      <w:tr>
        <w:tc>
          <w:tcPr>
            <w:tcW w:type="dxa" w:w="2880"/>
          </w:tcPr>
          <w:p>
            <w:r/>
            <w:r>
              <w:rPr>
                <w:rFonts w:ascii="Times New Roman" w:hAnsi="Times New Roman" w:eastAsia="宋体"/>
                <w:b w:val="0"/>
                <w:sz w:val="18"/>
              </w:rPr>
              <w:t>US2022/0358358A1</w:t>
            </w:r>
          </w:p>
        </w:tc>
        <w:tc>
          <w:tcPr>
            <w:tcW w:type="dxa" w:w="2880"/>
          </w:tcPr>
          <w:p>
            <w:r/>
            <w:r>
              <w:rPr>
                <w:rFonts w:ascii="Times New Roman" w:hAnsi="Times New Roman" w:eastAsia="宋体"/>
                <w:b w:val="0"/>
                <w:sz w:val="18"/>
              </w:rPr>
              <w:t>Accelerating Inference of Neural Network Models via Dynamic Early Exits（动态早退加速推理）</w:t>
            </w:r>
          </w:p>
        </w:tc>
        <w:tc>
          <w:tcPr>
            <w:tcW w:type="dxa" w:w="2880"/>
          </w:tcPr>
          <w:p>
            <w:r/>
            <w:r>
              <w:rPr>
                <w:rFonts w:ascii="Times New Roman" w:hAnsi="Times New Roman" w:eastAsia="宋体"/>
                <w:b w:val="0"/>
                <w:sz w:val="18"/>
              </w:rPr>
              <w:t>权1：确定候选退出点，在目标数据集上获取早退输出与常规输出，据此选择与目标数据集相关的退出点；权3：用KL散度、交叉熵或输出差异统计；权5：为每个退出点确定阈值退出值；权6：以修改后的损失训练模型。重点在“退出点选择与训练”，非三阈值后验校准。</w:t>
            </w:r>
          </w:p>
        </w:tc>
      </w:tr>
      <w:tr>
        <w:tc>
          <w:tcPr>
            <w:tcW w:type="dxa" w:w="2880"/>
          </w:tcPr>
          <w:p>
            <w:r/>
            <w:r>
              <w:rPr>
                <w:rFonts w:ascii="Times New Roman" w:hAnsi="Times New Roman" w:eastAsia="宋体"/>
                <w:b w:val="0"/>
                <w:sz w:val="18"/>
              </w:rPr>
              <w:t>US2019/0266236A1</w:t>
            </w:r>
          </w:p>
        </w:tc>
        <w:tc>
          <w:tcPr>
            <w:tcW w:type="dxa" w:w="2880"/>
          </w:tcPr>
          <w:p>
            <w:r/>
            <w:r>
              <w:rPr>
                <w:rFonts w:ascii="Times New Roman" w:hAnsi="Times New Roman" w:eastAsia="宋体"/>
                <w:b w:val="0"/>
                <w:sz w:val="18"/>
              </w:rPr>
              <w:t>Early Exit for Natural Language Processing Models（自然语言处理模型早退）</w:t>
            </w:r>
          </w:p>
        </w:tc>
        <w:tc>
          <w:tcPr>
            <w:tcW w:type="dxa" w:w="2880"/>
          </w:tcPr>
          <w:p>
            <w:r/>
            <w:r>
              <w:rPr>
                <w:rFonts w:ascii="Times New Roman" w:hAnsi="Times New Roman" w:eastAsia="宋体"/>
                <w:b w:val="0"/>
                <w:sz w:val="18"/>
              </w:rPr>
              <w:t>权1：NLP推理模型产生中间结果与置信度，置信度与阈值比较，达标则输出中间结果并停止计算，否则继续；权4：双词表/多编码器分段。仅单置信度阈值，无概率间隔、无状态变化量、无校准读出。</w:t>
            </w:r>
          </w:p>
        </w:tc>
      </w:tr>
      <w:tr>
        <w:tc>
          <w:tcPr>
            <w:tcW w:type="dxa" w:w="2880"/>
          </w:tcPr>
          <w:p>
            <w:r/>
            <w:r>
              <w:rPr>
                <w:rFonts w:ascii="Times New Roman" w:hAnsi="Times New Roman" w:eastAsia="宋体"/>
                <w:b w:val="0"/>
                <w:sz w:val="18"/>
              </w:rPr>
              <w:t>US2026/0148045A1</w:t>
            </w:r>
          </w:p>
        </w:tc>
        <w:tc>
          <w:tcPr>
            <w:tcW w:type="dxa" w:w="2880"/>
          </w:tcPr>
          <w:p>
            <w:r/>
            <w:r>
              <w:rPr>
                <w:rFonts w:ascii="Times New Roman" w:hAnsi="Times New Roman" w:eastAsia="宋体"/>
                <w:b w:val="0"/>
                <w:sz w:val="18"/>
              </w:rPr>
              <w:t>Efficient Generative Model Routing Using an Early Exit Head（基于早退头的生成模型路由）</w:t>
            </w:r>
          </w:p>
        </w:tc>
        <w:tc>
          <w:tcPr>
            <w:tcW w:type="dxa" w:w="2880"/>
          </w:tcPr>
          <w:p>
            <w:r/>
            <w:r>
              <w:rPr>
                <w:rFonts w:ascii="Times New Roman" w:hAnsi="Times New Roman" w:eastAsia="宋体"/>
                <w:b w:val="0"/>
                <w:sz w:val="18"/>
              </w:rPr>
              <w:t>权1：生成模型中间层输出经早退头得到路由决策，决定继续用本模型还是改用另一生成模型；权2-4：连续度度量、第二/第三度量；权11-12：早退头与模型联合训练后冻结模型权重、仅微调早退头；权18-19：阈值可为固定或随服务器负载动态变化。属“模型间路由”的两阶段训练，读出无恒等初始化、无逐深度低秩+偏置+温度。</w:t>
            </w:r>
          </w:p>
        </w:tc>
      </w:tr>
      <w:tr>
        <w:tc>
          <w:tcPr>
            <w:tcW w:type="dxa" w:w="2880"/>
          </w:tcPr>
          <w:p>
            <w:r/>
            <w:r>
              <w:rPr>
                <w:rFonts w:ascii="Times New Roman" w:hAnsi="Times New Roman" w:eastAsia="宋体"/>
                <w:b w:val="0"/>
                <w:sz w:val="18"/>
              </w:rPr>
              <w:t>US2020/0279150A1 / US2019/0251423A1 / WO2018/085643A1</w:t>
            </w:r>
          </w:p>
        </w:tc>
        <w:tc>
          <w:tcPr>
            <w:tcW w:type="dxa" w:w="2880"/>
          </w:tcPr>
          <w:p>
            <w:r/>
            <w:r>
              <w:rPr>
                <w:rFonts w:ascii="Times New Roman" w:hAnsi="Times New Roman" w:eastAsia="宋体"/>
                <w:b w:val="0"/>
                <w:sz w:val="18"/>
              </w:rPr>
              <w:t>Mixture of Experts Neural Networks（混合专家神经网络）</w:t>
            </w:r>
          </w:p>
        </w:tc>
        <w:tc>
          <w:tcPr>
            <w:tcW w:type="dxa" w:w="2880"/>
          </w:tcPr>
          <w:p>
            <w:r/>
            <w:r>
              <w:rPr>
                <w:rFonts w:ascii="Times New Roman" w:hAnsi="Times New Roman" w:eastAsia="宋体"/>
                <w:b w:val="0"/>
                <w:sz w:val="18"/>
              </w:rPr>
              <w:t>权21+：两层之间的MoE子网，门控子系统对层输出加可训练噪声、采样噪声得到门控输出，选稀疏top-k专家并加权求和；权27-28：稀疏化+softmax，仅k个最高值非零；权30：父/子门控分管不相交专家子集。为标准FFN专家方案，不涉及注意力投影路由与跨循环共享记忆。</w:t>
            </w:r>
          </w:p>
        </w:tc>
      </w:tr>
      <w:tr>
        <w:tc>
          <w:tcPr>
            <w:tcW w:type="dxa" w:w="2880"/>
          </w:tcPr>
          <w:p>
            <w:r/>
            <w:r>
              <w:rPr>
                <w:rFonts w:ascii="Times New Roman" w:hAnsi="Times New Roman" w:eastAsia="宋体"/>
                <w:b w:val="0"/>
                <w:sz w:val="18"/>
              </w:rPr>
              <w:t>US2025/0292084A1</w:t>
            </w:r>
          </w:p>
        </w:tc>
        <w:tc>
          <w:tcPr>
            <w:tcW w:type="dxa" w:w="2880"/>
          </w:tcPr>
          <w:p>
            <w:r/>
            <w:r>
              <w:rPr>
                <w:rFonts w:ascii="Times New Roman" w:hAnsi="Times New Roman" w:eastAsia="宋体"/>
                <w:b w:val="0"/>
                <w:sz w:val="18"/>
              </w:rPr>
              <w:t>Adaptive Routing of Mixture-of-Experts Language Model（混合专家语言模型自适应路由）</w:t>
            </w:r>
          </w:p>
        </w:tc>
        <w:tc>
          <w:tcPr>
            <w:tcW w:type="dxa" w:w="2880"/>
          </w:tcPr>
          <w:p>
            <w:r/>
            <w:r>
              <w:rPr>
                <w:rFonts w:ascii="Times New Roman" w:hAnsi="Times New Roman" w:eastAsia="宋体"/>
                <w:b w:val="0"/>
                <w:sz w:val="18"/>
              </w:rPr>
              <w:t>权1：收集各层路由器专家权重，按权重偏置度与均匀度动态调整每个路由器激活的专家数量（可变top-k）。与“四路由头固定稀疏+重要性×负载均衡损失”不同。</w:t>
            </w:r>
          </w:p>
        </w:tc>
      </w:tr>
      <w:tr>
        <w:tc>
          <w:tcPr>
            <w:tcW w:type="dxa" w:w="2880"/>
          </w:tcPr>
          <w:p>
            <w:r/>
            <w:r>
              <w:rPr>
                <w:rFonts w:ascii="Times New Roman" w:hAnsi="Times New Roman" w:eastAsia="宋体"/>
                <w:b w:val="0"/>
                <w:sz w:val="18"/>
              </w:rPr>
              <w:t>US2026/0252911A1</w:t>
            </w:r>
          </w:p>
        </w:tc>
        <w:tc>
          <w:tcPr>
            <w:tcW w:type="dxa" w:w="2880"/>
          </w:tcPr>
          <w:p>
            <w:r/>
            <w:r>
              <w:rPr>
                <w:rFonts w:ascii="Times New Roman" w:hAnsi="Times New Roman" w:eastAsia="宋体"/>
                <w:b w:val="0"/>
                <w:sz w:val="18"/>
              </w:rPr>
              <w:t>Method for Optimizing Mixture of Experts Model（混合专家模型优化）</w:t>
            </w:r>
          </w:p>
        </w:tc>
        <w:tc>
          <w:tcPr>
            <w:tcW w:type="dxa" w:w="2880"/>
          </w:tcPr>
          <w:p>
            <w:r/>
            <w:r>
              <w:rPr>
                <w:rFonts w:ascii="Times New Roman" w:hAnsi="Times New Roman" w:eastAsia="宋体"/>
                <w:b w:val="0"/>
                <w:sz w:val="18"/>
              </w:rPr>
              <w:t>权1：取第一层隐藏状态与后继层索引，预测后继层要激活的专家单元并预取到内存。属跨层专家预测的工程预取，非路由本身的共享/绑定。</w:t>
            </w:r>
          </w:p>
        </w:tc>
      </w:tr>
      <w:tr>
        <w:tc>
          <w:tcPr>
            <w:tcW w:type="dxa" w:w="2880"/>
          </w:tcPr>
          <w:p>
            <w:r/>
            <w:r>
              <w:rPr>
                <w:rFonts w:ascii="Times New Roman" w:hAnsi="Times New Roman" w:eastAsia="宋体"/>
                <w:b w:val="0"/>
                <w:sz w:val="18"/>
              </w:rPr>
              <w:t>CN118657218A</w:t>
            </w:r>
          </w:p>
        </w:tc>
        <w:tc>
          <w:tcPr>
            <w:tcW w:type="dxa" w:w="2880"/>
          </w:tcPr>
          <w:p>
            <w:r/>
            <w:r>
              <w:rPr>
                <w:rFonts w:ascii="Times New Roman" w:hAnsi="Times New Roman" w:eastAsia="宋体"/>
                <w:b w:val="0"/>
                <w:sz w:val="18"/>
              </w:rPr>
              <w:t>基于混合专家的模型推理（注意力混合专家）</w:t>
            </w:r>
          </w:p>
        </w:tc>
        <w:tc>
          <w:tcPr>
            <w:tcW w:type="dxa" w:w="2880"/>
          </w:tcPr>
          <w:p>
            <w:r/>
            <w:r>
              <w:rPr>
                <w:rFonts w:ascii="Times New Roman" w:hAnsi="Times New Roman" w:eastAsia="宋体"/>
                <w:b w:val="0"/>
                <w:sz w:val="18"/>
              </w:rPr>
              <w:t>摘要：注意力混合专家模块将特征向量分解为多个特征子向量，按每个子向量确定对应的查询向量投影矩阵做注意力计算，再经神经网络混合专家模块输出。仅查询投影专家化，且为层内方案。</w:t>
            </w:r>
          </w:p>
        </w:tc>
      </w:tr>
      <w:tr>
        <w:tc>
          <w:tcPr>
            <w:tcW w:type="dxa" w:w="2880"/>
          </w:tcPr>
          <w:p>
            <w:r/>
            <w:r>
              <w:rPr>
                <w:rFonts w:ascii="Times New Roman" w:hAnsi="Times New Roman" w:eastAsia="宋体"/>
                <w:b w:val="0"/>
                <w:sz w:val="18"/>
              </w:rPr>
              <w:t>CN118690782A</w:t>
            </w:r>
          </w:p>
        </w:tc>
        <w:tc>
          <w:tcPr>
            <w:tcW w:type="dxa" w:w="2880"/>
          </w:tcPr>
          <w:p>
            <w:r/>
            <w:r>
              <w:rPr>
                <w:rFonts w:ascii="Times New Roman" w:hAnsi="Times New Roman" w:eastAsia="宋体"/>
                <w:b w:val="0"/>
                <w:sz w:val="18"/>
              </w:rPr>
              <w:t>专家选择方法及装置（注意力头专家选择）</w:t>
            </w:r>
          </w:p>
        </w:tc>
        <w:tc>
          <w:tcPr>
            <w:tcW w:type="dxa" w:w="2880"/>
          </w:tcPr>
          <w:p>
            <w:r/>
            <w:r>
              <w:rPr>
                <w:rFonts w:ascii="Times New Roman" w:hAnsi="Times New Roman" w:eastAsia="宋体"/>
                <w:b w:val="0"/>
                <w:sz w:val="18"/>
              </w:rPr>
              <w:t>摘要：根据模型权重与输入向量确定每个注意力头对每个专家查询向量的选择分数，排序后为每个注意力头选择目标专家查询向量并输入注意力头。仅查询向量专家选择，无键值绑定、无全局记忆与循环复用。</w:t>
            </w:r>
          </w:p>
        </w:tc>
      </w:tr>
      <w:tr>
        <w:tc>
          <w:tcPr>
            <w:tcW w:type="dxa" w:w="2880"/>
          </w:tcPr>
          <w:p>
            <w:r/>
            <w:r>
              <w:rPr>
                <w:rFonts w:ascii="Times New Roman" w:hAnsi="Times New Roman" w:eastAsia="宋体"/>
                <w:b w:val="0"/>
                <w:sz w:val="18"/>
              </w:rPr>
              <w:t>US2026/0039311A1</w:t>
            </w:r>
          </w:p>
        </w:tc>
        <w:tc>
          <w:tcPr>
            <w:tcW w:type="dxa" w:w="2880"/>
          </w:tcPr>
          <w:p>
            <w:r/>
            <w:r>
              <w:rPr>
                <w:rFonts w:ascii="Times New Roman" w:hAnsi="Times New Roman" w:eastAsia="宋体"/>
                <w:b w:val="0"/>
                <w:sz w:val="18"/>
              </w:rPr>
              <w:t>Latent Transformer Architecture with Attention Mechanisms and Expert Systems（潜在注意力+专家）</w:t>
            </w:r>
          </w:p>
        </w:tc>
        <w:tc>
          <w:tcPr>
            <w:tcW w:type="dxa" w:w="2880"/>
          </w:tcPr>
          <w:p>
            <w:r/>
            <w:r>
              <w:rPr>
                <w:rFonts w:ascii="Times New Roman" w:hAnsi="Times New Roman" w:eastAsia="宋体"/>
                <w:b w:val="0"/>
                <w:sz w:val="18"/>
              </w:rPr>
              <w:t>摘要：在潜在空间直接计算查询/键/值矩阵；含门控潜在专家网络（路由网络按潜在向量激活专家）与潜在混合专家（加权组合）。面向联邦学习与同态加密，未涉及跨循环统一记忆、键值绑定与提前退出。</w:t>
            </w:r>
          </w:p>
        </w:tc>
      </w:tr>
      <w:tr>
        <w:tc>
          <w:tcPr>
            <w:tcW w:type="dxa" w:w="2880"/>
          </w:tcPr>
          <w:p>
            <w:r/>
            <w:r>
              <w:rPr>
                <w:rFonts w:ascii="Times New Roman" w:hAnsi="Times New Roman" w:eastAsia="宋体"/>
                <w:b w:val="0"/>
                <w:sz w:val="18"/>
              </w:rPr>
              <w:t>WO2026/121926A1</w:t>
            </w:r>
          </w:p>
        </w:tc>
        <w:tc>
          <w:tcPr>
            <w:tcW w:type="dxa" w:w="2880"/>
          </w:tcPr>
          <w:p>
            <w:r/>
            <w:r>
              <w:rPr>
                <w:rFonts w:ascii="Times New Roman" w:hAnsi="Times New Roman" w:eastAsia="宋体"/>
                <w:b w:val="0"/>
                <w:sz w:val="18"/>
              </w:rPr>
              <w:t>Hybrid Attention-Based Mixture-of-Experts Architecture（混合注意力专家架构）</w:t>
            </w:r>
          </w:p>
        </w:tc>
        <w:tc>
          <w:tcPr>
            <w:tcW w:type="dxa" w:w="2880"/>
          </w:tcPr>
          <w:p>
            <w:r/>
            <w:r>
              <w:rPr>
                <w:rFonts w:ascii="Times New Roman" w:hAnsi="Times New Roman" w:eastAsia="宋体"/>
                <w:b w:val="0"/>
                <w:sz w:val="18"/>
              </w:rPr>
              <w:t>摘要：专家块组（选择性使用部分专家）+局部/全局混合注意力，解决长上下文复杂度。专家仍在层内，不涉及投影参数跨层共享。</w:t>
            </w:r>
          </w:p>
        </w:tc>
      </w:tr>
    </w:tbl>
    <w:p>
      <w:pPr>
        <w:pStyle w:val="Heading1"/>
      </w:pPr>
      <w:r>
        <w:rPr>
          <w:rFonts w:ascii="Times New Roman" w:hAnsi="Times New Roman" w:eastAsia="黑体"/>
          <w:b/>
          <w:sz w:val="28"/>
        </w:rPr>
        <w:t>二、学术公开（非专利）中最接近的方案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18"/>
              </w:rPr>
              <w:t>文献</w:t>
            </w:r>
          </w:p>
        </w:tc>
        <w:tc>
          <w:tcPr>
            <w:tcW w:type="dxa" w:w="2880"/>
          </w:tcPr>
          <w:p>
            <w:r/>
            <w:r>
              <w:rPr>
                <w:rFonts w:ascii="Times New Roman" w:hAnsi="Times New Roman" w:eastAsia="宋体"/>
                <w:b/>
                <w:sz w:val="18"/>
              </w:rPr>
              <w:t>要点</w:t>
            </w:r>
          </w:p>
        </w:tc>
        <w:tc>
          <w:tcPr>
            <w:tcW w:type="dxa" w:w="2880"/>
          </w:tcPr>
          <w:p>
            <w:r/>
            <w:r>
              <w:rPr>
                <w:rFonts w:ascii="Times New Roman" w:hAnsi="Times New Roman" w:eastAsia="宋体"/>
                <w:b/>
                <w:sz w:val="18"/>
              </w:rPr>
              <w:t>与本项目的差异</w:t>
            </w:r>
          </w:p>
        </w:tc>
      </w:tr>
      <w:tr>
        <w:tc>
          <w:tcPr>
            <w:tcW w:type="dxa" w:w="2880"/>
          </w:tcPr>
          <w:p>
            <w:r/>
            <w:r>
              <w:rPr>
                <w:rFonts w:ascii="Times New Roman" w:hAnsi="Times New Roman" w:eastAsia="宋体"/>
                <w:b w:val="0"/>
                <w:sz w:val="18"/>
              </w:rPr>
              <w:t>Intern-S2-Mobius（arXiv:2608.14290）</w:t>
            </w:r>
          </w:p>
        </w:tc>
        <w:tc>
          <w:tcPr>
            <w:tcW w:type="dxa" w:w="2880"/>
          </w:tcPr>
          <w:p>
            <w:r/>
            <w:r>
              <w:rPr>
                <w:rFonts w:ascii="Times New Roman" w:hAnsi="Times New Roman" w:eastAsia="宋体"/>
                <w:b w:val="0"/>
                <w:sz w:val="18"/>
              </w:rPr>
              <w:t>全局共享前馈记忆+多推理器循环查询；大规模时记忆分块稀疏激活。</w:t>
            </w:r>
          </w:p>
        </w:tc>
        <w:tc>
          <w:tcPr>
            <w:tcW w:type="dxa" w:w="2880"/>
          </w:tcPr>
          <w:p>
            <w:r/>
            <w:r>
              <w:rPr>
                <w:rFonts w:ascii="Times New Roman" w:hAnsi="Times New Roman" w:eastAsia="宋体"/>
                <w:b w:val="0"/>
                <w:sz w:val="18"/>
              </w:rPr>
              <w:t>仅共享前馈网络，查询/键/值/输出投影仍随循环持有；无四头路由、键值绑定、校准读出与两阶段提前退出。</w:t>
            </w:r>
          </w:p>
        </w:tc>
      </w:tr>
      <w:tr>
        <w:tc>
          <w:tcPr>
            <w:tcW w:type="dxa" w:w="2880"/>
          </w:tcPr>
          <w:p>
            <w:r/>
            <w:r>
              <w:rPr>
                <w:rFonts w:ascii="Times New Roman" w:hAnsi="Times New Roman" w:eastAsia="宋体"/>
                <w:b w:val="0"/>
                <w:sz w:val="18"/>
              </w:rPr>
              <w:t>SwitchHead（arXiv:2312.07987）</w:t>
            </w:r>
          </w:p>
        </w:tc>
        <w:tc>
          <w:tcPr>
            <w:tcW w:type="dxa" w:w="2880"/>
          </w:tcPr>
          <w:p>
            <w:r/>
            <w:r>
              <w:rPr>
                <w:rFonts w:ascii="Times New Roman" w:hAnsi="Times New Roman" w:eastAsia="宋体"/>
                <w:b w:val="0"/>
                <w:sz w:val="18"/>
              </w:rPr>
              <w:t>注意力值/输出投影专家化；键与值共享“源侧”专家选择。</w:t>
            </w:r>
          </w:p>
        </w:tc>
        <w:tc>
          <w:tcPr>
            <w:tcW w:type="dxa" w:w="2880"/>
          </w:tcPr>
          <w:p>
            <w:r/>
            <w:r>
              <w:rPr>
                <w:rFonts w:ascii="Times New Roman" w:hAnsi="Times New Roman" w:eastAsia="宋体"/>
                <w:b w:val="0"/>
                <w:sz w:val="18"/>
              </w:rPr>
              <w:t>专家在单层注意力内部；无跨循环全局记忆；无恒等初始化校准读出与深度选择分布停机。</w:t>
            </w:r>
          </w:p>
        </w:tc>
      </w:tr>
      <w:tr>
        <w:tc>
          <w:tcPr>
            <w:tcW w:type="dxa" w:w="2880"/>
          </w:tcPr>
          <w:p>
            <w:r/>
            <w:r>
              <w:rPr>
                <w:rFonts w:ascii="Times New Roman" w:hAnsi="Times New Roman" w:eastAsia="宋体"/>
                <w:b w:val="0"/>
                <w:sz w:val="18"/>
              </w:rPr>
              <w:t>MoEUT（arXiv:2405.16039）</w:t>
            </w:r>
          </w:p>
        </w:tc>
        <w:tc>
          <w:tcPr>
            <w:tcW w:type="dxa" w:w="2880"/>
          </w:tcPr>
          <w:p>
            <w:r/>
            <w:r>
              <w:rPr>
                <w:rFonts w:ascii="Times New Roman" w:hAnsi="Times New Roman" w:eastAsia="宋体"/>
                <w:b w:val="0"/>
                <w:sz w:val="18"/>
              </w:rPr>
              <w:t>共享层通用变换器+注意力专家+前馈专家+层分组。</w:t>
            </w:r>
          </w:p>
        </w:tc>
        <w:tc>
          <w:tcPr>
            <w:tcW w:type="dxa" w:w="2880"/>
          </w:tcPr>
          <w:p>
            <w:r/>
            <w:r>
              <w:rPr>
                <w:rFonts w:ascii="Times New Roman" w:hAnsi="Times New Roman" w:eastAsia="宋体"/>
                <w:b w:val="0"/>
                <w:sz w:val="18"/>
              </w:rPr>
              <w:t>整层参数（含路由器）共享，路由器不随循环改变；无查询/键/值/输出统一可寻址记忆与键值绑定。</w:t>
            </w:r>
          </w:p>
        </w:tc>
      </w:tr>
      <w:tr>
        <w:tc>
          <w:tcPr>
            <w:tcW w:type="dxa" w:w="2880"/>
          </w:tcPr>
          <w:p>
            <w:r/>
            <w:r>
              <w:rPr>
                <w:rFonts w:ascii="Times New Roman" w:hAnsi="Times New Roman" w:eastAsia="宋体"/>
                <w:b w:val="0"/>
                <w:sz w:val="18"/>
              </w:rPr>
              <w:t>CALM（arXiv:2207.07061）</w:t>
            </w:r>
          </w:p>
        </w:tc>
        <w:tc>
          <w:tcPr>
            <w:tcW w:type="dxa" w:w="2880"/>
          </w:tcPr>
          <w:p>
            <w:r/>
            <w:r>
              <w:rPr>
                <w:rFonts w:ascii="Times New Roman" w:hAnsi="Times New Roman" w:eastAsia="宋体"/>
                <w:b w:val="0"/>
                <w:sz w:val="18"/>
              </w:rPr>
              <w:t>逐词元早退+置信度度量+序列级约束+保形校准。</w:t>
            </w:r>
          </w:p>
        </w:tc>
        <w:tc>
          <w:tcPr>
            <w:tcW w:type="dxa" w:w="2880"/>
          </w:tcPr>
          <w:p>
            <w:r/>
            <w:r>
              <w:rPr>
                <w:rFonts w:ascii="Times New Roman" w:hAnsi="Times New Roman" w:eastAsia="宋体"/>
                <w:b w:val="0"/>
                <w:sz w:val="18"/>
              </w:rPr>
              <w:t>需额外停机分类器；非循环共享记忆模型；无逐深度低秩+偏置+温度读出与三信号阈值网格校准。</w:t>
            </w:r>
          </w:p>
        </w:tc>
      </w:tr>
      <w:tr>
        <w:tc>
          <w:tcPr>
            <w:tcW w:type="dxa" w:w="2880"/>
          </w:tcPr>
          <w:p>
            <w:r/>
            <w:r>
              <w:rPr>
                <w:rFonts w:ascii="Times New Roman" w:hAnsi="Times New Roman" w:eastAsia="宋体"/>
                <w:b w:val="0"/>
                <w:sz w:val="18"/>
              </w:rPr>
              <w:t>US2025/0342340A1（Bosch）与CALM</w:t>
            </w:r>
          </w:p>
        </w:tc>
        <w:tc>
          <w:tcPr>
            <w:tcW w:type="dxa" w:w="2880"/>
          </w:tcPr>
          <w:p>
            <w:r/>
            <w:r>
              <w:rPr>
                <w:rFonts w:ascii="Times New Roman" w:hAnsi="Times New Roman" w:eastAsia="宋体"/>
                <w:b w:val="0"/>
                <w:sz w:val="18"/>
              </w:rPr>
              <w:t>校准集统计保证/保形校准</w:t>
            </w:r>
          </w:p>
        </w:tc>
        <w:tc>
          <w:tcPr>
            <w:tcW w:type="dxa" w:w="2880"/>
          </w:tcPr>
          <w:p>
            <w:r/>
            <w:r>
              <w:rPr>
                <w:rFonts w:ascii="Times New Roman" w:hAnsi="Times New Roman" w:eastAsia="宋体"/>
                <w:b w:val="0"/>
                <w:sz w:val="18"/>
              </w:rPr>
              <w:t>以单一置信度阈值为主，需推理前阈值搜索；本项目的停机直接由训练所得深度选择分布的argmax给出，无需阈值搜索。</w:t>
            </w:r>
          </w:p>
        </w:tc>
      </w:tr>
    </w:tbl>
    <w:p>
      <w:pPr>
        <w:pStyle w:val="Heading1"/>
      </w:pPr>
      <w:r>
        <w:rPr>
          <w:rFonts w:ascii="Times New Roman" w:hAnsi="Times New Roman" w:eastAsia="黑体"/>
          <w:b/>
          <w:sz w:val="28"/>
        </w:rPr>
        <w:t>三、逐要素对照矩阵</w:t>
      </w:r>
    </w:p>
    <w:p>
      <w:r>
        <w:rPr>
          <w:rFonts w:ascii="Times New Roman" w:hAnsi="Times New Roman" w:eastAsia="宋体"/>
          <w:b w:val="0"/>
          <w:sz w:val="21"/>
        </w:rPr>
        <w:t>●=已公开/相同；◐=部分公开或相近；○=未涉及。E1统一记忆（前馈+查询+键值+输出四库）；E2循环推理器独立路由；E3四头分域稀疏选择；E4键值绑定；E5逐块分派（不物化专家副本）；E6四头负载均衡损失；E7恒等初始化逐深度校准读出；E8三信号停机代价；E9深度选择分布argmax停机（权重与温度随检查点保存）；E10两阶段（阶段一无读出、阶段二仅训读出）。</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eastAsia="宋体"/>
                <w:b/>
                <w:sz w:val="18"/>
              </w:rPr>
              <w:t>方案</w:t>
            </w:r>
          </w:p>
        </w:tc>
        <w:tc>
          <w:tcPr>
            <w:tcW w:type="dxa" w:w="785"/>
          </w:tcPr>
          <w:p>
            <w:r/>
            <w:r>
              <w:rPr>
                <w:rFonts w:ascii="Times New Roman" w:hAnsi="Times New Roman" w:eastAsia="宋体"/>
                <w:b/>
                <w:sz w:val="18"/>
              </w:rPr>
              <w:t>E1</w:t>
            </w:r>
          </w:p>
        </w:tc>
        <w:tc>
          <w:tcPr>
            <w:tcW w:type="dxa" w:w="785"/>
          </w:tcPr>
          <w:p>
            <w:r/>
            <w:r>
              <w:rPr>
                <w:rFonts w:ascii="Times New Roman" w:hAnsi="Times New Roman" w:eastAsia="宋体"/>
                <w:b/>
                <w:sz w:val="18"/>
              </w:rPr>
              <w:t>E2</w:t>
            </w:r>
          </w:p>
        </w:tc>
        <w:tc>
          <w:tcPr>
            <w:tcW w:type="dxa" w:w="785"/>
          </w:tcPr>
          <w:p>
            <w:r/>
            <w:r>
              <w:rPr>
                <w:rFonts w:ascii="Times New Roman" w:hAnsi="Times New Roman" w:eastAsia="宋体"/>
                <w:b/>
                <w:sz w:val="18"/>
              </w:rPr>
              <w:t>E3</w:t>
            </w:r>
          </w:p>
        </w:tc>
        <w:tc>
          <w:tcPr>
            <w:tcW w:type="dxa" w:w="785"/>
          </w:tcPr>
          <w:p>
            <w:r/>
            <w:r>
              <w:rPr>
                <w:rFonts w:ascii="Times New Roman" w:hAnsi="Times New Roman" w:eastAsia="宋体"/>
                <w:b/>
                <w:sz w:val="18"/>
              </w:rPr>
              <w:t>E4</w:t>
            </w:r>
          </w:p>
        </w:tc>
        <w:tc>
          <w:tcPr>
            <w:tcW w:type="dxa" w:w="785"/>
          </w:tcPr>
          <w:p>
            <w:r/>
            <w:r>
              <w:rPr>
                <w:rFonts w:ascii="Times New Roman" w:hAnsi="Times New Roman" w:eastAsia="宋体"/>
                <w:b/>
                <w:sz w:val="18"/>
              </w:rPr>
              <w:t>E5</w:t>
            </w:r>
          </w:p>
        </w:tc>
        <w:tc>
          <w:tcPr>
            <w:tcW w:type="dxa" w:w="785"/>
          </w:tcPr>
          <w:p>
            <w:r/>
            <w:r>
              <w:rPr>
                <w:rFonts w:ascii="Times New Roman" w:hAnsi="Times New Roman" w:eastAsia="宋体"/>
                <w:b/>
                <w:sz w:val="18"/>
              </w:rPr>
              <w:t>E6</w:t>
            </w:r>
          </w:p>
        </w:tc>
        <w:tc>
          <w:tcPr>
            <w:tcW w:type="dxa" w:w="785"/>
          </w:tcPr>
          <w:p>
            <w:r/>
            <w:r>
              <w:rPr>
                <w:rFonts w:ascii="Times New Roman" w:hAnsi="Times New Roman" w:eastAsia="宋体"/>
                <w:b/>
                <w:sz w:val="18"/>
              </w:rPr>
              <w:t>E7</w:t>
            </w:r>
          </w:p>
        </w:tc>
        <w:tc>
          <w:tcPr>
            <w:tcW w:type="dxa" w:w="785"/>
          </w:tcPr>
          <w:p>
            <w:r/>
            <w:r>
              <w:rPr>
                <w:rFonts w:ascii="Times New Roman" w:hAnsi="Times New Roman" w:eastAsia="宋体"/>
                <w:b/>
                <w:sz w:val="18"/>
              </w:rPr>
              <w:t>E8</w:t>
            </w:r>
          </w:p>
        </w:tc>
        <w:tc>
          <w:tcPr>
            <w:tcW w:type="dxa" w:w="785"/>
          </w:tcPr>
          <w:p>
            <w:r/>
            <w:r>
              <w:rPr>
                <w:rFonts w:ascii="Times New Roman" w:hAnsi="Times New Roman" w:eastAsia="宋体"/>
                <w:b/>
                <w:sz w:val="18"/>
              </w:rPr>
              <w:t>E9</w:t>
            </w:r>
          </w:p>
        </w:tc>
        <w:tc>
          <w:tcPr>
            <w:tcW w:type="dxa" w:w="785"/>
          </w:tcPr>
          <w:p>
            <w:r/>
            <w:r>
              <w:rPr>
                <w:rFonts w:ascii="Times New Roman" w:hAnsi="Times New Roman" w:eastAsia="宋体"/>
                <w:b/>
                <w:sz w:val="18"/>
              </w:rPr>
              <w:t>E10</w:t>
            </w:r>
          </w:p>
        </w:tc>
      </w:tr>
      <w:tr>
        <w:tc>
          <w:tcPr>
            <w:tcW w:type="dxa" w:w="785"/>
          </w:tcPr>
          <w:p>
            <w:r/>
            <w:r>
              <w:rPr>
                <w:rFonts w:ascii="Times New Roman" w:hAnsi="Times New Roman" w:eastAsia="宋体"/>
                <w:b w:val="0"/>
                <w:sz w:val="18"/>
              </w:rPr>
              <w:t>US2025/0356166A1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US2022/0157045A1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US2025/0342340A1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US2022/0358358A1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US2019/0266236A1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US2026/0148045A1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US2020/0279150A1等</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US2025/0292084A1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US2026/0252911A1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CN118657218A</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CN118690782A</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US2026/0039311A1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WO2026/121926A1</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Mobius（论文）</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SwitchHead（论文）</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MoEUT（论文）</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CALM/LayerSkip（论文）</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r>
        <w:tc>
          <w:tcPr>
            <w:tcW w:type="dxa" w:w="785"/>
          </w:tcPr>
          <w:p>
            <w:r/>
            <w:r>
              <w:rPr>
                <w:rFonts w:ascii="Times New Roman" w:hAnsi="Times New Roman" w:eastAsia="宋体"/>
                <w:b w:val="0"/>
                <w:sz w:val="18"/>
              </w:rPr>
              <w:t>本项目</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c>
          <w:tcPr>
            <w:tcW w:type="dxa" w:w="785"/>
          </w:tcPr>
          <w:p>
            <w:r/>
            <w:r>
              <w:rPr>
                <w:rFonts w:ascii="Times New Roman" w:hAnsi="Times New Roman" w:eastAsia="宋体"/>
                <w:b w:val="0"/>
                <w:sz w:val="18"/>
              </w:rPr>
              <w:t>●</w:t>
            </w:r>
          </w:p>
        </w:tc>
      </w:tr>
    </w:tbl>
    <w:p>
      <w:pPr>
        <w:pStyle w:val="Heading1"/>
      </w:pPr>
      <w:r>
        <w:rPr>
          <w:rFonts w:ascii="Times New Roman" w:hAnsi="Times New Roman" w:eastAsia="黑体"/>
          <w:b/>
          <w:sz w:val="28"/>
        </w:rPr>
        <w:t>四、本项目与最接近专利的异同及创新结论</w:t>
      </w:r>
    </w:p>
    <w:p>
      <w:r>
        <w:rPr>
          <w:rFonts w:ascii="Times New Roman" w:hAnsi="Times New Roman" w:eastAsia="宋体"/>
          <w:b w:val="0"/>
          <w:sz w:val="21"/>
        </w:rPr>
        <w:t>1. 与US2025/0356166A1（循环变换器）相比：同为“在变换器上引入循环复用”，但本项目把前馈网络与查询、键、值、输出投影统一解耦为全局共享记忆库，各循环推理器带独立路由器按块稀疏寻址，并加入键值绑定、逐块分派与提前退出；该专利仅在块内以逐元素运算+门控实现循环，参数仍随层持有，无跨循环共享参数与稀疏路由。</w:t>
      </w:r>
    </w:p>
    <w:p>
      <w:r>
        <w:rPr>
          <w:rFonts w:ascii="Times New Roman" w:hAnsi="Times New Roman" w:eastAsia="宋体"/>
          <w:b w:val="0"/>
          <w:sz w:val="21"/>
        </w:rPr>
        <w:t>2. 与US2022/0157045A1、US2019/0266236A1（提前退出）相比：二者已公开“门/置信度决定是否退出”，其中前者还公开“比较当前与上一时间步中间激活”的状态变化思路，后者公开“置信度≥阈值则早退”。本项目不主张单信号早退本身，创新在于：①在循环共享记忆模型上以校准读出同时产生最大概率、概率间隔与归一化状态变化三信号；②校准读出在冻结共享头上以恒等初始化（低秩+每深度偏置+温度）接入，未训练时与原模型逐位一致、可整块插拔；③训练阶段禁用停机、仅推理启用。</w:t>
      </w:r>
    </w:p>
    <w:p>
      <w:r>
        <w:rPr>
          <w:rFonts w:ascii="Times New Roman" w:hAnsi="Times New Roman" w:eastAsia="宋体"/>
          <w:b w:val="0"/>
          <w:sz w:val="21"/>
        </w:rPr>
        <w:t>3. 与US2025/0342340A1（校准集安全早退）相比：该专利在推理前用校准样本对置信度阈值做假设检验式评估（对预测一致性、置信度一致性、性能连续性分别求阈值后取最大值），以单一置信度信号为主；本项目的停机不依赖任何推理前阈值搜索，直接使用第二阶段训练所得的深度选择分布 ρ=softmax(−l_t/T) 并取其最大概率深度（批级）退出；为使训练与推理分布一致，短列表交叉熵项的先验质量退火到0，训练所得六项权重与终点温度随检查点保存并在推理时加载，构成不同的技术手段与效果。</w:t>
      </w:r>
    </w:p>
    <w:p>
      <w:r>
        <w:rPr>
          <w:rFonts w:ascii="Times New Roman" w:hAnsi="Times New Roman" w:eastAsia="宋体"/>
          <w:b w:val="0"/>
          <w:sz w:val="21"/>
        </w:rPr>
        <w:t>4. 与US2026/0148045A1（早退头+两阶段）相比：该专利公开“早退头与模型联合训练后冻结模型、仅微调早退头”，以及用早退头在不同生成模型间路由；本项目两阶段为“阶段一纯预训练（不含读出）、阶段二冻结全部骨干与路由器仅训逐深度校准读出”，读出用于同一模型内逐深度停机，停机深度由训练所得深度选择分布的argmax直接给出，且读出具有恒等初始化与逐深度偏置/温度；在权利要求中应以“阶段一不含读出参数、阶段二仅训练读出参数；停机=深度选择分布argmax；读出恒等初始化”作限定以形成区别。</w:t>
      </w:r>
    </w:p>
    <w:p>
      <w:r>
        <w:rPr>
          <w:rFonts w:ascii="Times New Roman" w:hAnsi="Times New Roman" w:eastAsia="宋体"/>
          <w:b w:val="0"/>
          <w:sz w:val="21"/>
        </w:rPr>
        <w:t>5. 与CN118657218A、CN118690782A（注意力查询投影专家化）相比：二者已公开在层内对查询投影做专家选择（按子向量或按注意力头），本项目不单独主张“注意力投影专家化”；创新在于把查询、键、值、输出投影与前馈网络放入同一全局共享记忆库，由每个循环的四个路由头分别选择，且键与值强制共用同一路由头的同一组块号与权重，并配套逐块分派与四头负载均衡。</w:t>
      </w:r>
    </w:p>
    <w:p>
      <w:r>
        <w:rPr>
          <w:rFonts w:ascii="Times New Roman" w:hAnsi="Times New Roman" w:eastAsia="宋体"/>
          <w:b w:val="0"/>
          <w:sz w:val="21"/>
        </w:rPr>
        <w:t>6. 与US2020/0279150A1等（混合专家）相比：MoE门控、噪声负载均衡、稀疏top-k、softmax加权均为已公开基础技术；本项目的差异是路由对象为全局记忆中的四类参数块（含注意力投影），且均衡损失为“全库重要性×硬负载”并按四个路由头分别计算后平均。</w:t>
      </w:r>
    </w:p>
    <w:p>
      <w:r>
        <w:rPr>
          <w:rFonts w:ascii="Times New Roman" w:hAnsi="Times New Roman" w:eastAsia="宋体"/>
          <w:b w:val="0"/>
          <w:sz w:val="21"/>
        </w:rPr>
        <w:t>7. 综合结论：未见任何单一专利公开“前馈网络与查询/键值/输出投影统一全局共享记忆+多循环推理器独立四头稀疏路由+键值绑定”的架构，也未见“恒等初始化逐深度校准读出+训练所得深度选择分布的argmax停机（六项权重与温度随检查点保存）+两阶段训练”的完整组合。建议独立权利要求聚焦统一共享记忆与循环多路由架构，并列独立权利要求保护两阶段读出训练与深度选择分布停机方法；在背景技术中明确引用US2025/0356166A1、US2025/0342340A1、US2026/0148045A1、CN118657218A、CN118690782A作为最接近现有技术，并以“三信号停机代价、恒等初始化、块级绑定与分派、深度选择分布argmax”为区别技术特征。</w:t>
      </w:r>
    </w:p>
    <w:p>
      <w:pPr>
        <w:pStyle w:val="Heading1"/>
      </w:pPr>
      <w:r>
        <w:rPr>
          <w:rFonts w:ascii="Times New Roman" w:hAnsi="Times New Roman" w:eastAsia="黑体"/>
          <w:b/>
          <w:sz w:val="28"/>
        </w:rPr>
        <w:t>五、检索方法与记录</w:t>
      </w:r>
    </w:p>
    <w:p>
      <w:r>
        <w:rPr>
          <w:rFonts w:ascii="Times New Roman" w:hAnsi="Times New Roman" w:eastAsia="宋体"/>
          <w:b w:val="0"/>
          <w:sz w:val="21"/>
        </w:rPr>
        <w:t>检索库与方式：WIPO PATENTSCOPE（英文标题/摘要/全文检索，如EN_TI、EN_AB字段）；USPTO公开文本PDF（image-ppubs下载，经OCR逐页核对权利要求）；arXiv API与OpenAlex（论文与作者信息）。</w:t>
      </w:r>
    </w:p>
    <w:p>
      <w:r>
        <w:rPr>
          <w:rFonts w:ascii="Times New Roman" w:hAnsi="Times New Roman" w:eastAsia="宋体"/>
          <w:b w:val="0"/>
          <w:sz w:val="21"/>
        </w:rPr>
        <w:t>代表性检索式：EN_TI:("mixture of experts")；EN_AB:("mixture of experts" AND "self-attention")；EN_TI:(expert AND attention)；EN_AB:(attention AND expert AND projection)；EN_TI:(early exit)；EN_AB:("early exit" AND inference)；EN_AB:("confidence" AND "early exit")；EN_TI:(recurrence AND transformer)；EN_AB:("key and value" AND routing AND attention)；EN_AB:("shared experts" AND layer)；EN_AB:("adaptive depth" AND neural)；EN_AB:(router AND "load balancing" AND experts)；EN_AB:("knowledge" AND "reasoning" AND "decoupl")。</w:t>
      </w:r>
    </w:p>
    <w:p>
      <w:r>
        <w:rPr>
          <w:rFonts w:ascii="Times New Roman" w:hAnsi="Times New Roman" w:eastAsia="宋体"/>
          <w:b w:val="0"/>
          <w:sz w:val="21"/>
        </w:rPr>
        <w:t>说明：USPTO全文为图像版PDF，权利要求要点由OCR并人工核对；CN专利以PATENTSCOPE英文摘要为准，未获取其权利要求全文；检索结论仅代表上述库在检索日可见的文献。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