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drawing>
          <wp:inline distT="0" distB="0" distL="0" distR="0">
            <wp:extent cx="685800" cy="847725"/>
            <wp:effectExtent t="0" r="0" b="0" l="0"/>
            <wp:docPr id="1" name="logo" descr="Logo Universidad de Santiago de Chile" title="Logo US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 cy="847725"/>
                    </a:xfrm>
                    <a:prstGeom prst="rect">
                      <a:avLst/>
                    </a:prstGeom>
                  </pic:spPr>
                </pic:pic>
              </a:graphicData>
            </a:graphic>
          </wp:inline>
        </w:drawing>
      </w:r>
    </w:p>
    <w:p>
      <w:pPr>
        <w:spacing w:after="120" w:before="200"/>
        <w:jc w:val="center"/>
      </w:pPr>
      <w:r>
        <w:rPr>
          <w:rFonts w:ascii="Arial" w:cs="Arial" w:eastAsia="Arial" w:hAnsi="Arial"/>
          <w:b/>
          <w:bCs/>
          <w:sz w:val="30"/>
          <w:szCs w:val="30"/>
        </w:rPr>
        <w:t xml:space="preserve">UNIVERSIDAD DE SANTIAGO DE CHILE</w:t>
      </w:r>
    </w:p>
    <w:p>
      <w:pPr>
        <w:spacing w:after="80" w:before="0"/>
        <w:jc w:val="center"/>
      </w:pPr>
      <w:r>
        <w:rPr>
          <w:rFonts w:ascii="Arial" w:cs="Arial" w:eastAsia="Arial" w:hAnsi="Arial"/>
          <w:b/>
          <w:bCs/>
          <w:sz w:val="26"/>
          <w:szCs w:val="26"/>
        </w:rPr>
        <w:t xml:space="preserve">FACULTAD DE INGENIERÍA</w:t>
      </w:r>
    </w:p>
    <w:p>
      <w:pPr>
        <w:spacing w:after="1500" w:before="0"/>
        <w:jc w:val="center"/>
      </w:pPr>
      <w:r>
        <w:rPr>
          <w:rFonts w:ascii="Arial" w:cs="Arial" w:eastAsia="Arial" w:hAnsi="Arial"/>
          <w:b/>
          <w:bCs/>
          <w:sz w:val="24"/>
          <w:szCs w:val="24"/>
        </w:rPr>
        <w:t xml:space="preserve">Departamento de Ingeniería Industrial</w:t>
      </w:r>
    </w:p>
    <w:p>
      <w:pPr>
        <w:spacing w:after="1000" w:before="0"/>
        <w:jc w:val="center"/>
      </w:pPr>
      <w:r>
        <w:rPr>
          <w:rFonts w:ascii="Arial" w:cs="Arial" w:eastAsia="Arial" w:hAnsi="Arial"/>
          <w:b/>
          <w:bCs/>
          <w:sz w:val="30"/>
          <w:szCs w:val="30"/>
        </w:rPr>
        <w:t xml:space="preserve">Lineamientos Estratégicos para el Aprovechamiento de las Capacidades del Centro Espacial Nacional (CEN) y la Articulación del Ecosistema Espacial Chileno</w:t>
      </w:r>
    </w:p>
    <w:p>
      <w:pPr>
        <w:spacing w:after="900" w:before="0"/>
        <w:jc w:val="center"/>
      </w:pPr>
      <w:r>
        <w:rPr>
          <w:rFonts w:ascii="Arial" w:cs="Arial" w:eastAsia="Arial" w:hAnsi="Arial"/>
          <w:b/>
          <w:bCs/>
          <w:sz w:val="26"/>
          <w:szCs w:val="26"/>
        </w:rPr>
        <w:t xml:space="preserve">Waldo Manuel Escobar Arrepol</w:t>
      </w:r>
    </w:p>
    <w:p>
      <w:pPr>
        <w:spacing w:after="100"/>
        <w:ind w:left="4600"/>
      </w:pPr>
      <w:r>
        <w:rPr>
          <w:rFonts w:ascii="Arial" w:cs="Arial" w:eastAsia="Arial" w:hAnsi="Arial"/>
          <w:sz w:val="22"/>
          <w:szCs w:val="22"/>
        </w:rPr>
        <w:t xml:space="preserve">Profesora Guía: Lorena Delgado Cadena.</w:t>
      </w:r>
    </w:p>
    <w:p>
      <w:pPr>
        <w:spacing w:after="300"/>
        <w:ind w:left="4600"/>
      </w:pPr>
      <w:r>
        <w:rPr>
          <w:rFonts w:ascii="Arial" w:cs="Arial" w:eastAsia="Arial" w:hAnsi="Arial"/>
          <w:sz w:val="22"/>
          <w:szCs w:val="22"/>
        </w:rPr>
        <w:t xml:space="preserve">Memoria para optar al Título de Ingeniero Civil Industrial.</w:t>
      </w:r>
    </w:p>
    <w:p>
      <w:pPr>
        <w:spacing w:after="1100"/>
        <w:ind w:left="4600"/>
      </w:pPr>
      <w:r>
        <w:rPr>
          <w:rFonts w:ascii="Arial" w:cs="Arial" w:eastAsia="Arial" w:hAnsi="Arial"/>
          <w:sz w:val="21"/>
          <w:szCs w:val="21"/>
        </w:rPr>
        <w:t xml:space="preserve">Informe de avance (50 %): desarrollo de los Objetivos Específicos OE1, OE2 y OE3.</w:t>
      </w:r>
    </w:p>
    <w:p>
      <w:pPr>
        <w:spacing w:after="200" w:before="0"/>
        <w:jc w:val="center"/>
      </w:pPr>
      <w:r>
        <w:rPr>
          <w:rFonts w:ascii="Arial" w:cs="Arial" w:eastAsia="Arial" w:hAnsi="Arial"/>
          <w:b/>
          <w:bCs/>
          <w:sz w:val="24"/>
          <w:szCs w:val="24"/>
        </w:rPr>
        <w:t xml:space="preserve">Santiago de Chile · 2026</w:t>
      </w:r>
    </w:p>
    <w:p>
      <w:pPr>
        <w:sectPr>
          <w:pgSz w:w="12240" w:h="15840" w:orient="portrait"/>
          <w:pgMar w:top="1440" w:right="1440" w:bottom="1300" w:left="1800" w:header="708" w:footer="708" w:gutter="0"/>
          <w:pgNumType/>
          <w:docGrid w:linePitch="360"/>
        </w:sectPr>
      </w:pPr>
    </w:p>
    <w:p>
      <w:pPr>
        <w:pStyle w:val="Heading1"/>
      </w:pPr>
      <w:r>
        <w:t xml:space="preserve">RESUMEN</w:t>
      </w:r>
    </w:p>
    <w:p>
      <w:pPr>
        <w:spacing w:after="140" w:line="300"/>
        <w:jc w:val="both"/>
      </w:pPr>
      <w:r>
        <w:t xml:space="preserve">En diciembre de 2025 se inauguró en Cerrillos el Centro Espacial Nacional (CEN), la primera infraestructura del país dedicada al ensamblaje, prueba y operación de satélites en territorio chileno. Sin embargo, esa infraestructura no se ha traducido aún en cadenas de proveedores, transferencia tecnológica ni articulación estable entre el Estado, la academia y el sector privado. Esta memoria busca diseñar y evaluar lineamientos estratégicos que contribuyan al aprovechamiento de las capacidades del CEN, la transferencia tecnológica y la articulación de los actores del ecosistema espacial chileno. El presente documento corresponde al informe de avance del 50 % y acredita los tres primeros objetivos específicos, que constituyen el diagnóstico sobre el cual se diseñarán y validarán los lineamientos.</w:t>
      </w:r>
    </w:p>
    <w:p>
      <w:pPr>
        <w:spacing w:after="140" w:line="300"/>
        <w:jc w:val="both"/>
      </w:pPr>
      <w:r>
        <w:t xml:space="preserve">El OE1 caracterizó el CEN en cuatro dimensiones (infraestructura disponible, capacidades operativas, niveles de utilización y potencial de transferencia) mediante un Business Model Canvas institucional y una escala de madurez de cinco niveles. Solo el control de misión alcanza el nivel 2 (operativa); las demás capacidades se encuentran en nivel 1 (existente). El OE2 identificó siete barreras y siete factores críticos de éxito preliminares, evaluados según relevancia, impacto y posibilidad de intervención; las barreras de mayor prioridad son la ausencia de una agencia civil, el acceso de terceros no reglado y el conocimiento concentrado en la FACh. El OE3 comparó el modelo chileno con los de Argentina, Brasil, Corea del Sur y México, con Portugal como caso complementario; de la comparación se derivaron cuatro patrones comunes (conducción civil, planificación de largo plazo con rango normativo, transferencia mediante mecanismos formales y preparación previa de la capacidad de absorción) y siete mecanismos de transferencia, cuya transferibilidad al contexto chileno se evaluó en cuatro dimensiones: institucional, tecnológica, normativa y económica.</w:t>
      </w:r>
    </w:p>
    <w:p>
      <w:pPr>
        <w:spacing w:after="140" w:line="300"/>
        <w:jc w:val="both"/>
      </w:pPr>
      <w:r>
        <w:t xml:space="preserve">Los hallazgos se basan en fuentes secundarias, por lo que se presentan con un nivel de confianza explícito y como hipótesis (H1 a H9) que se contrastarán mediante entrevistas a actores clave. En las etapas siguientes se diseñarán lineamientos estructurados en fichas estratégicas, matriz de priorización y hoja de ruta (OE4), y se validarán su pertinencia, coherencia y factibilidad con expertos mediante método Delphi, junto con una evaluación de su desempeño esperado (OE5).</w:t>
      </w:r>
    </w:p>
    <w:p>
      <w:pPr>
        <w:spacing w:before="120"/>
        <w:jc w:val="both"/>
      </w:pPr>
      <w:r>
        <w:rPr>
          <w:b/>
          <w:bCs/>
        </w:rPr>
        <w:t xml:space="preserve">Palabras clave:</w:t>
      </w:r>
      <w:r>
        <w:t xml:space="preserve"> ecosistema espacial, Centro Espacial Nacional, capacidades organizacionales, factores críticos de éxito, transferencia tecnológica.</w:t>
      </w:r>
    </w:p>
    <w:p>
      <w:pPr>
        <w:pageBreakBefore/>
      </w:pPr>
    </w:p>
    <w:p>
      <w:pPr>
        <w:spacing w:after="200" w:before="0"/>
      </w:pPr>
      <w:r>
        <w:rPr>
          <w:b/>
          <w:bCs/>
          <w:color w:val="1F3864"/>
          <w:sz w:val="28"/>
          <w:szCs w:val="28"/>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pPr>
        <w:pageBreakBefore/>
        <w:spacing w:after="200"/>
      </w:pPr>
      <w:r>
        <w:rPr>
          <w:b/>
          <w:bCs/>
          <w:color w:val="1F3864"/>
          <w:sz w:val="28"/>
          <w:szCs w:val="28"/>
        </w:rPr>
        <w:t xml:space="preserve">ÍNDICE DE TABLAS</w:t>
      </w:r>
    </w:p>
    <w:p>
      <w:fldSimple w:instr="TOC \h \z \c &quot;Tabla&quot;">
        <w:r>
          <w:t xml:space="preserve">Haga clic derecho y seleccione “Actualizar campo” para generar el índice de tablas.</w:t>
        </w:r>
      </w:fldSimple>
    </w:p>
    <w:p>
      <w:pPr>
        <w:pageBreakBefore/>
        <w:spacing w:after="200"/>
      </w:pPr>
      <w:r>
        <w:rPr>
          <w:b/>
          <w:bCs/>
          <w:color w:val="1F3864"/>
          <w:sz w:val="28"/>
          <w:szCs w:val="28"/>
        </w:rPr>
        <w:t xml:space="preserve">ÍNDICE DE FIGURAS</w:t>
      </w:r>
    </w:p>
    <w:p>
      <w:fldSimple w:instr="TOC \h \z \c &quot;Figura&quot;">
        <w:r>
          <w:t xml:space="preserve">Haga clic derecho y seleccione “Actualizar campo” para generar el índice de figuras.</w:t>
        </w:r>
      </w:fldSimple>
    </w:p>
    <w:p>
      <w:pPr>
        <w:sectPr>
          <w:footerReference w:type="default" r:id="rId7"/>
          <w:pgSz w:w="12240" w:h="15840" w:orient="portrait"/>
          <w:pgMar w:top="1440" w:right="1440" w:bottom="1300" w:left="1800" w:header="708" w:footer="708" w:gutter="0"/>
          <w:pgNumType w:start="1" w:fmt="lowerRoman"/>
          <w:docGrid w:linePitch="360"/>
        </w:sectPr>
      </w:pPr>
    </w:p>
    <w:p>
      <w:pPr>
        <w:pStyle w:val="Heading1"/>
        <w:pageBreakBefore/>
      </w:pPr>
      <w:r>
        <w:t xml:space="preserve">CAPÍTULO 1. INTRODUCCIÓN</w:t>
      </w:r>
    </w:p>
    <w:p>
      <w:pPr>
        <w:spacing w:after="140" w:line="300"/>
        <w:jc w:val="both"/>
      </w:pPr>
      <w:r>
        <w:t xml:space="preserve">El sector espacial ya no es patrimonio exclusivo de las grandes potencias: países medianos y emergentes han desarrollado capacidades civiles en observación de la Tierra, telecomunicaciones y, en algunos casos, acceso al espacio. En América Latina destacan Argentina y Brasil, cuyas experiencias se analizan en el OE3. En Chile, a fines de 2025 se puso en marcha el primer Centro Espacial Nacional (CEN), ubicado en la comuna de Cerrillos, Santiago. El centro forma parte del Programa Espacial Nacional, ejecutado por el Ministerio de Defensa a través de la Dirección Espacial de la Fuerza Aérea de Chile (FACh), y se articula con la Política Nacional Espacial vigente desde julio de 2025 (Fuerza Aérea de Chile [FACh], 2025a).</w:t>
      </w:r>
    </w:p>
    <w:p>
      <w:pPr>
        <w:spacing w:after="140" w:line="300"/>
        <w:jc w:val="both"/>
      </w:pPr>
      <w:r>
        <w:t xml:space="preserve">Con el CEN se habilita, por primera vez, la posibilidad de ensamblar y operar satélites diseñados y probados en territorio chileno (Ministerio de Ciencia, Tecnología, Conocimiento e Innovación [Minciencia], 2025). Sin embargo, la inversión pública en infraestructura no se ha traducido aún en proveedores especializados ni en empresas de base tecnológica que permitan aprovechar y sostener estas capacidades. Esa brecha entre capacidad instalada y capacidad aprovechada es el eje del problema que motiva esta memoria.</w:t>
      </w:r>
    </w:p>
    <w:p>
      <w:pPr>
        <w:spacing w:after="140" w:line="300"/>
        <w:jc w:val="both"/>
      </w:pPr>
      <w:r>
        <w:t xml:space="preserve">El trabajo se enfoca en el plano estratégico y organizacional: cómo se configuran las capacidades del CEN, qué condiciones limitan su aprovechamiento y qué lineamientos podrían contribuir a la transferencia tecnológica y a la articulación de los actores del ecosistema espacial chileno. Para ello se emplean herramientas de gestión estratégica (factores críticos de éxito, modelo de negocio institucional, análisis PESTEL, benchmarking internacional) apoyadas en la literatura de capacidades organizacionales y sistemas de innovación.</w:t>
      </w:r>
    </w:p>
    <w:p>
      <w:pPr>
        <w:spacing w:after="140" w:line="300"/>
        <w:jc w:val="both"/>
      </w:pPr>
      <w:r>
        <w:t xml:space="preserve">Este documento es el </w:t>
      </w:r>
      <w:r>
        <w:rPr>
          <w:b/>
          <w:bCs/>
        </w:rPr>
        <w:t xml:space="preserve">informe de avance del 50 %</w:t>
      </w:r>
      <w:r>
        <w:t xml:space="preserve"> de la memoria. Desarrolla los tres primeros objetivos específicos —caracterizar las capacidades del CEN (OE1), identificar y priorizar barreras y factores críticos de éxito (OE2) y comparar experiencias internacionales evaluando la transferibilidad de sus mecanismos (OE3)—, que conforman el diagnóstico sobre el cual se diseñarán y validarán los lineamientos (OE4 y OE5). Los capítulos pendientes se enuncian en los Capítulos 6 a 10. Dado que el diagnóstico se construye con fuentes secundarias, sus resultados se presentan con un nivel de confianza explícito y, cuando corresponde, como hipótesis a contrastar mediante entrevistas a actores clave y validación con expertos.</w:t>
      </w:r>
    </w:p>
    <w:p>
      <w:pPr>
        <w:pStyle w:val="Heading2"/>
      </w:pPr>
      <w:r>
        <w:t xml:space="preserve">1.1 PLANTEAMIENTO DEL PROBLEMA</w:t>
      </w:r>
    </w:p>
    <w:p>
      <w:pPr>
        <w:pStyle w:val="Heading3"/>
      </w:pPr>
      <w:r>
        <w:t xml:space="preserve">1.1.1 Antecedentes del desarrollo espacial chileno</w:t>
      </w:r>
    </w:p>
    <w:p>
      <w:pPr>
        <w:spacing w:after="140" w:line="300"/>
        <w:jc w:val="both"/>
      </w:pPr>
      <w:r>
        <w:t xml:space="preserve">Durante cerca de tres décadas, el desarrollo espacial chileno estuvo ligado a la FACh. Su hito inicial fue el primer satélite nacional, el FASat Alfa (1995), que no logró separarse de su vehículo de lanzamiento y no entró en operación. La primera operación satelital efectiva fue el FASat Bravo (1998), seguido del FASat Charlie y el FASat Delta, siempre sobre la base de tecnología adquirida en el extranjero (FACh, 2025b). Esto permitió disponer de imágenes satelitales para defensa y gestión del territorio, pero no generó una cadena nacional de diseño, fabricación y operación de sistemas espaciales: Chile se comportó como usuario y no como productor de tecnología espacial.</w:t>
      </w:r>
    </w:p>
    <w:p>
      <w:pPr>
        <w:spacing w:after="140" w:line="300"/>
        <w:jc w:val="both"/>
      </w:pPr>
      <w:r>
        <w:t xml:space="preserve">A esta condición se suma la dependencia respecto del acceso al espacio. El país no cuenta con capacidad de lanzamiento y debe recurrir a terceros para poner en órbita cualquier plataforma que desarrolle, lo que condiciona su autonomía estratégica y lo sujeta a tiempos y procesos ajenos.</w:t>
      </w:r>
    </w:p>
    <w:p>
      <w:pPr>
        <w:spacing w:after="140" w:line="300"/>
        <w:jc w:val="both"/>
      </w:pPr>
      <w:r>
        <w:t xml:space="preserve">El marco institucional comenzó a modificarse en 2019 con la creación de la Dirección Espacial de la FACh y la posterior formulación del Programa Espacial Nacional. En julio de 2025 se publicó en el Diario Oficial la Política Nacional Espacial, un marco orientador que busca atraer tecnología, conocimiento y talento para operar y utilizar el espacio en beneficio del desarrollo nacional (FACh, 2025a). El CEN es la materialización física de esa política: una infraestructura llamada a servir de soporte operativo, técnico y científico del sistema nacional satelital (FACh, 2025b). Este impulso nació y está anclado en la institucionalidad de defensa, lo que dio continuidad, disciplina de proyecto y ejecución eficaz de la obra, que según la FACh alcanzó un avance cercano al 99,6 % antes de su inauguración (FACh, 2025e). Pero también generó una tensión de origen entre el carácter militar de la administración y la vocación civil y productiva que requiere el aprovechamiento del centro por parte del ecosistema.</w:t>
      </w:r>
    </w:p>
    <w:p>
      <w:pPr>
        <w:pStyle w:val="Heading3"/>
      </w:pPr>
      <w:r>
        <w:t xml:space="preserve">1.1.2 Formulación del problema</w:t>
      </w:r>
    </w:p>
    <w:p>
      <w:pPr>
        <w:spacing w:after="140" w:line="300"/>
        <w:jc w:val="both"/>
      </w:pPr>
      <w:r>
        <w:t xml:space="preserve">Desde fines de 2025 Chile dispone de una infraestructura espacial de frontera, pero carece de un modelo estratégico que permita aprovechar esas capacidades y articular a los actores del ecosistema espacial para que contribuyan a la transferencia tecnológica y al desarrollo de proveedores y empresas de base tecnológica. La instalación de Cerrillos corre el riesgo de operar como un activo tecnológico-militar aislado, en lugar de constituirse en plataforma habilitante de un ecosistema productivo más amplio.</w:t>
      </w:r>
    </w:p>
    <w:p>
      <w:pPr>
        <w:spacing w:after="140" w:line="300"/>
        <w:jc w:val="both"/>
      </w:pPr>
      <w:r>
        <w:t xml:space="preserve">Esta situación responde a factores que no son principalmente técnicos, sino institucionales, normativos, de conocimiento, de infraestructura y de financiamiento. A nivel institucional, la ausencia de una agencia espacial civil consolidada —con un proyecto de ley arrastrado desde 2018— mantiene la coordinación del sector distribuida entre el Ministerio de Defensa, el de Ciencia, la Subsecretaría de Telecomunicaciones (Subtel) y otras carteras, sin un actor articulador único (Subtel, 2024; El Mostrador, 2018, 2025). En cuanto al conocimiento, las capacidades técnicas se concentran en personal de la FACh, sin mecanismos sistematizados de transferencia hacia universidades, centros de investigación y empresas. Además, la competencia satelital y el servicio aerofotogramétrico continúan radicados en la FACh, de modo que la apertura de las capacidades del CEN al sector académico y productivo civil depende de decisiones que exceden al propio centro. El resultado es una brecha entre lo que el CEN puede hacer técnicamente y lo que el ecosistema nacional es capaz de aprovechar.</w:t>
      </w:r>
    </w:p>
    <w:p>
      <w:pPr>
        <w:spacing w:after="140" w:line="300"/>
        <w:jc w:val="both"/>
      </w:pPr>
      <w:r>
        <w:t xml:space="preserve">Las consecuencias de no resolver esta brecha operan en varios planos, sintetizados en la Figura 4 (Capítulo 4). En lo económico, se desaprovecha la oportunidad de generar encadenamientos productivos y proveedores nacionales, perpetuando una posición de usuario antes que de generador de tecnología. En lo industrial, la falta de mecanismos de transferencia dificulta la consolidación de un tejido de empresas de base tecnológica. En lo estratégico, Chile arriesga no posicionarse como centro espacial en una región donde otros países tienen trayectorias institucionales más largas (Minciencia, 2025).</w:t>
      </w:r>
    </w:p>
    <w:p>
      <w:pPr>
        <w:spacing w:after="140" w:line="300"/>
        <w:jc w:val="both"/>
      </w:pPr>
      <w:r>
        <w:t xml:space="preserve">Cabe precisar que el ecosistema espacial chileno no parte de cero: existen actores previos al CEN —una empresa aeronáutica estatal, programas universitarios de nanosatélites y centros de astroingeniería— que se encuentran dispersos y poco articulados entre sí (sección 3.8). La afirmación de que el ecosistema está débilmente articulado se apoya en esa línea base preliminar, de fuentes secundarias, y se trata como hipótesis (H8) a contrastar con fuentes primarias.</w:t>
      </w:r>
    </w:p>
    <w:p>
      <w:pPr>
        <w:pStyle w:val="Heading3"/>
      </w:pPr>
      <w:r>
        <w:t xml:space="preserve">1.1.3 Preguntas de investigación</w:t>
      </w:r>
    </w:p>
    <w:p>
      <w:pPr>
        <w:spacing w:after="140" w:line="300"/>
        <w:jc w:val="both"/>
      </w:pPr>
      <w:r>
        <w:t xml:space="preserve">El trabajo se organiza en torno a una pregunta central: </w:t>
      </w:r>
      <w:r>
        <w:rPr>
          <w:b/>
          <w:bCs/>
        </w:rPr>
        <w:t xml:space="preserve">¿qué lineamientos estratégicos permitirían aprovechar las capacidades del CEN, impulsar la transferencia tecnológica y articular a los actores del ecosistema espacial chileno?</w:t>
      </w:r>
      <w:r>
        <w:t xml:space="preserve"> Esta pregunta se desagrega en cinco interrogantes, una por objetivo específico; las tres primeras orientan el presente informe:</w:t>
      </w:r>
    </w:p>
    <w:p>
      <w:pPr>
        <w:pStyle w:val="ListParagraph"/>
        <w:numPr>
          <w:ilvl w:val="0"/>
          <w:numId w:val="2"/>
        </w:numPr>
        <w:spacing w:after="80" w:line="290"/>
        <w:jc w:val="both"/>
      </w:pPr>
      <w:r>
        <w:rPr>
          <w:b/>
          <w:bCs/>
        </w:rPr>
        <w:t xml:space="preserve">PE1 (OE1).</w:t>
      </w:r>
      <w:r>
        <w:t xml:space="preserve"> ¿Cuál es la infraestructura disponible, las capacidades operativas, el nivel de utilización y el potencial de transferencia tecnológica del CEN?</w:t>
      </w:r>
    </w:p>
    <w:p>
      <w:pPr>
        <w:pStyle w:val="ListParagraph"/>
        <w:numPr>
          <w:ilvl w:val="0"/>
          <w:numId w:val="2"/>
        </w:numPr>
        <w:spacing w:after="80" w:line="290"/>
        <w:jc w:val="both"/>
      </w:pPr>
      <w:r>
        <w:rPr>
          <w:b/>
          <w:bCs/>
        </w:rPr>
        <w:t xml:space="preserve">PE2 (OE2).</w:t>
      </w:r>
      <w:r>
        <w:t xml:space="preserve"> ¿Qué barreras y factores críticos de éxito condicionan el aprovechamiento de esas capacidades y cuáles son más relevantes, de mayor impacto y más intervenibles?</w:t>
      </w:r>
    </w:p>
    <w:p>
      <w:pPr>
        <w:pStyle w:val="ListParagraph"/>
        <w:numPr>
          <w:ilvl w:val="0"/>
          <w:numId w:val="2"/>
        </w:numPr>
        <w:spacing w:after="80" w:line="290"/>
        <w:jc w:val="both"/>
      </w:pPr>
      <w:r>
        <w:rPr>
          <w:b/>
          <w:bCs/>
        </w:rPr>
        <w:t xml:space="preserve">PE3 (OE3).</w:t>
      </w:r>
      <w:r>
        <w:t xml:space="preserve"> ¿Qué mecanismos de transferencia y articulación aplicaron otras experiencias internacionales y cuán transferibles son al contexto chileno?</w:t>
      </w:r>
    </w:p>
    <w:p>
      <w:pPr>
        <w:pStyle w:val="ListParagraph"/>
        <w:numPr>
          <w:ilvl w:val="0"/>
          <w:numId w:val="2"/>
        </w:numPr>
        <w:spacing w:after="80" w:line="290"/>
        <w:jc w:val="both"/>
      </w:pPr>
      <w:r>
        <w:rPr>
          <w:b/>
          <w:bCs/>
        </w:rPr>
        <w:t xml:space="preserve">PE4 (OE4, etapa posterior).</w:t>
      </w:r>
      <w:r>
        <w:t xml:space="preserve"> ¿Qué lineamientos estratégicos estructurados y priorizados se derivan del diagnóstico?</w:t>
      </w:r>
    </w:p>
    <w:p>
      <w:pPr>
        <w:pStyle w:val="ListParagraph"/>
        <w:numPr>
          <w:ilvl w:val="0"/>
          <w:numId w:val="2"/>
        </w:numPr>
        <w:spacing w:after="80" w:line="290"/>
        <w:jc w:val="both"/>
      </w:pPr>
      <w:r>
        <w:rPr>
          <w:b/>
          <w:bCs/>
        </w:rPr>
        <w:t xml:space="preserve">PE5 (OE5, etapa posterior).</w:t>
      </w:r>
      <w:r>
        <w:t xml:space="preserve"> ¿Cómo valoran los expertos la pertinencia, coherencia y factibilidad de los lineamientos, y cuál es su desempeño esperado?</w:t>
      </w:r>
    </w:p>
    <w:p>
      <w:pPr>
        <w:pStyle w:val="Heading2"/>
      </w:pPr>
      <w:r>
        <w:t xml:space="preserve">1.2 OBJETIVOS</w:t>
      </w:r>
    </w:p>
    <w:p>
      <w:pPr>
        <w:pStyle w:val="Heading3"/>
      </w:pPr>
      <w:r>
        <w:t xml:space="preserve">1.2.1 Objetivo general</w:t>
      </w:r>
    </w:p>
    <w:p>
      <w:pPr>
        <w:spacing w:after="140" w:line="300"/>
        <w:jc w:val="both"/>
      </w:pPr>
      <w:r>
        <w:t xml:space="preserve">Diseñar y evaluar lineamientos estratégicos que contribuyan al aprovechamiento de las capacidades del Centro Espacial Nacional (CEN), la transferencia tecnológica y la articulación de los actores del ecosistema espacial chileno.</w:t>
      </w:r>
    </w:p>
    <w:p>
      <w:pPr>
        <w:pStyle w:val="Heading3"/>
      </w:pPr>
      <w:r>
        <w:t xml:space="preserve">1.2.2 Objetivos específicos</w:t>
      </w:r>
    </w:p>
    <w:p>
      <w:pPr>
        <w:pStyle w:val="ListParagraph"/>
        <w:numPr>
          <w:ilvl w:val="0"/>
          <w:numId w:val="2"/>
        </w:numPr>
        <w:spacing w:after="80" w:line="290"/>
        <w:jc w:val="both"/>
      </w:pPr>
      <w:r>
        <w:rPr>
          <w:b/>
          <w:bCs/>
        </w:rPr>
        <w:t xml:space="preserve">OE1.</w:t>
      </w:r>
      <w:r>
        <w:t xml:space="preserve"> Caracterizar la infraestructura disponible, las capacidades operativas, los niveles de utilización y el potencial de transferencia tecnológica del CEN.</w:t>
      </w:r>
    </w:p>
    <w:p>
      <w:pPr>
        <w:pStyle w:val="ListParagraph"/>
        <w:numPr>
          <w:ilvl w:val="0"/>
          <w:numId w:val="2"/>
        </w:numPr>
        <w:spacing w:after="80" w:line="290"/>
        <w:jc w:val="both"/>
      </w:pPr>
      <w:r>
        <w:rPr>
          <w:b/>
          <w:bCs/>
        </w:rPr>
        <w:t xml:space="preserve">OE2.</w:t>
      </w:r>
      <w:r>
        <w:t xml:space="preserve"> Identificar y priorizar las barreras y los factores críticos de éxito según su relevancia, impacto y posibilidad de intervención.</w:t>
      </w:r>
    </w:p>
    <w:p>
      <w:pPr>
        <w:pStyle w:val="ListParagraph"/>
        <w:numPr>
          <w:ilvl w:val="0"/>
          <w:numId w:val="2"/>
        </w:numPr>
        <w:spacing w:after="80" w:line="290"/>
        <w:jc w:val="both"/>
      </w:pPr>
      <w:r>
        <w:rPr>
          <w:b/>
          <w:bCs/>
        </w:rPr>
        <w:t xml:space="preserve">OE3.</w:t>
      </w:r>
      <w:r>
        <w:t xml:space="preserve"> Comparar experiencias internacionales de agencias espaciales y evaluar la transferibilidad de sus mecanismos al contexto chileno.</w:t>
      </w:r>
    </w:p>
    <w:p>
      <w:pPr>
        <w:pStyle w:val="ListParagraph"/>
        <w:numPr>
          <w:ilvl w:val="0"/>
          <w:numId w:val="2"/>
        </w:numPr>
        <w:spacing w:after="80" w:line="290"/>
        <w:jc w:val="both"/>
      </w:pPr>
      <w:r>
        <w:rPr>
          <w:b/>
          <w:bCs/>
        </w:rPr>
        <w:t xml:space="preserve">OE4.</w:t>
      </w:r>
      <w:r>
        <w:t xml:space="preserve"> Diseñar lineamientos estratégicos estructurados y priorizados, derivados del diagnóstico, presentados como fichas estratégicas, matriz de priorización y hoja de ruta, con responsables, recursos, condiciones, plazos e indicadores de seguimiento.</w:t>
      </w:r>
    </w:p>
    <w:p>
      <w:pPr>
        <w:pStyle w:val="ListParagraph"/>
        <w:numPr>
          <w:ilvl w:val="0"/>
          <w:numId w:val="2"/>
        </w:numPr>
        <w:spacing w:after="80" w:line="290"/>
        <w:jc w:val="both"/>
      </w:pPr>
      <w:r>
        <w:rPr>
          <w:b/>
          <w:bCs/>
        </w:rPr>
        <w:t xml:space="preserve">OE5.</w:t>
      </w:r>
      <w:r>
        <w:t xml:space="preserve"> Validar con expertos y actores clave la pertinencia, coherencia y factibilidad de los lineamientos mediante método Delphi, y estimar su desempeño esperado con indicadores y escenarios.</w:t>
      </w:r>
    </w:p>
    <w:p>
      <w:pPr>
        <w:spacing w:after="140" w:line="300"/>
        <w:jc w:val="both"/>
      </w:pPr>
      <w:r>
        <w:t xml:space="preserve">En esta memoria, </w:t>
      </w:r>
      <w:r>
        <w:rPr>
          <w:b/>
          <w:bCs/>
        </w:rPr>
        <w:t xml:space="preserve">caracterizar</w:t>
      </w:r>
      <w:r>
        <w:t xml:space="preserve"> significa describir y evaluar al CEN en cuatro dimensiones diferenciadas, resumidas en la Tabla 1.</w:t>
      </w:r>
    </w:p>
    <w:p>
      <w:pPr>
        <w:pStyle w:val="Caption"/>
        <w:keepNext/>
        <w:spacing w:after="80" w:before="200"/>
        <w:jc w:val="center"/>
      </w:pPr>
      <w:r>
        <w:rPr>
          <w:b/>
          <w:bCs/>
        </w:rPr>
        <w:t xml:space="preserve">Tabla </w:t>
      </w:r>
      <w:fldSimple w:instr="SEQ Tabla \* ARABIC">
        <w:r>
          <w:t xml:space="preserve">1</w:t>
        </w:r>
      </w:fldSimple>
      <w:r>
        <w:rPr>
          <w:b/>
          <w:bCs/>
        </w:rPr>
        <w:t xml:space="preserve">. Dimensiones de la caracterización de las capacidades del CEN (OE1)</w:t>
      </w:r>
    </w:p>
    <w:tbl>
      <w:tblPr>
        <w:tblW w:type="dxa" w:w="9000"/>
        <w:tblBorders>
          <w:top w:val="single" w:color="A6A6A6" w:sz="4"/>
          <w:left w:val="single" w:color="A6A6A6" w:sz="4"/>
          <w:bottom w:val="single" w:color="A6A6A6" w:sz="4"/>
          <w:right w:val="single" w:color="A6A6A6" w:sz="4"/>
          <w:insideH w:val="single" w:color="A6A6A6" w:sz="4"/>
          <w:insideV w:val="single" w:color="A6A6A6" w:sz="4"/>
        </w:tblBorders>
      </w:tblPr>
      <w:tblGrid>
        <w:gridCol w:w="1800"/>
        <w:gridCol w:w="3420"/>
        <w:gridCol w:w="1800"/>
        <w:gridCol w:w="1980"/>
      </w:tblGrid>
      <w:tr>
        <w:trPr>
          <w:cantSplit/>
          <w:tblHeader/>
        </w:trPr>
        <w:tc>
          <w:tcPr>
            <w:tcW w:type="dxa" w:w="180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Dimensión</w:t>
            </w:r>
          </w:p>
        </w:tc>
        <w:tc>
          <w:tcPr>
            <w:tcW w:type="dxa" w:w="342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Qué se describe o evalúa</w:t>
            </w:r>
          </w:p>
        </w:tc>
        <w:tc>
          <w:tcPr>
            <w:tcW w:type="dxa" w:w="180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Herramienta</w:t>
            </w:r>
          </w:p>
        </w:tc>
        <w:tc>
          <w:tcPr>
            <w:tcW w:type="dxa" w:w="198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Dónde se desarrolla</w:t>
            </w:r>
          </w:p>
        </w:tc>
      </w:tr>
      <w:tr>
        <w:trPr>
          <w:cantSplit/>
        </w:trPr>
        <w:tc>
          <w:tcPr>
            <w:tcW w:type="dxa" w:w="1800"/>
            <w:tcMar>
              <w:top w:type="dxa" w:w="50"/>
              <w:left w:type="dxa" w:w="80"/>
              <w:bottom w:type="dxa" w:w="50"/>
              <w:right w:type="dxa" w:w="80"/>
            </w:tcMar>
            <w:vAlign w:val="center"/>
          </w:tcPr>
          <w:p>
            <w:pPr>
              <w:keepNext w:val="false"/>
              <w:spacing w:after="20" w:line="240"/>
              <w:jc w:val="left"/>
            </w:pPr>
            <w:r>
              <w:rPr>
                <w:sz w:val="17"/>
                <w:szCs w:val="17"/>
              </w:rPr>
              <w:t xml:space="preserve">Infraestructura disponible</w:t>
            </w:r>
          </w:p>
        </w:tc>
        <w:tc>
          <w:tcPr>
            <w:tcW w:type="dxa" w:w="3420"/>
            <w:tcMar>
              <w:top w:type="dxa" w:w="50"/>
              <w:left w:type="dxa" w:w="80"/>
              <w:bottom w:type="dxa" w:w="50"/>
              <w:right w:type="dxa" w:w="80"/>
            </w:tcMar>
            <w:vAlign w:val="center"/>
          </w:tcPr>
          <w:p>
            <w:pPr>
              <w:keepNext w:val="false"/>
              <w:spacing w:after="20" w:line="240"/>
              <w:jc w:val="left"/>
            </w:pPr>
            <w:r>
              <w:rPr>
                <w:sz w:val="17"/>
                <w:szCs w:val="17"/>
              </w:rPr>
              <w:t xml:space="preserve">Activos físicos y tecnológicos declarados (sala limpia, cámara de simulación, cómputo, laboratorio de datos) y su respaldo documental.</w:t>
            </w:r>
          </w:p>
        </w:tc>
        <w:tc>
          <w:tcPr>
            <w:tcW w:type="dxa" w:w="1800"/>
            <w:tcMar>
              <w:top w:type="dxa" w:w="50"/>
              <w:left w:type="dxa" w:w="80"/>
              <w:bottom w:type="dxa" w:w="50"/>
              <w:right w:type="dxa" w:w="80"/>
            </w:tcMar>
            <w:vAlign w:val="center"/>
          </w:tcPr>
          <w:p>
            <w:pPr>
              <w:keepNext w:val="false"/>
              <w:spacing w:after="20" w:line="240"/>
              <w:jc w:val="left"/>
            </w:pPr>
            <w:r>
              <w:rPr>
                <w:sz w:val="17"/>
                <w:szCs w:val="17"/>
              </w:rPr>
              <w:t xml:space="preserve">Levantamiento documental; clasificación de fuentes</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Secciones 3.2 y 3.4</w:t>
            </w:r>
          </w:p>
        </w:tc>
      </w:tr>
      <w:tr>
        <w:trPr>
          <w:cantSplit/>
        </w:trPr>
        <w:tc>
          <w:tcPr>
            <w:tcW w:type="dxa" w:w="1800"/>
            <w:tcMar>
              <w:top w:type="dxa" w:w="50"/>
              <w:left w:type="dxa" w:w="80"/>
              <w:bottom w:type="dxa" w:w="50"/>
              <w:right w:type="dxa" w:w="80"/>
            </w:tcMar>
            <w:vAlign w:val="center"/>
          </w:tcPr>
          <w:p>
            <w:pPr>
              <w:keepNext w:val="false"/>
              <w:spacing w:after="20" w:line="240"/>
              <w:jc w:val="left"/>
            </w:pPr>
            <w:r>
              <w:rPr>
                <w:sz w:val="17"/>
                <w:szCs w:val="17"/>
              </w:rPr>
              <w:t xml:space="preserve">Capacidades operativas</w:t>
            </w:r>
          </w:p>
        </w:tc>
        <w:tc>
          <w:tcPr>
            <w:tcW w:type="dxa" w:w="3420"/>
            <w:tcMar>
              <w:top w:type="dxa" w:w="50"/>
              <w:left w:type="dxa" w:w="80"/>
              <w:bottom w:type="dxa" w:w="50"/>
              <w:right w:type="dxa" w:w="80"/>
            </w:tcMar>
            <w:vAlign w:val="center"/>
          </w:tcPr>
          <w:p>
            <w:pPr>
              <w:keepNext w:val="false"/>
              <w:spacing w:after="20" w:line="240"/>
              <w:jc w:val="left"/>
            </w:pPr>
            <w:r>
              <w:rPr>
                <w:sz w:val="17"/>
                <w:szCs w:val="17"/>
              </w:rPr>
              <w:t xml:space="preserve">Rutinas que integran los recursos para ensamblar, probar y operar satélites y procesar datos; formación de dotación.</w:t>
            </w:r>
          </w:p>
        </w:tc>
        <w:tc>
          <w:tcPr>
            <w:tcW w:type="dxa" w:w="1800"/>
            <w:tcMar>
              <w:top w:type="dxa" w:w="50"/>
              <w:left w:type="dxa" w:w="80"/>
              <w:bottom w:type="dxa" w:w="50"/>
              <w:right w:type="dxa" w:w="80"/>
            </w:tcMar>
            <w:vAlign w:val="center"/>
          </w:tcPr>
          <w:p>
            <w:pPr>
              <w:keepNext w:val="false"/>
              <w:spacing w:after="20" w:line="240"/>
              <w:jc w:val="left"/>
            </w:pPr>
            <w:r>
              <w:rPr>
                <w:sz w:val="17"/>
                <w:szCs w:val="17"/>
              </w:rPr>
              <w:t xml:space="preserve">Mapa funcional; Business Model Canvas</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Secciones 3.3 y 3.5</w:t>
            </w:r>
          </w:p>
        </w:tc>
      </w:tr>
      <w:tr>
        <w:trPr>
          <w:cantSplit/>
        </w:trPr>
        <w:tc>
          <w:tcPr>
            <w:tcW w:type="dxa" w:w="1800"/>
            <w:tcMar>
              <w:top w:type="dxa" w:w="50"/>
              <w:left w:type="dxa" w:w="80"/>
              <w:bottom w:type="dxa" w:w="50"/>
              <w:right w:type="dxa" w:w="80"/>
            </w:tcMar>
            <w:vAlign w:val="center"/>
          </w:tcPr>
          <w:p>
            <w:pPr>
              <w:keepNext w:val="false"/>
              <w:spacing w:after="20" w:line="240"/>
              <w:jc w:val="left"/>
            </w:pPr>
            <w:r>
              <w:rPr>
                <w:sz w:val="17"/>
                <w:szCs w:val="17"/>
              </w:rPr>
              <w:t xml:space="preserve">Niveles de utilización</w:t>
            </w:r>
          </w:p>
        </w:tc>
        <w:tc>
          <w:tcPr>
            <w:tcW w:type="dxa" w:w="3420"/>
            <w:tcMar>
              <w:top w:type="dxa" w:w="50"/>
              <w:left w:type="dxa" w:w="80"/>
              <w:bottom w:type="dxa" w:w="50"/>
              <w:right w:type="dxa" w:w="80"/>
            </w:tcMar>
            <w:vAlign w:val="center"/>
          </w:tcPr>
          <w:p>
            <w:pPr>
              <w:keepNext w:val="false"/>
              <w:spacing w:after="20" w:line="240"/>
              <w:jc w:val="left"/>
            </w:pPr>
            <w:r>
              <w:rPr>
                <w:sz w:val="17"/>
                <w:szCs w:val="17"/>
              </w:rPr>
              <w:t xml:space="preserve">Grado de uso real y de interacción con terceros de cada capacidad.</w:t>
            </w:r>
          </w:p>
        </w:tc>
        <w:tc>
          <w:tcPr>
            <w:tcW w:type="dxa" w:w="1800"/>
            <w:tcMar>
              <w:top w:type="dxa" w:w="50"/>
              <w:left w:type="dxa" w:w="80"/>
              <w:bottom w:type="dxa" w:w="50"/>
              <w:right w:type="dxa" w:w="80"/>
            </w:tcMar>
            <w:vAlign w:val="center"/>
          </w:tcPr>
          <w:p>
            <w:pPr>
              <w:keepNext w:val="false"/>
              <w:spacing w:after="20" w:line="240"/>
              <w:jc w:val="left"/>
            </w:pPr>
            <w:r>
              <w:rPr>
                <w:sz w:val="17"/>
                <w:szCs w:val="17"/>
              </w:rPr>
              <w:t xml:space="preserve">Escala de madurez de cinco niveles</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Sección 3.6</w:t>
            </w:r>
          </w:p>
        </w:tc>
      </w:tr>
      <w:tr>
        <w:trPr>
          <w:cantSplit/>
        </w:trPr>
        <w:tc>
          <w:tcPr>
            <w:tcW w:type="dxa" w:w="1800"/>
            <w:tcMar>
              <w:top w:type="dxa" w:w="50"/>
              <w:left w:type="dxa" w:w="80"/>
              <w:bottom w:type="dxa" w:w="50"/>
              <w:right w:type="dxa" w:w="80"/>
            </w:tcMar>
            <w:vAlign w:val="center"/>
          </w:tcPr>
          <w:p>
            <w:pPr>
              <w:keepNext w:val="false"/>
              <w:spacing w:after="20" w:line="240"/>
              <w:jc w:val="left"/>
            </w:pPr>
            <w:r>
              <w:rPr>
                <w:sz w:val="17"/>
                <w:szCs w:val="17"/>
              </w:rPr>
              <w:t xml:space="preserve">Potencial de transferencia</w:t>
            </w:r>
          </w:p>
        </w:tc>
        <w:tc>
          <w:tcPr>
            <w:tcW w:type="dxa" w:w="3420"/>
            <w:tcMar>
              <w:top w:type="dxa" w:w="50"/>
              <w:left w:type="dxa" w:w="80"/>
              <w:bottom w:type="dxa" w:w="50"/>
              <w:right w:type="dxa" w:w="80"/>
            </w:tcMar>
            <w:vAlign w:val="center"/>
          </w:tcPr>
          <w:p>
            <w:pPr>
              <w:keepNext w:val="false"/>
              <w:spacing w:after="20" w:line="240"/>
              <w:jc w:val="left"/>
            </w:pPr>
            <w:r>
              <w:rPr>
                <w:sz w:val="17"/>
                <w:szCs w:val="17"/>
              </w:rPr>
              <w:t xml:space="preserve">Receptores posibles, forma de transferencia y condiciones habilitantes de cada capacidad.</w:t>
            </w:r>
          </w:p>
        </w:tc>
        <w:tc>
          <w:tcPr>
            <w:tcW w:type="dxa" w:w="1800"/>
            <w:tcMar>
              <w:top w:type="dxa" w:w="50"/>
              <w:left w:type="dxa" w:w="80"/>
              <w:bottom w:type="dxa" w:w="50"/>
              <w:right w:type="dxa" w:w="80"/>
            </w:tcMar>
            <w:vAlign w:val="center"/>
          </w:tcPr>
          <w:p>
            <w:pPr>
              <w:keepNext w:val="false"/>
              <w:spacing w:after="20" w:line="240"/>
              <w:jc w:val="left"/>
            </w:pPr>
            <w:r>
              <w:rPr>
                <w:sz w:val="17"/>
                <w:szCs w:val="17"/>
              </w:rPr>
              <w:t xml:space="preserve">Matriz de potencial de transferencia</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Sección 3.7</w:t>
            </w:r>
          </w:p>
        </w:tc>
      </w:tr>
    </w:tbl>
    <w:p>
      <w:pPr>
        <w:spacing w:after="200" w:before="60"/>
        <w:jc w:val="center"/>
      </w:pPr>
      <w:r>
        <w:rPr>
          <w:i/>
          <w:iCs/>
          <w:sz w:val="17"/>
          <w:szCs w:val="17"/>
        </w:rPr>
        <w:t xml:space="preserve">Fuente: Elaboración propia.</w:t>
      </w:r>
    </w:p>
    <w:p>
      <w:pPr>
        <w:pStyle w:val="Heading3"/>
      </w:pPr>
      <w:r>
        <w:t xml:space="preserve">1.2.3 Alcance del presente informe de avance</w:t>
      </w:r>
    </w:p>
    <w:p>
      <w:pPr>
        <w:spacing w:after="140" w:line="300"/>
        <w:jc w:val="both"/>
      </w:pPr>
      <w:r>
        <w:t xml:space="preserve">Por dependencia metodológica, la identificación de factores críticos de éxito y barreras (OE2) requiere haber caracterizado antes el objeto sobre el cual operan (OE1); el OE3 cierra la secuencia contrastando el diagnóstico interno con experiencias internacionales comparables. Se trata de una secuencia lógica y no de una yuxtaposición de ideas.</w:t>
      </w:r>
    </w:p>
    <w:p>
      <w:pPr>
        <w:spacing w:after="140" w:line="300"/>
        <w:jc w:val="both"/>
      </w:pPr>
      <w:r>
        <w:t xml:space="preserve">En este avance los tres objetivos se desarrollan con información secundaria: documentos oficiales de la FACh y del Ministerio de Ciencia, comunicados institucionales, normativa y prensa especializada. El levantamiento primario mediante entrevistas semiestructuradas a personal del CEN y expertos relacionados, así como la validación Delphi, corresponden a las etapas siguientes. Los resultados deben leerse, por tanto, como una caracterización y un diagnóstico de base documental que será contrastado y enriquecido con fuentes primarias.</w:t>
      </w:r>
    </w:p>
    <w:p>
      <w:pPr>
        <w:spacing w:after="140" w:line="300"/>
        <w:jc w:val="both"/>
      </w:pPr>
      <w:r>
        <w:t xml:space="preserve">Los resultados cargan con los límites propios de la información secundaria: posible sesgo optimista de los comunicados oficiales; dependencia de fuentes únicas para algunas cifras clave; prensa que podría replicar versiones oficiales; variaciones de denominación entre fuentes; y ausencia de datos de gestión interna, de cifras de inversión y presupuesto y de una línea base cuantitativa del sector. La escala de madurez, las fortalezas del Canvas, los puntajes de priorización y las evaluaciones de viabilidad son </w:t>
      </w:r>
      <w:r>
        <w:rPr>
          <w:b/>
          <w:bCs/>
        </w:rPr>
        <w:t xml:space="preserve">valoraciones preliminares del autor</w:t>
      </w:r>
      <w:r>
        <w:t xml:space="preserve">, no mediciones validadas; por ello se acompañan de un nivel de confianza (sección 2.9) y los hallazgos más relevantes se registran como hipótesis (sección 2.10).</w:t>
      </w:r>
    </w:p>
    <w:p>
      <w:pPr>
        <w:spacing w:after="140" w:line="300"/>
        <w:jc w:val="both"/>
      </w:pPr>
      <w:r>
        <w:t xml:space="preserve">La Tabla 2 resume el estado de acreditación de cada objetivo.</w:t>
      </w:r>
    </w:p>
    <w:p>
      <w:pPr>
        <w:pStyle w:val="Caption"/>
        <w:keepNext/>
        <w:spacing w:after="80" w:before="200"/>
        <w:jc w:val="center"/>
      </w:pPr>
      <w:r>
        <w:rPr>
          <w:b/>
          <w:bCs/>
        </w:rPr>
        <w:t xml:space="preserve">Tabla </w:t>
      </w:r>
      <w:fldSimple w:instr="SEQ Tabla \* ARABIC">
        <w:r>
          <w:t xml:space="preserve">2</w:t>
        </w:r>
      </w:fldSimple>
      <w:r>
        <w:rPr>
          <w:b/>
          <w:bCs/>
        </w:rPr>
        <w:t xml:space="preserve">. Estado de acreditación de los objetivos OE1, OE2 y OE3</w:t>
      </w:r>
    </w:p>
    <w:tbl>
      <w:tblPr>
        <w:tblW w:type="dxa" w:w="9000"/>
        <w:tblBorders>
          <w:top w:val="single" w:color="A6A6A6" w:sz="4"/>
          <w:left w:val="single" w:color="A6A6A6" w:sz="4"/>
          <w:bottom w:val="single" w:color="A6A6A6" w:sz="4"/>
          <w:right w:val="single" w:color="A6A6A6" w:sz="4"/>
          <w:insideH w:val="single" w:color="A6A6A6" w:sz="4"/>
          <w:insideV w:val="single" w:color="A6A6A6" w:sz="4"/>
        </w:tblBorders>
      </w:tblPr>
      <w:tblGrid>
        <w:gridCol w:w="720"/>
        <w:gridCol w:w="2430"/>
        <w:gridCol w:w="1800"/>
        <w:gridCol w:w="4050"/>
      </w:tblGrid>
      <w:tr>
        <w:trPr>
          <w:cantSplit/>
          <w:tblHeader/>
        </w:trPr>
        <w:tc>
          <w:tcPr>
            <w:tcW w:type="dxa" w:w="72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Objetivo</w:t>
            </w:r>
          </w:p>
        </w:tc>
        <w:tc>
          <w:tcPr>
            <w:tcW w:type="dxa" w:w="243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Ámbito / componente</w:t>
            </w:r>
          </w:p>
        </w:tc>
        <w:tc>
          <w:tcPr>
            <w:tcW w:type="dxa" w:w="180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Estado</w:t>
            </w:r>
          </w:p>
        </w:tc>
        <w:tc>
          <w:tcPr>
            <w:tcW w:type="dxa" w:w="405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Pendiente para su cierre</w:t>
            </w:r>
          </w:p>
        </w:tc>
      </w:tr>
      <w:tr>
        <w:trPr>
          <w:cantSplit/>
        </w:trPr>
        <w:tc>
          <w:tcPr>
            <w:tcW w:type="dxa" w:w="720"/>
            <w:tcMar>
              <w:top w:type="dxa" w:w="50"/>
              <w:left w:type="dxa" w:w="80"/>
              <w:bottom w:type="dxa" w:w="50"/>
              <w:right w:type="dxa" w:w="80"/>
            </w:tcMar>
            <w:vAlign w:val="center"/>
          </w:tcPr>
          <w:p>
            <w:pPr>
              <w:keepNext w:val="false"/>
              <w:spacing w:after="20" w:line="240"/>
              <w:jc w:val="left"/>
            </w:pPr>
            <w:r>
              <w:rPr>
                <w:sz w:val="17"/>
                <w:szCs w:val="17"/>
              </w:rPr>
              <w:t xml:space="preserve">OE1</w:t>
            </w:r>
          </w:p>
        </w:tc>
        <w:tc>
          <w:tcPr>
            <w:tcW w:type="dxa" w:w="2430"/>
            <w:tcMar>
              <w:top w:type="dxa" w:w="50"/>
              <w:left w:type="dxa" w:w="80"/>
              <w:bottom w:type="dxa" w:w="50"/>
              <w:right w:type="dxa" w:w="80"/>
            </w:tcMar>
            <w:vAlign w:val="center"/>
          </w:tcPr>
          <w:p>
            <w:pPr>
              <w:keepNext w:val="false"/>
              <w:spacing w:after="20" w:line="240"/>
              <w:jc w:val="left"/>
            </w:pPr>
            <w:r>
              <w:rPr>
                <w:sz w:val="17"/>
                <w:szCs w:val="17"/>
              </w:rPr>
              <w:t xml:space="preserve">Infraestructura y capacidades satelitales (ensamblaje, simulación, control de misión, formación)</w:t>
            </w:r>
          </w:p>
        </w:tc>
        <w:tc>
          <w:tcPr>
            <w:tcW w:type="dxa" w:w="1800"/>
            <w:tcMar>
              <w:top w:type="dxa" w:w="50"/>
              <w:left w:type="dxa" w:w="80"/>
              <w:bottom w:type="dxa" w:w="50"/>
              <w:right w:type="dxa" w:w="80"/>
            </w:tcMar>
            <w:vAlign w:val="center"/>
          </w:tcPr>
          <w:p>
            <w:pPr>
              <w:keepNext w:val="false"/>
              <w:spacing w:after="20" w:line="240"/>
              <w:jc w:val="left"/>
            </w:pPr>
            <w:r>
              <w:rPr>
                <w:sz w:val="17"/>
                <w:szCs w:val="17"/>
              </w:rPr>
              <w:t xml:space="preserve">Acreditado (base documental)</w:t>
            </w:r>
          </w:p>
        </w:tc>
        <w:tc>
          <w:tcPr>
            <w:tcW w:type="dxa" w:w="4050"/>
            <w:tcMar>
              <w:top w:type="dxa" w:w="50"/>
              <w:left w:type="dxa" w:w="80"/>
              <w:bottom w:type="dxa" w:w="50"/>
              <w:right w:type="dxa" w:w="80"/>
            </w:tcMar>
            <w:vAlign w:val="center"/>
          </w:tcPr>
          <w:p>
            <w:pPr>
              <w:keepNext w:val="false"/>
              <w:spacing w:after="20" w:line="240"/>
              <w:jc w:val="left"/>
            </w:pPr>
            <w:r>
              <w:rPr>
                <w:sz w:val="17"/>
                <w:szCs w:val="17"/>
              </w:rPr>
              <w:t xml:space="preserve">Contrastar niveles de madurez con fichas técnicas y entrevistas (sección 3.9).</w:t>
            </w:r>
          </w:p>
        </w:tc>
      </w:tr>
      <w:tr>
        <w:trPr>
          <w:cantSplit/>
        </w:trPr>
        <w:tc>
          <w:tcPr>
            <w:tcW w:type="dxa" w:w="720"/>
            <w:tcMar>
              <w:top w:type="dxa" w:w="50"/>
              <w:left w:type="dxa" w:w="80"/>
              <w:bottom w:type="dxa" w:w="50"/>
              <w:right w:type="dxa" w:w="80"/>
            </w:tcMar>
            <w:vAlign w:val="center"/>
          </w:tcPr>
          <w:p>
            <w:pPr>
              <w:keepNext w:val="false"/>
              <w:spacing w:after="20" w:line="240"/>
              <w:jc w:val="left"/>
            </w:pPr>
            <w:r>
              <w:rPr>
                <w:sz w:val="17"/>
                <w:szCs w:val="17"/>
              </w:rPr>
              <w:t xml:space="preserve">OE1</w:t>
            </w:r>
          </w:p>
        </w:tc>
        <w:tc>
          <w:tcPr>
            <w:tcW w:type="dxa" w:w="2430"/>
            <w:tcMar>
              <w:top w:type="dxa" w:w="50"/>
              <w:left w:type="dxa" w:w="80"/>
              <w:bottom w:type="dxa" w:w="50"/>
              <w:right w:type="dxa" w:w="80"/>
            </w:tcMar>
            <w:vAlign w:val="center"/>
          </w:tcPr>
          <w:p>
            <w:pPr>
              <w:keepNext w:val="false"/>
              <w:spacing w:after="20" w:line="240"/>
              <w:jc w:val="left"/>
            </w:pPr>
            <w:r>
              <w:rPr>
                <w:sz w:val="17"/>
                <w:szCs w:val="17"/>
              </w:rPr>
              <w:t xml:space="preserve">Datos y cómputo</w:t>
            </w:r>
          </w:p>
        </w:tc>
        <w:tc>
          <w:tcPr>
            <w:tcW w:type="dxa" w:w="1800"/>
            <w:tcMar>
              <w:top w:type="dxa" w:w="50"/>
              <w:left w:type="dxa" w:w="80"/>
              <w:bottom w:type="dxa" w:w="50"/>
              <w:right w:type="dxa" w:w="80"/>
            </w:tcMar>
            <w:vAlign w:val="center"/>
          </w:tcPr>
          <w:p>
            <w:pPr>
              <w:keepNext w:val="false"/>
              <w:spacing w:after="20" w:line="240"/>
              <w:jc w:val="left"/>
            </w:pPr>
            <w:r>
              <w:rPr>
                <w:sz w:val="17"/>
                <w:szCs w:val="17"/>
              </w:rPr>
              <w:t xml:space="preserve">Acreditado con vacíos</w:t>
            </w:r>
          </w:p>
        </w:tc>
        <w:tc>
          <w:tcPr>
            <w:tcW w:type="dxa" w:w="4050"/>
            <w:tcMar>
              <w:top w:type="dxa" w:w="50"/>
              <w:left w:type="dxa" w:w="80"/>
              <w:bottom w:type="dxa" w:w="50"/>
              <w:right w:type="dxa" w:w="80"/>
            </w:tcMar>
            <w:vAlign w:val="center"/>
          </w:tcPr>
          <w:p>
            <w:pPr>
              <w:keepNext w:val="false"/>
              <w:spacing w:after="20" w:line="240"/>
              <w:jc w:val="left"/>
            </w:pPr>
            <w:r>
              <w:rPr>
                <w:sz w:val="17"/>
                <w:szCs w:val="17"/>
              </w:rPr>
              <w:t xml:space="preserve">Especificar origen de los datos (sensores, resolución, calendario) y demanda real de usuarios.</w:t>
            </w:r>
          </w:p>
        </w:tc>
      </w:tr>
      <w:tr>
        <w:trPr>
          <w:cantSplit/>
        </w:trPr>
        <w:tc>
          <w:tcPr>
            <w:tcW w:type="dxa" w:w="720"/>
            <w:tcMar>
              <w:top w:type="dxa" w:w="50"/>
              <w:left w:type="dxa" w:w="80"/>
              <w:bottom w:type="dxa" w:w="50"/>
              <w:right w:type="dxa" w:w="80"/>
            </w:tcMar>
            <w:vAlign w:val="center"/>
          </w:tcPr>
          <w:p>
            <w:pPr>
              <w:keepNext w:val="false"/>
              <w:spacing w:after="20" w:line="240"/>
              <w:jc w:val="left"/>
            </w:pPr>
            <w:r>
              <w:rPr>
                <w:sz w:val="17"/>
                <w:szCs w:val="17"/>
              </w:rPr>
              <w:t xml:space="preserve">OE1</w:t>
            </w:r>
          </w:p>
        </w:tc>
        <w:tc>
          <w:tcPr>
            <w:tcW w:type="dxa" w:w="2430"/>
            <w:tcMar>
              <w:top w:type="dxa" w:w="50"/>
              <w:left w:type="dxa" w:w="80"/>
              <w:bottom w:type="dxa" w:w="50"/>
              <w:right w:type="dxa" w:w="80"/>
            </w:tcMar>
            <w:vAlign w:val="center"/>
          </w:tcPr>
          <w:p>
            <w:pPr>
              <w:keepNext w:val="false"/>
              <w:spacing w:after="20" w:line="240"/>
              <w:jc w:val="left"/>
            </w:pPr>
            <w:r>
              <w:rPr>
                <w:sz w:val="17"/>
                <w:szCs w:val="17"/>
              </w:rPr>
              <w:t xml:space="preserve">Utilización y potencial de transferencia</w:t>
            </w:r>
          </w:p>
        </w:tc>
        <w:tc>
          <w:tcPr>
            <w:tcW w:type="dxa" w:w="1800"/>
            <w:tcMar>
              <w:top w:type="dxa" w:w="50"/>
              <w:left w:type="dxa" w:w="80"/>
              <w:bottom w:type="dxa" w:w="50"/>
              <w:right w:type="dxa" w:w="80"/>
            </w:tcMar>
            <w:vAlign w:val="center"/>
          </w:tcPr>
          <w:p>
            <w:pPr>
              <w:keepNext w:val="false"/>
              <w:spacing w:after="20" w:line="240"/>
              <w:jc w:val="left"/>
            </w:pPr>
            <w:r>
              <w:rPr>
                <w:sz w:val="17"/>
                <w:szCs w:val="17"/>
              </w:rPr>
              <w:t xml:space="preserve">Acreditado (preliminar)</w:t>
            </w:r>
          </w:p>
        </w:tc>
        <w:tc>
          <w:tcPr>
            <w:tcW w:type="dxa" w:w="4050"/>
            <w:tcMar>
              <w:top w:type="dxa" w:w="50"/>
              <w:left w:type="dxa" w:w="80"/>
              <w:bottom w:type="dxa" w:w="50"/>
              <w:right w:type="dxa" w:w="80"/>
            </w:tcMar>
            <w:vAlign w:val="center"/>
          </w:tcPr>
          <w:p>
            <w:pPr>
              <w:keepNext w:val="false"/>
              <w:spacing w:after="20" w:line="240"/>
              <w:jc w:val="left"/>
            </w:pPr>
            <w:r>
              <w:rPr>
                <w:sz w:val="17"/>
                <w:szCs w:val="17"/>
              </w:rPr>
              <w:t xml:space="preserve">Registros de uso y contraste del potencial con receptores potenciales.</w:t>
            </w:r>
          </w:p>
        </w:tc>
      </w:tr>
      <w:tr>
        <w:trPr>
          <w:cantSplit/>
        </w:trPr>
        <w:tc>
          <w:tcPr>
            <w:tcW w:type="dxa" w:w="720"/>
            <w:tcMar>
              <w:top w:type="dxa" w:w="50"/>
              <w:left w:type="dxa" w:w="80"/>
              <w:bottom w:type="dxa" w:w="50"/>
              <w:right w:type="dxa" w:w="80"/>
            </w:tcMar>
            <w:vAlign w:val="center"/>
          </w:tcPr>
          <w:p>
            <w:pPr>
              <w:keepNext w:val="false"/>
              <w:spacing w:after="20" w:line="240"/>
              <w:jc w:val="left"/>
            </w:pPr>
            <w:r>
              <w:rPr>
                <w:sz w:val="17"/>
                <w:szCs w:val="17"/>
              </w:rPr>
              <w:t xml:space="preserve">OE2</w:t>
            </w:r>
          </w:p>
        </w:tc>
        <w:tc>
          <w:tcPr>
            <w:tcW w:type="dxa" w:w="2430"/>
            <w:tcMar>
              <w:top w:type="dxa" w:w="50"/>
              <w:left w:type="dxa" w:w="80"/>
              <w:bottom w:type="dxa" w:w="50"/>
              <w:right w:type="dxa" w:w="80"/>
            </w:tcMar>
            <w:vAlign w:val="center"/>
          </w:tcPr>
          <w:p>
            <w:pPr>
              <w:keepNext w:val="false"/>
              <w:spacing w:after="20" w:line="240"/>
              <w:jc w:val="left"/>
            </w:pPr>
            <w:r>
              <w:rPr>
                <w:sz w:val="17"/>
                <w:szCs w:val="17"/>
              </w:rPr>
              <w:t xml:space="preserve">Barreras y factores críticos de éxito</w:t>
            </w:r>
          </w:p>
        </w:tc>
        <w:tc>
          <w:tcPr>
            <w:tcW w:type="dxa" w:w="1800"/>
            <w:tcMar>
              <w:top w:type="dxa" w:w="50"/>
              <w:left w:type="dxa" w:w="80"/>
              <w:bottom w:type="dxa" w:w="50"/>
              <w:right w:type="dxa" w:w="80"/>
            </w:tcMar>
            <w:vAlign w:val="center"/>
          </w:tcPr>
          <w:p>
            <w:pPr>
              <w:keepNext w:val="false"/>
              <w:spacing w:after="20" w:line="240"/>
              <w:jc w:val="left"/>
            </w:pPr>
            <w:r>
              <w:rPr>
                <w:sz w:val="17"/>
                <w:szCs w:val="17"/>
              </w:rPr>
              <w:t xml:space="preserve">Acreditado (preliminar)</w:t>
            </w:r>
          </w:p>
        </w:tc>
        <w:tc>
          <w:tcPr>
            <w:tcW w:type="dxa" w:w="4050"/>
            <w:tcMar>
              <w:top w:type="dxa" w:w="50"/>
              <w:left w:type="dxa" w:w="80"/>
              <w:bottom w:type="dxa" w:w="50"/>
              <w:right w:type="dxa" w:w="80"/>
            </w:tcMar>
            <w:vAlign w:val="center"/>
          </w:tcPr>
          <w:p>
            <w:pPr>
              <w:keepNext w:val="false"/>
              <w:spacing w:after="20" w:line="240"/>
              <w:jc w:val="left"/>
            </w:pPr>
            <w:r>
              <w:rPr>
                <w:sz w:val="17"/>
                <w:szCs w:val="17"/>
              </w:rPr>
              <w:t xml:space="preserve">Contrastar relevancia, impacto e intervenibilidad con actores clave y validar prioridades (OE5).</w:t>
            </w:r>
          </w:p>
        </w:tc>
      </w:tr>
      <w:tr>
        <w:trPr>
          <w:cantSplit/>
        </w:trPr>
        <w:tc>
          <w:tcPr>
            <w:tcW w:type="dxa" w:w="720"/>
            <w:tcMar>
              <w:top w:type="dxa" w:w="50"/>
              <w:left w:type="dxa" w:w="80"/>
              <w:bottom w:type="dxa" w:w="50"/>
              <w:right w:type="dxa" w:w="80"/>
            </w:tcMar>
            <w:vAlign w:val="center"/>
          </w:tcPr>
          <w:p>
            <w:pPr>
              <w:keepNext w:val="false"/>
              <w:spacing w:after="20" w:line="240"/>
              <w:jc w:val="left"/>
            </w:pPr>
            <w:r>
              <w:rPr>
                <w:sz w:val="17"/>
                <w:szCs w:val="17"/>
              </w:rPr>
              <w:t xml:space="preserve">OE3</w:t>
            </w:r>
          </w:p>
        </w:tc>
        <w:tc>
          <w:tcPr>
            <w:tcW w:type="dxa" w:w="2430"/>
            <w:tcMar>
              <w:top w:type="dxa" w:w="50"/>
              <w:left w:type="dxa" w:w="80"/>
              <w:bottom w:type="dxa" w:w="50"/>
              <w:right w:type="dxa" w:w="80"/>
            </w:tcMar>
            <w:vAlign w:val="center"/>
          </w:tcPr>
          <w:p>
            <w:pPr>
              <w:keepNext w:val="false"/>
              <w:spacing w:after="20" w:line="240"/>
              <w:jc w:val="left"/>
            </w:pPr>
            <w:r>
              <w:rPr>
                <w:sz w:val="17"/>
                <w:szCs w:val="17"/>
              </w:rPr>
              <w:t xml:space="preserve">Comparación con CONAE, AEB, KARI/KASA y AEM; caso complementario de Portugal; transferibilidad de mecanismos</w:t>
            </w:r>
          </w:p>
        </w:tc>
        <w:tc>
          <w:tcPr>
            <w:tcW w:type="dxa" w:w="1800"/>
            <w:tcMar>
              <w:top w:type="dxa" w:w="50"/>
              <w:left w:type="dxa" w:w="80"/>
              <w:bottom w:type="dxa" w:w="50"/>
              <w:right w:type="dxa" w:w="80"/>
            </w:tcMar>
            <w:vAlign w:val="center"/>
          </w:tcPr>
          <w:p>
            <w:pPr>
              <w:keepNext w:val="false"/>
              <w:spacing w:after="20" w:line="240"/>
              <w:jc w:val="left"/>
            </w:pPr>
            <w:r>
              <w:rPr>
                <w:sz w:val="17"/>
                <w:szCs w:val="17"/>
              </w:rPr>
              <w:t xml:space="preserve">Acreditado (base documental)</w:t>
            </w:r>
          </w:p>
        </w:tc>
        <w:tc>
          <w:tcPr>
            <w:tcW w:type="dxa" w:w="4050"/>
            <w:tcMar>
              <w:top w:type="dxa" w:w="50"/>
              <w:left w:type="dxa" w:w="80"/>
              <w:bottom w:type="dxa" w:w="50"/>
              <w:right w:type="dxa" w:w="80"/>
            </w:tcMar>
            <w:vAlign w:val="center"/>
          </w:tcPr>
          <w:p>
            <w:pPr>
              <w:keepNext w:val="false"/>
              <w:spacing w:after="20" w:line="240"/>
              <w:jc w:val="left"/>
            </w:pPr>
            <w:r>
              <w:rPr>
                <w:sz w:val="17"/>
                <w:szCs w:val="17"/>
              </w:rPr>
              <w:t xml:space="preserve">Reemplazar fuentes secundarias débiles por fuentes primarias; validar transferibilidad con expertos (OE5).</w:t>
            </w:r>
          </w:p>
        </w:tc>
      </w:tr>
    </w:tbl>
    <w:p>
      <w:pPr>
        <w:spacing w:after="200" w:before="60"/>
        <w:jc w:val="center"/>
      </w:pPr>
      <w:r>
        <w:rPr>
          <w:i/>
          <w:iCs/>
          <w:sz w:val="17"/>
          <w:szCs w:val="17"/>
        </w:rPr>
        <w:t xml:space="preserve">Fuente: Elaboración propia.</w:t>
      </w:r>
    </w:p>
    <w:p>
      <w:pPr>
        <w:pStyle w:val="Heading3"/>
      </w:pPr>
      <w:r>
        <w:t xml:space="preserve">1.2.4 Delimitación del ámbito de estudio</w:t>
      </w:r>
    </w:p>
    <w:p>
      <w:pPr>
        <w:spacing w:after="140" w:line="300"/>
        <w:jc w:val="both"/>
      </w:pPr>
      <w:r>
        <w:t xml:space="preserve">El ámbito de estudio es el </w:t>
      </w:r>
      <w:r>
        <w:rPr>
          <w:b/>
          <w:bCs/>
        </w:rPr>
        <w:t xml:space="preserve">ecosistema espacial chileno</w:t>
      </w:r>
      <w:r>
        <w:t xml:space="preserve">, entendido como el conjunto de actores (FACh, ministerios y servicios públicos, universidades, centros de investigación, empresas, observatorios y cooperación internacional) y las relaciones que se establecen en torno a las actividades espaciales satelitales y de datos. La versión previa de este trabajo incorporaba, de manera exploratoria, los ámbitos de drones y aeronáutica. Como el mandato documentado del CEN se concentra en lo satelital y no fue posible demostrar un vínculo directo de esos ámbitos con el centro, </w:t>
      </w:r>
      <w:r>
        <w:rPr>
          <w:b/>
          <w:bCs/>
        </w:rPr>
        <w:t xml:space="preserve">se excluyen del OE1</w:t>
      </w:r>
      <w:r>
        <w:t xml:space="preserve">. La industria aeronáutica se considera solo en la medida en que aporta proveedores y capacidades vinculables a la demanda del CEN (por ejemplo, ENAER; sección 3.8).</w:t>
      </w:r>
    </w:p>
    <w:p>
      <w:pPr>
        <w:pStyle w:val="Heading3"/>
      </w:pPr>
      <w:r>
        <w:t xml:space="preserve">1.2.5 Horizonte de referencia: el escalamiento</w:t>
      </w:r>
    </w:p>
    <w:p>
      <w:pPr>
        <w:spacing w:after="140" w:line="300"/>
        <w:jc w:val="both"/>
      </w:pPr>
      <w:r>
        <w:t xml:space="preserve">El concepto de escalamiento se utiliza como </w:t>
      </w:r>
      <w:r>
        <w:rPr>
          <w:b/>
          <w:bCs/>
        </w:rPr>
        <w:t xml:space="preserve">horizonte de referencia</w:t>
      </w:r>
      <w:r>
        <w:t xml:space="preserve"> al que la memoria busca contribuir, no como un resultado que el estudio pueda intervenir ni demostrar. Escalar el ecosistema espacial a partir del CEN significa transitar desde una infraestructura de uso institucional cerrado hacia una plataforma que genera, de manera sostenida: (D1) demanda de bienes y servicios a proveedores nacionales; (D2) uso regulado de sus capacidades por terceros civiles (academia, empresas, organismos sectoriales); (D3) transferencia de conocimiento y formación de capital humano fuera de la dotación militar; y (D4) nuevos proyectos y empresas de base tecnológica.</w:t>
      </w:r>
    </w:p>
    <w:p>
      <w:pPr>
        <w:spacing w:after="140" w:line="300"/>
        <w:jc w:val="both"/>
      </w:pPr>
      <w:r>
        <w:t xml:space="preserve">Como indicadores tentativos se proponen el número de convenios o accesos formalizados, de proveedores nacionales vinculados, de proyectos colaborativos y de empresas o iniciativas derivadas; serán refinados y validados en OE4 y OE5. Lo que la memoria efectivamente demostrará es el </w:t>
      </w:r>
      <w:r>
        <w:rPr>
          <w:b/>
          <w:bCs/>
        </w:rPr>
        <w:t xml:space="preserve">diseño</w:t>
      </w:r>
      <w:r>
        <w:t xml:space="preserve"> de lineamientos y su </w:t>
      </w:r>
      <w:r>
        <w:rPr>
          <w:b/>
          <w:bCs/>
        </w:rPr>
        <w:t xml:space="preserve">evaluación</w:t>
      </w:r>
      <w:r>
        <w:t xml:space="preserve"> en términos de pertinencia, coherencia, factibilidad y desempeño esperado; no su impacto real sobre el escalamiento. Los factores críticos de éxito (Capítulo 4) se entienden como las condiciones cuyo cumplimiento es indispensable para avanzar hacia las cuatro dimensiones.</w:t>
      </w:r>
    </w:p>
    <w:p>
      <w:pPr>
        <w:pStyle w:val="Heading1"/>
        <w:pageBreakBefore/>
      </w:pPr>
      <w:r>
        <w:t xml:space="preserve">CAPÍTULO 2. MARCO TEÓRICO Y CONCEPTUAL</w:t>
      </w:r>
    </w:p>
    <w:p>
      <w:pPr>
        <w:spacing w:after="140" w:line="300"/>
        <w:jc w:val="both"/>
      </w:pPr>
      <w:r>
        <w:t xml:space="preserve">El abordaje del problema requiere articular cuerpos teóricos provenientes de la gestión estratégica, los estudios de innovación y la teoría organizacional. Este capítulo presenta los conceptos que estructuran el análisis, justifica las herramientas empleadas en los capítulos 3 a 5 y explicita la metodología, los criterios de evidencia y el plan de contraste con fuentes primarias.</w:t>
      </w:r>
    </w:p>
    <w:p>
      <w:pPr>
        <w:pStyle w:val="Heading2"/>
      </w:pPr>
      <w:r>
        <w:t xml:space="preserve">2.1 Capacidades organizacionales y tecnológicas</w:t>
      </w:r>
    </w:p>
    <w:p>
      <w:pPr>
        <w:spacing w:after="140" w:line="300"/>
        <w:jc w:val="both"/>
      </w:pPr>
      <w:r>
        <w:t xml:space="preserve">La noción de capacidad es central. Desde la visión basada en los recursos, la ventaja de una organización proviene de recursos valiosos, raros, difíciles de imitar y de sustituir (Barney, 1991). Una organización se distingue no tanto por los activos que posee como por su habilidad para combinarlos y desplegarlos con un propósito. Aplicada al CEN, la distinción es decisiva: contar con una sala limpia o con cómputo de alto rendimiento constituye un recurso, pero la capacidad propiamente dicha emerge cuando esos recursos se integran en rutinas que permiten ensamblar, probar y operar satélites y procesar los datos resultantes. En el contexto nacional, los recursos del CEN son escasos y difíciles de replicar en el corto plazo, aunque no necesariamente lo son en términos globales; por ello su valor depende de cómo se organicen para producir resultados.</w:t>
      </w:r>
    </w:p>
    <w:p>
      <w:pPr>
        <w:spacing w:after="140" w:line="300"/>
        <w:jc w:val="both"/>
      </w:pPr>
      <w:r>
        <w:t xml:space="preserve">El enfoque de capacidades dinámicas (Teece, Pisano &amp; Shuen, 1997) complementa lo anterior al poner el foco en la aptitud de la organización para integrar, construir y reconfigurar competencias frente a entornos cambiantes. En una institución tan joven como el CEN, esa capacidad de reconfiguración determinará si logra transferir y escalar sus competencias más allá de sus propias fronteras.</w:t>
      </w:r>
    </w:p>
    <w:p>
      <w:pPr>
        <w:pStyle w:val="Heading2"/>
      </w:pPr>
      <w:r>
        <w:t xml:space="preserve">2.2 Sistemas nacionales de innovación</w:t>
      </w:r>
    </w:p>
    <w:p>
      <w:pPr>
        <w:spacing w:after="140" w:line="300"/>
        <w:jc w:val="both"/>
      </w:pPr>
      <w:r>
        <w:t xml:space="preserve">El concepto de sistema nacional de innovación (Freeman, 1987) permite comprender el aprovechamiento de una infraestructura como un fenómeno sistémico y no solo organizacional. Según este enfoque, el desempeño innovador de un país depende de la calidad de las interacciones entre empresas, academia, centros de investigación y organismos públicos. Una infraestructura como el CEN no genera industria por sí sola, sino en la medida en que se inserta en una red de actores capaz de absorber, adaptar y comercializar el conocimiento que allí se produce.</w:t>
      </w:r>
    </w:p>
    <w:p>
      <w:pPr>
        <w:spacing w:after="140" w:line="300"/>
        <w:jc w:val="both"/>
      </w:pPr>
      <w:r>
        <w:t xml:space="preserve">Para el análisis de la transferencia y del uso por terceros se emplean además la capacidad de absorción de los potenciales usuarios (Cohen &amp; Levinthal, 1990) y el modelo de Triple Hélice de relaciones Estado-universidad-empresa (Etzkowitz &amp; Leydesdorff, 2000). La ventaja competitiva de las naciones (Porter, 1990) complementa esta visión al destacar la demanda, la rivalidad entre empresas y la presencia de industrias relacionadas y de apoyo; desde este ángulo, la debilidad del tejido productivo espacial chileno es una condición estructural que cualquier estrategia deberá enfrentar. El paradigma de la innovación abierta (Chesbrough, 2003) sostiene que las organizaciones de base tecnológica aceleran su desarrollo cuando permeabilizan sus fronteras y colaboran con actores externos, lo que ofrece un criterio normativo útil para evaluar el modelo de acceso del CEN. Finalmente, para delimitar el sector se adopta como referencia la economía espacial de la OCDE (2022), que abarca tanto las actividades de la cadena de valor como los usos y beneficios derivados de los datos y servicios espaciales.</w:t>
      </w:r>
    </w:p>
    <w:p>
      <w:pPr>
        <w:pStyle w:val="Heading2"/>
      </w:pPr>
      <w:r>
        <w:t xml:space="preserve">2.3 Factores críticos de éxito</w:t>
      </w:r>
    </w:p>
    <w:p>
      <w:pPr>
        <w:spacing w:after="140" w:line="300"/>
        <w:jc w:val="both"/>
      </w:pPr>
      <w:r>
        <w:t xml:space="preserve">La metodología de factores críticos de éxito (Rockart, 1979) parte de una premisa sencilla: en toda organización existe un número limitado de áreas en las que, si los resultados son favorables, se asegura un desempeño competitivo exitoso. Identificarlas permite concentrar la atención gerencial y los recursos donde son realmente relevantes. En su formulación original el método se apoya en entrevistas a directivos; en este trabajo, por limitaciones de acceso en esta etapa, los factores se derivan de evidencia documental y se consideran preliminares hasta su contraste con actores clave. Los factores se trabajan como dispositivo de síntesis del diagnóstico: una vez caracterizadas las capacidades (OE1) y mapeadas las barreras, el método permite evidenciar las condiciones cuyo cumplimiento resulta indispensable (OE2).</w:t>
      </w:r>
    </w:p>
    <w:p>
      <w:pPr>
        <w:pStyle w:val="Heading2"/>
      </w:pPr>
      <w:r>
        <w:t xml:space="preserve">2.4 Modelo de negocio institucional (Business Model Canvas)</w:t>
      </w:r>
    </w:p>
    <w:p>
      <w:pPr>
        <w:spacing w:after="140" w:line="300"/>
        <w:jc w:val="both"/>
      </w:pPr>
      <w:r>
        <w:t xml:space="preserve">El Business Model Canvas (Osterwalder &amp; Pigneur, 2010) descompone la lógica de creación, entrega y captura de valor de una organización en nueve bloques relacionados. Aunque se concibió para empresas, su aplicación a organizaciones públicas y de base tecnológica se ha extendido, pues permite representar de forma ordenada la propuesta de valor, los actores involucrados, los recursos clave y la estructura de costos y financiamiento. En este informe se usa como herramienta de sistematización de la caracterización del CEN, ofreciendo una visión integrada que un listado de capacidades por sí solo no proporciona.</w:t>
      </w:r>
    </w:p>
    <w:p>
      <w:pPr>
        <w:pStyle w:val="Heading2"/>
      </w:pPr>
      <w:r>
        <w:t xml:space="preserve">2.5 Análisis PESTEL y diagrama causa-efecto</w:t>
      </w:r>
    </w:p>
    <w:p>
      <w:pPr>
        <w:spacing w:after="140" w:line="300"/>
        <w:jc w:val="both"/>
      </w:pPr>
      <w:r>
        <w:t xml:space="preserve">El análisis PESTEL, de raíz en el escaneo del entorno de negocios (Aguilar, 1967), examina los factores político, económico, social, tecnológico, ecológico y legal que configuran el entorno de una organización. En el caso del CEN, cuyo desempeño está fuertemente mediado por decisiones de política pública, marcos normativos y financiamiento fiscal, el entorno explica buena parte de las barreras. Por ello el PESTEL antecede y alimenta la identificación de factores críticos: primero se comprende el entorno, luego se destilan las condiciones determinantes. Para organizar las barreras por tipo de causa se emplea el diagrama de causa-efecto de Ishikawa (1985).</w:t>
      </w:r>
    </w:p>
    <w:p>
      <w:pPr>
        <w:pStyle w:val="Heading2"/>
      </w:pPr>
      <w:r>
        <w:t xml:space="preserve">2.6 Articulación entre marcos teóricos y herramientas</w:t>
      </w:r>
    </w:p>
    <w:p>
      <w:pPr>
        <w:spacing w:after="140" w:line="300"/>
        <w:jc w:val="both"/>
      </w:pPr>
      <w:r>
        <w:t xml:space="preserve">Para evitar que el marco teórico quede como un listado de referencias, se explicita su uso concreto en el análisis:</w:t>
      </w:r>
    </w:p>
    <w:p>
      <w:pPr>
        <w:pStyle w:val="ListParagraph"/>
        <w:numPr>
          <w:ilvl w:val="0"/>
          <w:numId w:val="2"/>
        </w:numPr>
        <w:spacing w:after="80" w:line="290"/>
        <w:jc w:val="both"/>
      </w:pPr>
      <w:r>
        <w:rPr>
          <w:b/>
          <w:bCs/>
        </w:rPr>
        <w:t xml:space="preserve">Visión basada en los recursos (Barney, 1991):</w:t>
      </w:r>
      <w:r>
        <w:t xml:space="preserve"> se emplea de forma acotada para distinguir recursos de capacidades en el Canvas (Tabla 11) y en la escala de madurez; no se aplica una evaluación VRIN formal, que se reserva para la etapa de validación.</w:t>
      </w:r>
    </w:p>
    <w:p>
      <w:pPr>
        <w:pStyle w:val="ListParagraph"/>
        <w:numPr>
          <w:ilvl w:val="0"/>
          <w:numId w:val="2"/>
        </w:numPr>
        <w:spacing w:after="80" w:line="290"/>
        <w:jc w:val="both"/>
      </w:pPr>
      <w:r>
        <w:rPr>
          <w:b/>
          <w:bCs/>
        </w:rPr>
        <w:t xml:space="preserve">Capacidades dinámicas y modelos de madurez:</w:t>
      </w:r>
      <w:r>
        <w:t xml:space="preserve"> fundamento de la escala de madurez, inspirada en la lógica del Capability Maturity Model (Paulk et al., 1993).</w:t>
      </w:r>
    </w:p>
    <w:p>
      <w:pPr>
        <w:pStyle w:val="ListParagraph"/>
        <w:numPr>
          <w:ilvl w:val="0"/>
          <w:numId w:val="2"/>
        </w:numPr>
        <w:spacing w:after="80" w:line="290"/>
        <w:jc w:val="both"/>
      </w:pPr>
      <w:r>
        <w:rPr>
          <w:b/>
          <w:bCs/>
        </w:rPr>
        <w:t xml:space="preserve">Sistemas nacionales de innovación:</w:t>
      </w:r>
      <w:r>
        <w:t xml:space="preserve"> marco para analizar la brecha entre capacidad instalada y uso efectivo y para identificar a los actores del ecosistema.</w:t>
      </w:r>
    </w:p>
    <w:p>
      <w:pPr>
        <w:pStyle w:val="ListParagraph"/>
        <w:numPr>
          <w:ilvl w:val="0"/>
          <w:numId w:val="2"/>
        </w:numPr>
        <w:spacing w:after="80" w:line="290"/>
        <w:jc w:val="both"/>
      </w:pPr>
      <w:r>
        <w:rPr>
          <w:b/>
          <w:bCs/>
        </w:rPr>
        <w:t xml:space="preserve">Ventaja competitiva de las naciones (Porter, 1990):</w:t>
      </w:r>
      <w:r>
        <w:t xml:space="preserve"> lente conceptual para nombrar la debilidad del tejido de proveedores e industrias relacionadas; el análisis detallado de proveedores se abordará en OE2 a OE4.</w:t>
      </w:r>
    </w:p>
    <w:p>
      <w:pPr>
        <w:pStyle w:val="ListParagraph"/>
        <w:numPr>
          <w:ilvl w:val="0"/>
          <w:numId w:val="2"/>
        </w:numPr>
        <w:spacing w:after="80" w:line="290"/>
        <w:jc w:val="both"/>
      </w:pPr>
      <w:r>
        <w:rPr>
          <w:b/>
          <w:bCs/>
        </w:rPr>
        <w:t xml:space="preserve">Innovación abierta (Chesbrough, 2003):</w:t>
      </w:r>
      <w:r>
        <w:t xml:space="preserve"> orienta la mirada sobre los mecanismos de acceso de terceros (barrera normativa y FCE 3); su aplicación es incipiente y se profundizará al proponer el protocolo de acceso.</w:t>
      </w:r>
    </w:p>
    <w:p>
      <w:pPr>
        <w:pStyle w:val="ListParagraph"/>
        <w:numPr>
          <w:ilvl w:val="0"/>
          <w:numId w:val="2"/>
        </w:numPr>
        <w:spacing w:after="80" w:line="290"/>
        <w:jc w:val="both"/>
      </w:pPr>
      <w:r>
        <w:rPr>
          <w:b/>
          <w:bCs/>
        </w:rPr>
        <w:t xml:space="preserve">Capacidad de absorción (Cohen &amp; Levinthal, 1990) y Triple Hélice (Etzkowitz &amp; Leydesdorff, 2000):</w:t>
      </w:r>
      <w:r>
        <w:t xml:space="preserve"> orientan la lectura de la brecha de uso por terceros y del rol Estado-universidad-empresa; se aplican en OE3 (patrón 4) y se profundizarán en OE4.</w:t>
      </w:r>
    </w:p>
    <w:p>
      <w:pPr>
        <w:pStyle w:val="ListParagraph"/>
        <w:numPr>
          <w:ilvl w:val="0"/>
          <w:numId w:val="2"/>
        </w:numPr>
        <w:spacing w:after="80" w:line="290"/>
        <w:jc w:val="both"/>
      </w:pPr>
      <w:r>
        <w:rPr>
          <w:b/>
          <w:bCs/>
        </w:rPr>
        <w:t xml:space="preserve">Economía espacial (OCDE, 2022):</w:t>
      </w:r>
      <w:r>
        <w:t xml:space="preserve"> se usa solo para delimitar el sector de referencia; no se emplean aún sus indicadores de medición.</w:t>
      </w:r>
    </w:p>
    <w:p>
      <w:pPr>
        <w:pStyle w:val="Heading2"/>
      </w:pPr>
      <w:r>
        <w:t xml:space="preserve">2.7 Enfoque y diseño de investigación</w:t>
      </w:r>
    </w:p>
    <w:p>
      <w:pPr>
        <w:spacing w:after="140" w:line="300"/>
        <w:jc w:val="both"/>
      </w:pPr>
      <w:r>
        <w:t xml:space="preserve">El proyecto adopta un enfoque aplicado y un alcance descriptivo-exploratorio, de carácter predominantemente cualitativo. Es descriptivo porque busca caracterizar con precisión las capacidades del CEN, y exploratorio porque indaga en un fenómeno reciente sobre el cual existe escasa literatura académica. El diseño corresponde a un estudio de caso único de carácter integral (Yin, 2014), en el que la unidad de análisis es el CEN junto con su ecosistema institucional asociado.</w:t>
      </w:r>
    </w:p>
    <w:p>
      <w:pPr>
        <w:spacing w:after="140" w:line="300"/>
        <w:jc w:val="both"/>
      </w:pPr>
      <w:r>
        <w:t xml:space="preserve">La elección del estudio de caso responde a que se trata de una organización singular, sin equivalentes nacionales, cuyo comportamiento solo puede comprenderse en su contexto institucional específico. Como es propio de este diseño, los resultados no aspiran a una generalización estadística, sino a una generalización analítica: aportar comprensión transferible a situaciones conceptualmente similares (Yin, 2014).</w:t>
      </w:r>
    </w:p>
    <w:p>
      <w:pPr>
        <w:pStyle w:val="Heading2"/>
      </w:pPr>
      <w:r>
        <w:t xml:space="preserve">2.8 Metodología por objetivo específico</w:t>
      </w:r>
    </w:p>
    <w:p>
      <w:pPr>
        <w:spacing w:after="140" w:line="300"/>
        <w:jc w:val="both"/>
      </w:pPr>
      <w:r>
        <w:t xml:space="preserve">La Tabla 3 resume, para cada objetivo, las tareas, herramientas, fuentes y productos. Los objetivos OE1, OE2 y OE3 se desarrollan en este informe; OE4 y OE5 se desarrollarán en etapas posteriores.</w:t>
      </w:r>
    </w:p>
    <w:p>
      <w:pPr>
        <w:pStyle w:val="Caption"/>
        <w:keepNext/>
        <w:spacing w:after="80" w:before="200"/>
        <w:jc w:val="center"/>
      </w:pPr>
      <w:r>
        <w:rPr>
          <w:b/>
          <w:bCs/>
        </w:rPr>
        <w:t xml:space="preserve">Tabla </w:t>
      </w:r>
      <w:fldSimple w:instr="SEQ Tabla \* ARABIC">
        <w:r>
          <w:t xml:space="preserve">3</w:t>
        </w:r>
      </w:fldSimple>
      <w:r>
        <w:rPr>
          <w:b/>
          <w:bCs/>
        </w:rPr>
        <w:t xml:space="preserve">. Correspondencia entre objetivos específicos, herramientas, fuentes y productos</w:t>
      </w:r>
    </w:p>
    <w:tbl>
      <w:tblPr>
        <w:tblW w:type="dxa" w:w="9000"/>
        <w:tblBorders>
          <w:top w:val="single" w:color="A6A6A6" w:sz="4"/>
          <w:left w:val="single" w:color="A6A6A6" w:sz="4"/>
          <w:bottom w:val="single" w:color="A6A6A6" w:sz="4"/>
          <w:right w:val="single" w:color="A6A6A6" w:sz="4"/>
          <w:insideH w:val="single" w:color="A6A6A6" w:sz="4"/>
          <w:insideV w:val="single" w:color="A6A6A6" w:sz="4"/>
        </w:tblBorders>
      </w:tblPr>
      <w:tblGrid>
        <w:gridCol w:w="990"/>
        <w:gridCol w:w="2250"/>
        <w:gridCol w:w="1980"/>
        <w:gridCol w:w="1620"/>
        <w:gridCol w:w="2160"/>
      </w:tblGrid>
      <w:tr>
        <w:trPr>
          <w:cantSplit/>
          <w:tblHeader/>
        </w:trPr>
        <w:tc>
          <w:tcPr>
            <w:tcW w:type="dxa" w:w="99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OE</w:t>
            </w:r>
          </w:p>
        </w:tc>
        <w:tc>
          <w:tcPr>
            <w:tcW w:type="dxa" w:w="225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Tareas o pasos</w:t>
            </w:r>
          </w:p>
        </w:tc>
        <w:tc>
          <w:tcPr>
            <w:tcW w:type="dxa" w:w="198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Herramientas</w:t>
            </w:r>
          </w:p>
        </w:tc>
        <w:tc>
          <w:tcPr>
            <w:tcW w:type="dxa" w:w="162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Fuentes</w:t>
            </w:r>
          </w:p>
        </w:tc>
        <w:tc>
          <w:tcPr>
            <w:tcW w:type="dxa" w:w="216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Producto</w:t>
            </w:r>
          </w:p>
        </w:tc>
      </w:tr>
      <w:tr>
        <w:trPr>
          <w:cantSplit/>
        </w:trPr>
        <w:tc>
          <w:tcPr>
            <w:tcW w:type="dxa" w:w="990"/>
            <w:tcMar>
              <w:top w:type="dxa" w:w="50"/>
              <w:left w:type="dxa" w:w="80"/>
              <w:bottom w:type="dxa" w:w="50"/>
              <w:right w:type="dxa" w:w="80"/>
            </w:tcMar>
            <w:vAlign w:val="center"/>
          </w:tcPr>
          <w:p>
            <w:pPr>
              <w:keepNext w:val="false"/>
              <w:spacing w:after="20" w:line="240"/>
              <w:jc w:val="left"/>
            </w:pPr>
            <w:r>
              <w:rPr>
                <w:sz w:val="17"/>
                <w:szCs w:val="17"/>
              </w:rPr>
              <w:t xml:space="preserve">OE1 (este informe)</w:t>
            </w:r>
          </w:p>
        </w:tc>
        <w:tc>
          <w:tcPr>
            <w:tcW w:type="dxa" w:w="2250"/>
            <w:tcMar>
              <w:top w:type="dxa" w:w="50"/>
              <w:left w:type="dxa" w:w="80"/>
              <w:bottom w:type="dxa" w:w="50"/>
              <w:right w:type="dxa" w:w="80"/>
            </w:tcMar>
            <w:vAlign w:val="center"/>
          </w:tcPr>
          <w:p>
            <w:pPr>
              <w:keepNext w:val="false"/>
              <w:spacing w:after="20" w:line="240"/>
              <w:jc w:val="left"/>
            </w:pPr>
            <w:r>
              <w:rPr>
                <w:sz w:val="17"/>
                <w:szCs w:val="17"/>
              </w:rPr>
              <w:t xml:space="preserve">Levantamiento documental; sistematización en Canvas; evaluación de madurez y de potencial de transferencia; plan de verificación de evidencia.</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Análisis documental; Business Model Canvas; escala de madurez; matriz de potencial de transferencia.</w:t>
            </w:r>
          </w:p>
        </w:tc>
        <w:tc>
          <w:tcPr>
            <w:tcW w:type="dxa" w:w="1620"/>
            <w:tcMar>
              <w:top w:type="dxa" w:w="50"/>
              <w:left w:type="dxa" w:w="80"/>
              <w:bottom w:type="dxa" w:w="50"/>
              <w:right w:type="dxa" w:w="80"/>
            </w:tcMar>
            <w:vAlign w:val="center"/>
          </w:tcPr>
          <w:p>
            <w:pPr>
              <w:keepNext w:val="false"/>
              <w:spacing w:after="20" w:line="240"/>
              <w:jc w:val="left"/>
            </w:pPr>
            <w:r>
              <w:rPr>
                <w:sz w:val="17"/>
                <w:szCs w:val="17"/>
              </w:rPr>
              <w:t xml:space="preserve">Osterwalder y Pigneur (2010); FACh; Minciencia; prensa; fuentes primarias (por levantar).</w:t>
            </w:r>
          </w:p>
        </w:tc>
        <w:tc>
          <w:tcPr>
            <w:tcW w:type="dxa" w:w="2160"/>
            <w:tcMar>
              <w:top w:type="dxa" w:w="50"/>
              <w:left w:type="dxa" w:w="80"/>
              <w:bottom w:type="dxa" w:w="50"/>
              <w:right w:type="dxa" w:w="80"/>
            </w:tcMar>
            <w:vAlign w:val="center"/>
          </w:tcPr>
          <w:p>
            <w:pPr>
              <w:keepNext w:val="false"/>
              <w:spacing w:after="20" w:line="240"/>
              <w:jc w:val="left"/>
            </w:pPr>
            <w:r>
              <w:rPr>
                <w:sz w:val="17"/>
                <w:szCs w:val="17"/>
              </w:rPr>
              <w:t xml:space="preserve">Caracterización en cuatro dimensiones; tabla de verificación de evidencia.</w:t>
            </w:r>
          </w:p>
        </w:tc>
      </w:tr>
      <w:tr>
        <w:trPr>
          <w:cantSplit/>
        </w:trPr>
        <w:tc>
          <w:tcPr>
            <w:tcW w:type="dxa" w:w="990"/>
            <w:tcMar>
              <w:top w:type="dxa" w:w="50"/>
              <w:left w:type="dxa" w:w="80"/>
              <w:bottom w:type="dxa" w:w="50"/>
              <w:right w:type="dxa" w:w="80"/>
            </w:tcMar>
            <w:vAlign w:val="center"/>
          </w:tcPr>
          <w:p>
            <w:pPr>
              <w:keepNext w:val="false"/>
              <w:spacing w:after="20" w:line="240"/>
              <w:jc w:val="left"/>
            </w:pPr>
            <w:r>
              <w:rPr>
                <w:sz w:val="17"/>
                <w:szCs w:val="17"/>
              </w:rPr>
              <w:t xml:space="preserve">OE2 (este informe)</w:t>
            </w:r>
          </w:p>
        </w:tc>
        <w:tc>
          <w:tcPr>
            <w:tcW w:type="dxa" w:w="2250"/>
            <w:tcMar>
              <w:top w:type="dxa" w:w="50"/>
              <w:left w:type="dxa" w:w="80"/>
              <w:bottom w:type="dxa" w:w="50"/>
              <w:right w:type="dxa" w:w="80"/>
            </w:tcMar>
            <w:vAlign w:val="center"/>
          </w:tcPr>
          <w:p>
            <w:pPr>
              <w:keepNext w:val="false"/>
              <w:spacing w:after="20" w:line="240"/>
              <w:jc w:val="left"/>
            </w:pPr>
            <w:r>
              <w:rPr>
                <w:sz w:val="17"/>
                <w:szCs w:val="17"/>
              </w:rPr>
              <w:t xml:space="preserve">Análisis del entorno; identificación de barreras; evaluación por relevancia, impacto y posibilidad de intervención; derivación de factores críticos; análisis de brechas.</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PESTEL; Ishikawa; método de Rockart; matriz de priorización impacto × intervenibilidad.</w:t>
            </w:r>
          </w:p>
        </w:tc>
        <w:tc>
          <w:tcPr>
            <w:tcW w:type="dxa" w:w="1620"/>
            <w:tcMar>
              <w:top w:type="dxa" w:w="50"/>
              <w:left w:type="dxa" w:w="80"/>
              <w:bottom w:type="dxa" w:w="50"/>
              <w:right w:type="dxa" w:w="80"/>
            </w:tcMar>
            <w:vAlign w:val="center"/>
          </w:tcPr>
          <w:p>
            <w:pPr>
              <w:keepNext w:val="false"/>
              <w:spacing w:after="20" w:line="240"/>
              <w:jc w:val="left"/>
            </w:pPr>
            <w:r>
              <w:rPr>
                <w:sz w:val="17"/>
                <w:szCs w:val="17"/>
              </w:rPr>
              <w:t xml:space="preserve">Rockart (1979); normativa; prensa especializada; entrevistas (por levantar).</w:t>
            </w:r>
          </w:p>
        </w:tc>
        <w:tc>
          <w:tcPr>
            <w:tcW w:type="dxa" w:w="2160"/>
            <w:tcMar>
              <w:top w:type="dxa" w:w="50"/>
              <w:left w:type="dxa" w:w="80"/>
              <w:bottom w:type="dxa" w:w="50"/>
              <w:right w:type="dxa" w:w="80"/>
            </w:tcMar>
            <w:vAlign w:val="center"/>
          </w:tcPr>
          <w:p>
            <w:pPr>
              <w:keepNext w:val="false"/>
              <w:spacing w:after="20" w:line="240"/>
              <w:jc w:val="left"/>
            </w:pPr>
            <w:r>
              <w:rPr>
                <w:sz w:val="17"/>
                <w:szCs w:val="17"/>
              </w:rPr>
              <w:t xml:space="preserve">Barreras y FCE priorizados con puntaje y confianza.</w:t>
            </w:r>
          </w:p>
        </w:tc>
      </w:tr>
      <w:tr>
        <w:trPr>
          <w:cantSplit/>
        </w:trPr>
        <w:tc>
          <w:tcPr>
            <w:tcW w:type="dxa" w:w="990"/>
            <w:tcMar>
              <w:top w:type="dxa" w:w="50"/>
              <w:left w:type="dxa" w:w="80"/>
              <w:bottom w:type="dxa" w:w="50"/>
              <w:right w:type="dxa" w:w="80"/>
            </w:tcMar>
            <w:vAlign w:val="center"/>
          </w:tcPr>
          <w:p>
            <w:pPr>
              <w:keepNext w:val="false"/>
              <w:spacing w:after="20" w:line="240"/>
              <w:jc w:val="left"/>
            </w:pPr>
            <w:r>
              <w:rPr>
                <w:sz w:val="17"/>
                <w:szCs w:val="17"/>
              </w:rPr>
              <w:t xml:space="preserve">OE3 (este informe)</w:t>
            </w:r>
          </w:p>
        </w:tc>
        <w:tc>
          <w:tcPr>
            <w:tcW w:type="dxa" w:w="2250"/>
            <w:tcMar>
              <w:top w:type="dxa" w:w="50"/>
              <w:left w:type="dxa" w:w="80"/>
              <w:bottom w:type="dxa" w:w="50"/>
              <w:right w:type="dxa" w:w="80"/>
            </w:tcMar>
            <w:vAlign w:val="center"/>
          </w:tcPr>
          <w:p>
            <w:pPr>
              <w:keepNext w:val="false"/>
              <w:spacing w:after="20" w:line="240"/>
              <w:jc w:val="left"/>
            </w:pPr>
            <w:r>
              <w:rPr>
                <w:sz w:val="17"/>
                <w:szCs w:val="17"/>
              </w:rPr>
              <w:t xml:space="preserve">Selección de casos; definición de criterios; matriz comparativa; evaluación de transferibilidad por dimensión.</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Benchmarking; matriz comparativa; matriz de transferibilidad.</w:t>
            </w:r>
          </w:p>
        </w:tc>
        <w:tc>
          <w:tcPr>
            <w:tcW w:type="dxa" w:w="1620"/>
            <w:tcMar>
              <w:top w:type="dxa" w:w="50"/>
              <w:left w:type="dxa" w:w="80"/>
              <w:bottom w:type="dxa" w:w="50"/>
              <w:right w:type="dxa" w:w="80"/>
            </w:tcMar>
            <w:vAlign w:val="center"/>
          </w:tcPr>
          <w:p>
            <w:pPr>
              <w:keepNext w:val="false"/>
              <w:spacing w:after="20" w:line="240"/>
              <w:jc w:val="left"/>
            </w:pPr>
            <w:r>
              <w:rPr>
                <w:sz w:val="17"/>
                <w:szCs w:val="17"/>
              </w:rPr>
              <w:t xml:space="preserve">Documentos de agencias; literatura; casos documentados.</w:t>
            </w:r>
          </w:p>
        </w:tc>
        <w:tc>
          <w:tcPr>
            <w:tcW w:type="dxa" w:w="2160"/>
            <w:tcMar>
              <w:top w:type="dxa" w:w="50"/>
              <w:left w:type="dxa" w:w="80"/>
              <w:bottom w:type="dxa" w:w="50"/>
              <w:right w:type="dxa" w:w="80"/>
            </w:tcMar>
            <w:vAlign w:val="center"/>
          </w:tcPr>
          <w:p>
            <w:pPr>
              <w:keepNext w:val="false"/>
              <w:spacing w:after="20" w:line="240"/>
              <w:jc w:val="left"/>
            </w:pPr>
            <w:r>
              <w:rPr>
                <w:sz w:val="17"/>
                <w:szCs w:val="17"/>
              </w:rPr>
              <w:t xml:space="preserve">Patrones comunes; mecanismos M1-M7 con decisión (retener, ajustar, diferir).</w:t>
            </w:r>
          </w:p>
        </w:tc>
      </w:tr>
      <w:tr>
        <w:trPr>
          <w:cantSplit/>
        </w:trPr>
        <w:tc>
          <w:tcPr>
            <w:tcW w:type="dxa" w:w="990"/>
            <w:tcMar>
              <w:top w:type="dxa" w:w="50"/>
              <w:left w:type="dxa" w:w="80"/>
              <w:bottom w:type="dxa" w:w="50"/>
              <w:right w:type="dxa" w:w="80"/>
            </w:tcMar>
            <w:vAlign w:val="center"/>
          </w:tcPr>
          <w:p>
            <w:pPr>
              <w:keepNext w:val="false"/>
              <w:spacing w:after="20" w:line="240"/>
              <w:jc w:val="left"/>
            </w:pPr>
            <w:r>
              <w:rPr>
                <w:sz w:val="17"/>
                <w:szCs w:val="17"/>
              </w:rPr>
              <w:t xml:space="preserve">OE4</w:t>
            </w:r>
          </w:p>
        </w:tc>
        <w:tc>
          <w:tcPr>
            <w:tcW w:type="dxa" w:w="2250"/>
            <w:tcMar>
              <w:top w:type="dxa" w:w="50"/>
              <w:left w:type="dxa" w:w="80"/>
              <w:bottom w:type="dxa" w:w="50"/>
              <w:right w:type="dxa" w:w="80"/>
            </w:tcMar>
            <w:vAlign w:val="center"/>
          </w:tcPr>
          <w:p>
            <w:pPr>
              <w:keepNext w:val="false"/>
              <w:spacing w:after="20" w:line="240"/>
              <w:jc w:val="left"/>
            </w:pPr>
            <w:r>
              <w:rPr>
                <w:sz w:val="17"/>
                <w:szCs w:val="17"/>
              </w:rPr>
              <w:t xml:space="preserve">Integración de OE1-OE3; análisis FODA, de stakeholders y de brechas; priorización; redacción de la propuesta.</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FODA (Weihrich, 1982); mapa de stakeholders (Mitchell et al., 1997); gap analysis.</w:t>
            </w:r>
          </w:p>
        </w:tc>
        <w:tc>
          <w:tcPr>
            <w:tcW w:type="dxa" w:w="1620"/>
            <w:tcMar>
              <w:top w:type="dxa" w:w="50"/>
              <w:left w:type="dxa" w:w="80"/>
              <w:bottom w:type="dxa" w:w="50"/>
              <w:right w:type="dxa" w:w="80"/>
            </w:tcMar>
            <w:vAlign w:val="center"/>
          </w:tcPr>
          <w:p>
            <w:pPr>
              <w:keepNext w:val="false"/>
              <w:spacing w:after="20" w:line="240"/>
              <w:jc w:val="left"/>
            </w:pPr>
            <w:r>
              <w:rPr>
                <w:sz w:val="17"/>
                <w:szCs w:val="17"/>
              </w:rPr>
              <w:t xml:space="preserve">Resultados de OE1-OE3; entrevistas.</w:t>
            </w:r>
          </w:p>
        </w:tc>
        <w:tc>
          <w:tcPr>
            <w:tcW w:type="dxa" w:w="2160"/>
            <w:tcMar>
              <w:top w:type="dxa" w:w="50"/>
              <w:left w:type="dxa" w:w="80"/>
              <w:bottom w:type="dxa" w:w="50"/>
              <w:right w:type="dxa" w:w="80"/>
            </w:tcMar>
            <w:vAlign w:val="center"/>
          </w:tcPr>
          <w:p>
            <w:pPr>
              <w:keepNext w:val="false"/>
              <w:spacing w:after="20" w:line="240"/>
              <w:jc w:val="left"/>
            </w:pPr>
            <w:r>
              <w:rPr>
                <w:sz w:val="17"/>
                <w:szCs w:val="17"/>
              </w:rPr>
              <w:t xml:space="preserve">Fichas estratégicas, matriz de priorización y hoja de ruta.</w:t>
            </w:r>
          </w:p>
        </w:tc>
      </w:tr>
      <w:tr>
        <w:trPr>
          <w:cantSplit/>
        </w:trPr>
        <w:tc>
          <w:tcPr>
            <w:tcW w:type="dxa" w:w="990"/>
            <w:tcMar>
              <w:top w:type="dxa" w:w="50"/>
              <w:left w:type="dxa" w:w="80"/>
              <w:bottom w:type="dxa" w:w="50"/>
              <w:right w:type="dxa" w:w="80"/>
            </w:tcMar>
            <w:vAlign w:val="center"/>
          </w:tcPr>
          <w:p>
            <w:pPr>
              <w:keepNext w:val="false"/>
              <w:spacing w:after="20" w:line="240"/>
              <w:jc w:val="left"/>
            </w:pPr>
            <w:r>
              <w:rPr>
                <w:sz w:val="17"/>
                <w:szCs w:val="17"/>
              </w:rPr>
              <w:t xml:space="preserve">OE5</w:t>
            </w:r>
          </w:p>
        </w:tc>
        <w:tc>
          <w:tcPr>
            <w:tcW w:type="dxa" w:w="2250"/>
            <w:tcMar>
              <w:top w:type="dxa" w:w="50"/>
              <w:left w:type="dxa" w:w="80"/>
              <w:bottom w:type="dxa" w:w="50"/>
              <w:right w:type="dxa" w:w="80"/>
            </w:tcMar>
            <w:vAlign w:val="center"/>
          </w:tcPr>
          <w:p>
            <w:pPr>
              <w:keepNext w:val="false"/>
              <w:spacing w:after="20" w:line="240"/>
              <w:jc w:val="left"/>
            </w:pPr>
            <w:r>
              <w:rPr>
                <w:sz w:val="17"/>
                <w:szCs w:val="17"/>
              </w:rPr>
              <w:t xml:space="preserve">Selección del panel; aplicación de Delphi en 2-3 rondas; análisis de consenso; ajuste de la propuesta; evaluación de desempeño esperado.</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Método Delphi (Linstone y Turoff, 1975; Okoli y Pawlowski, 2004); escala Likert; indicadores y escenarios.</w:t>
            </w:r>
          </w:p>
        </w:tc>
        <w:tc>
          <w:tcPr>
            <w:tcW w:type="dxa" w:w="1620"/>
            <w:tcMar>
              <w:top w:type="dxa" w:w="50"/>
              <w:left w:type="dxa" w:w="80"/>
              <w:bottom w:type="dxa" w:w="50"/>
              <w:right w:type="dxa" w:w="80"/>
            </w:tcMar>
            <w:vAlign w:val="center"/>
          </w:tcPr>
          <w:p>
            <w:pPr>
              <w:keepNext w:val="false"/>
              <w:spacing w:after="20" w:line="240"/>
              <w:jc w:val="left"/>
            </w:pPr>
            <w:r>
              <w:rPr>
                <w:sz w:val="17"/>
                <w:szCs w:val="17"/>
              </w:rPr>
              <w:t xml:space="preserve">Expertos FACh/CEN, Minciencia, Subtel, academia y sector privado.</w:t>
            </w:r>
          </w:p>
        </w:tc>
        <w:tc>
          <w:tcPr>
            <w:tcW w:type="dxa" w:w="2160"/>
            <w:tcMar>
              <w:top w:type="dxa" w:w="50"/>
              <w:left w:type="dxa" w:w="80"/>
              <w:bottom w:type="dxa" w:w="50"/>
              <w:right w:type="dxa" w:w="80"/>
            </w:tcMar>
            <w:vAlign w:val="center"/>
          </w:tcPr>
          <w:p>
            <w:pPr>
              <w:keepNext w:val="false"/>
              <w:spacing w:after="20" w:line="240"/>
              <w:jc w:val="left"/>
            </w:pPr>
            <w:r>
              <w:rPr>
                <w:sz w:val="17"/>
                <w:szCs w:val="17"/>
              </w:rPr>
              <w:t xml:space="preserve">Informe de validación; propuesta ajustada; evaluación de desempeño esperado.</w:t>
            </w:r>
          </w:p>
        </w:tc>
      </w:tr>
    </w:tbl>
    <w:p>
      <w:pPr>
        <w:spacing w:after="200" w:before="60"/>
        <w:jc w:val="center"/>
      </w:pPr>
      <w:r>
        <w:rPr>
          <w:i/>
          <w:iCs/>
          <w:sz w:val="17"/>
          <w:szCs w:val="17"/>
        </w:rPr>
        <w:t xml:space="preserve">Fuente: Elaboración propia a partir de la formulación del proyecto de titulación.</w:t>
      </w:r>
    </w:p>
    <w:p>
      <w:pPr>
        <w:pStyle w:val="Heading2"/>
      </w:pPr>
      <w:r>
        <w:t xml:space="preserve">2.9 Procedimiento documental, criterios de evidencia y nivel de confianza</w:t>
      </w:r>
    </w:p>
    <w:p>
      <w:pPr>
        <w:spacing w:after="140" w:line="300"/>
        <w:jc w:val="both"/>
      </w:pPr>
      <w:r>
        <w:t xml:space="preserve">En esta etapa los tres objetivos se abordan con fuentes secundarias. El procedimiento consistió en cuatro pasos. Primero, la búsqueda y recopilación de fuentes institucionales (sitios oficiales de la FACh, del Ministerio de Ciencia y de la Subsecretaría de Telecomunicaciones) y de prensa especializada. Segundo, la clasificación de cada fuente según su tipo y la verificación de los datos técnicos clave. Tercero, la organización de la información mediante el Business Model Canvas y la escala de madurez (OE1) y mediante la matriz PESTEL (OE2). Cuarto, la síntesis diagnóstica mediante la identificación de barreras, factores críticos y brechas.</w:t>
      </w:r>
    </w:p>
    <w:p>
      <w:pPr>
        <w:spacing w:after="140" w:line="300"/>
        <w:jc w:val="both"/>
      </w:pPr>
      <w:r>
        <w:t xml:space="preserve">Para dar transparencia al respaldo de cada dato, las fuentes se clasifican en cuatro tipos: </w:t>
      </w:r>
      <w:r>
        <w:rPr>
          <w:b/>
          <w:bCs/>
        </w:rPr>
        <w:t xml:space="preserve">(A)</w:t>
      </w:r>
      <w:r>
        <w:t xml:space="preserve"> normativa y documentos oficiales primarios; </w:t>
      </w:r>
      <w:r>
        <w:rPr>
          <w:b/>
          <w:bCs/>
        </w:rPr>
        <w:t xml:space="preserve">(B)</w:t>
      </w:r>
      <w:r>
        <w:t xml:space="preserve"> comunicados y sitios institucionales; </w:t>
      </w:r>
      <w:r>
        <w:rPr>
          <w:b/>
          <w:bCs/>
        </w:rPr>
        <w:t xml:space="preserve">(C)</w:t>
      </w:r>
      <w:r>
        <w:t xml:space="preserve"> prensa informativa; y </w:t>
      </w:r>
      <w:r>
        <w:rPr>
          <w:b/>
          <w:bCs/>
        </w:rPr>
        <w:t xml:space="preserve">(D)</w:t>
      </w:r>
      <w:r>
        <w:t xml:space="preserve"> columnas de opinión. Un dato se considera </w:t>
      </w:r>
      <w:r>
        <w:rPr>
          <w:i/>
          <w:iCs/>
        </w:rPr>
        <w:t xml:space="preserve">verificado</w:t>
      </w:r>
      <w:r>
        <w:t xml:space="preserve"> cuando cuenta con una fuente tipo A o con al menos dos fuentes que no reproduzcan el mismo comunicado; se considera </w:t>
      </w:r>
      <w:r>
        <w:rPr>
          <w:i/>
          <w:iCs/>
        </w:rPr>
        <w:t xml:space="preserve">declarado</w:t>
      </w:r>
      <w:r>
        <w:t xml:space="preserve"> cuando depende de una sola fuente o de fuentes que podrían replicar una misma versión oficial. Las columnas de opinión (tipo D) se utilizan únicamente como lectura crítica del contexto y no como sustento de hechos.</w:t>
      </w:r>
    </w:p>
    <w:p>
      <w:pPr>
        <w:spacing w:after="140" w:line="300"/>
        <w:jc w:val="both"/>
      </w:pPr>
      <w:r>
        <w:t xml:space="preserve">A partir de esa clasificación se define un </w:t>
      </w:r>
      <w:r>
        <w:rPr>
          <w:b/>
          <w:bCs/>
        </w:rPr>
        <w:t xml:space="preserve">nivel de confianza</w:t>
      </w:r>
      <w:r>
        <w:t xml:space="preserve"> que acompaña a las valoraciones de las tablas del informe (Tabla 4).</w:t>
      </w:r>
    </w:p>
    <w:p>
      <w:pPr>
        <w:pStyle w:val="Caption"/>
        <w:keepNext/>
        <w:spacing w:after="80" w:before="200"/>
        <w:jc w:val="center"/>
      </w:pPr>
      <w:r>
        <w:rPr>
          <w:b/>
          <w:bCs/>
        </w:rPr>
        <w:t xml:space="preserve">Tabla </w:t>
      </w:r>
      <w:fldSimple w:instr="SEQ Tabla \* ARABIC">
        <w:r>
          <w:t xml:space="preserve">4</w:t>
        </w:r>
      </w:fldSimple>
      <w:r>
        <w:rPr>
          <w:b/>
          <w:bCs/>
        </w:rPr>
        <w:t xml:space="preserve">. Escala de nivel de confianza según tipo y número de fuentes</w:t>
      </w:r>
    </w:p>
    <w:tbl>
      <w:tblPr>
        <w:tblW w:type="dxa" w:w="9000"/>
        <w:tblBorders>
          <w:top w:val="single" w:color="A6A6A6" w:sz="4"/>
          <w:left w:val="single" w:color="A6A6A6" w:sz="4"/>
          <w:bottom w:val="single" w:color="A6A6A6" w:sz="4"/>
          <w:right w:val="single" w:color="A6A6A6" w:sz="4"/>
          <w:insideH w:val="single" w:color="A6A6A6" w:sz="4"/>
          <w:insideV w:val="single" w:color="A6A6A6" w:sz="4"/>
        </w:tblBorders>
      </w:tblPr>
      <w:tblGrid>
        <w:gridCol w:w="1260"/>
        <w:gridCol w:w="4140"/>
        <w:gridCol w:w="3600"/>
      </w:tblGrid>
      <w:tr>
        <w:trPr>
          <w:cantSplit/>
          <w:tblHeader/>
        </w:trPr>
        <w:tc>
          <w:tcPr>
            <w:tcW w:type="dxa" w:w="126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Nivel</w:t>
            </w:r>
          </w:p>
        </w:tc>
        <w:tc>
          <w:tcPr>
            <w:tcW w:type="dxa" w:w="414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Criterio</w:t>
            </w:r>
          </w:p>
        </w:tc>
        <w:tc>
          <w:tcPr>
            <w:tcW w:type="dxa" w:w="360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Tratamiento en el informe</w:t>
            </w:r>
          </w:p>
        </w:tc>
      </w:tr>
      <w:tr>
        <w:trPr>
          <w:cantSplit/>
        </w:trPr>
        <w:tc>
          <w:tcPr>
            <w:tcW w:type="dxa" w:w="1260"/>
            <w:shd w:fill="C6E0B4" w:color="auto" w:val="clear"/>
            <w:tcMar>
              <w:top w:type="dxa" w:w="50"/>
              <w:left w:type="dxa" w:w="80"/>
              <w:bottom w:type="dxa" w:w="50"/>
              <w:right w:type="dxa" w:w="80"/>
            </w:tcMar>
            <w:vAlign w:val="center"/>
          </w:tcPr>
          <w:p>
            <w:pPr>
              <w:keepNext w:val="false"/>
              <w:spacing w:after="20" w:line="240"/>
              <w:jc w:val="center"/>
            </w:pPr>
            <w:r>
              <w:rPr>
                <w:b/>
                <w:bCs/>
                <w:sz w:val="17"/>
                <w:szCs w:val="17"/>
              </w:rPr>
              <w:t xml:space="preserve">Alta</w:t>
            </w:r>
          </w:p>
        </w:tc>
        <w:tc>
          <w:tcPr>
            <w:tcW w:type="dxa" w:w="4140"/>
            <w:tcMar>
              <w:top w:type="dxa" w:w="50"/>
              <w:left w:type="dxa" w:w="80"/>
              <w:bottom w:type="dxa" w:w="50"/>
              <w:right w:type="dxa" w:w="80"/>
            </w:tcMar>
            <w:vAlign w:val="center"/>
          </w:tcPr>
          <w:p>
            <w:pPr>
              <w:keepNext w:val="false"/>
              <w:spacing w:after="20" w:line="240"/>
              <w:jc w:val="left"/>
            </w:pPr>
            <w:r>
              <w:rPr>
                <w:sz w:val="17"/>
                <w:szCs w:val="17"/>
              </w:rPr>
              <w:t xml:space="preserve">Dato verificado: fuente tipo A, o al menos dos fuentes independientes que no reproducen el mismo comunicado.</w:t>
            </w:r>
          </w:p>
        </w:tc>
        <w:tc>
          <w:tcPr>
            <w:tcW w:type="dxa" w:w="3600"/>
            <w:tcMar>
              <w:top w:type="dxa" w:w="50"/>
              <w:left w:type="dxa" w:w="80"/>
              <w:bottom w:type="dxa" w:w="50"/>
              <w:right w:type="dxa" w:w="80"/>
            </w:tcMar>
            <w:vAlign w:val="center"/>
          </w:tcPr>
          <w:p>
            <w:pPr>
              <w:keepNext w:val="false"/>
              <w:spacing w:after="20" w:line="240"/>
              <w:jc w:val="left"/>
            </w:pPr>
            <w:r>
              <w:rPr>
                <w:sz w:val="17"/>
                <w:szCs w:val="17"/>
              </w:rPr>
              <w:t xml:space="preserve">Se presenta como hecho.</w:t>
            </w:r>
          </w:p>
        </w:tc>
      </w:tr>
      <w:tr>
        <w:trPr>
          <w:cantSplit/>
        </w:trPr>
        <w:tc>
          <w:tcPr>
            <w:tcW w:type="dxa" w:w="1260"/>
            <w:shd w:fill="E2EFDA" w:color="auto" w:val="clear"/>
            <w:tcMar>
              <w:top w:type="dxa" w:w="50"/>
              <w:left w:type="dxa" w:w="80"/>
              <w:bottom w:type="dxa" w:w="50"/>
              <w:right w:type="dxa" w:w="80"/>
            </w:tcMar>
            <w:vAlign w:val="center"/>
          </w:tcPr>
          <w:p>
            <w:pPr>
              <w:keepNext w:val="false"/>
              <w:spacing w:after="20" w:line="240"/>
              <w:jc w:val="center"/>
            </w:pPr>
            <w:r>
              <w:rPr>
                <w:b/>
                <w:bCs/>
                <w:sz w:val="17"/>
                <w:szCs w:val="17"/>
              </w:rPr>
              <w:t xml:space="preserve">Media</w:t>
            </w:r>
          </w:p>
        </w:tc>
        <w:tc>
          <w:tcPr>
            <w:tcW w:type="dxa" w:w="4140"/>
            <w:tcMar>
              <w:top w:type="dxa" w:w="50"/>
              <w:left w:type="dxa" w:w="80"/>
              <w:bottom w:type="dxa" w:w="50"/>
              <w:right w:type="dxa" w:w="80"/>
            </w:tcMar>
            <w:vAlign w:val="center"/>
          </w:tcPr>
          <w:p>
            <w:pPr>
              <w:keepNext w:val="false"/>
              <w:spacing w:after="20" w:line="240"/>
              <w:jc w:val="left"/>
            </w:pPr>
            <w:r>
              <w:rPr>
                <w:sz w:val="17"/>
                <w:szCs w:val="17"/>
              </w:rPr>
              <w:t xml:space="preserve">Dato declarado por una fuente institucional (B) coherente con otras fuentes, o valoración con respaldo documental parcial.</w:t>
            </w:r>
          </w:p>
        </w:tc>
        <w:tc>
          <w:tcPr>
            <w:tcW w:type="dxa" w:w="3600"/>
            <w:tcMar>
              <w:top w:type="dxa" w:w="50"/>
              <w:left w:type="dxa" w:w="80"/>
              <w:bottom w:type="dxa" w:w="50"/>
              <w:right w:type="dxa" w:w="80"/>
            </w:tcMar>
            <w:vAlign w:val="center"/>
          </w:tcPr>
          <w:p>
            <w:pPr>
              <w:keepNext w:val="false"/>
              <w:spacing w:after="20" w:line="240"/>
              <w:jc w:val="left"/>
            </w:pPr>
            <w:r>
              <w:rPr>
                <w:sz w:val="17"/>
                <w:szCs w:val="17"/>
              </w:rPr>
              <w:t xml:space="preserve">Se presenta como dato declarado.</w:t>
            </w:r>
          </w:p>
        </w:tc>
      </w:tr>
      <w:tr>
        <w:trPr>
          <w:cantSplit/>
        </w:trPr>
        <w:tc>
          <w:tcPr>
            <w:tcW w:type="dxa" w:w="1260"/>
            <w:shd w:fill="FFF2CC" w:color="auto" w:val="clear"/>
            <w:tcMar>
              <w:top w:type="dxa" w:w="50"/>
              <w:left w:type="dxa" w:w="80"/>
              <w:bottom w:type="dxa" w:w="50"/>
              <w:right w:type="dxa" w:w="80"/>
            </w:tcMar>
            <w:vAlign w:val="center"/>
          </w:tcPr>
          <w:p>
            <w:pPr>
              <w:keepNext w:val="false"/>
              <w:spacing w:after="20" w:line="240"/>
              <w:jc w:val="center"/>
            </w:pPr>
            <w:r>
              <w:rPr>
                <w:b/>
                <w:bCs/>
                <w:sz w:val="17"/>
                <w:szCs w:val="17"/>
              </w:rPr>
              <w:t xml:space="preserve">Baja</w:t>
            </w:r>
          </w:p>
        </w:tc>
        <w:tc>
          <w:tcPr>
            <w:tcW w:type="dxa" w:w="4140"/>
            <w:tcMar>
              <w:top w:type="dxa" w:w="50"/>
              <w:left w:type="dxa" w:w="80"/>
              <w:bottom w:type="dxa" w:w="50"/>
              <w:right w:type="dxa" w:w="80"/>
            </w:tcMar>
            <w:vAlign w:val="center"/>
          </w:tcPr>
          <w:p>
            <w:pPr>
              <w:keepNext w:val="false"/>
              <w:spacing w:after="20" w:line="240"/>
              <w:jc w:val="left"/>
            </w:pPr>
            <w:r>
              <w:rPr>
                <w:sz w:val="17"/>
                <w:szCs w:val="17"/>
              </w:rPr>
              <w:t xml:space="preserve">Dato de fuente única o replicable, cifra sin contraste, o inferencia del autor a partir de fuentes secundarias.</w:t>
            </w:r>
          </w:p>
        </w:tc>
        <w:tc>
          <w:tcPr>
            <w:tcW w:type="dxa" w:w="3600"/>
            <w:tcMar>
              <w:top w:type="dxa" w:w="50"/>
              <w:left w:type="dxa" w:w="80"/>
              <w:bottom w:type="dxa" w:w="50"/>
              <w:right w:type="dxa" w:w="80"/>
            </w:tcMar>
            <w:vAlign w:val="center"/>
          </w:tcPr>
          <w:p>
            <w:pPr>
              <w:keepNext w:val="false"/>
              <w:spacing w:after="20" w:line="240"/>
              <w:jc w:val="left"/>
            </w:pPr>
            <w:r>
              <w:rPr>
                <w:sz w:val="17"/>
                <w:szCs w:val="17"/>
              </w:rPr>
              <w:t xml:space="preserve">Se presenta como hipótesis (H) con contraste pendiente.</w:t>
            </w:r>
          </w:p>
        </w:tc>
      </w:tr>
      <w:tr>
        <w:trPr>
          <w:cantSplit/>
        </w:trPr>
        <w:tc>
          <w:tcPr>
            <w:tcW w:type="dxa" w:w="1260"/>
            <w:shd w:fill="F8CBAD" w:color="auto" w:val="clear"/>
            <w:tcMar>
              <w:top w:type="dxa" w:w="50"/>
              <w:left w:type="dxa" w:w="80"/>
              <w:bottom w:type="dxa" w:w="50"/>
              <w:right w:type="dxa" w:w="80"/>
            </w:tcMar>
            <w:vAlign w:val="center"/>
          </w:tcPr>
          <w:p>
            <w:pPr>
              <w:keepNext w:val="false"/>
              <w:spacing w:after="20" w:line="240"/>
              <w:jc w:val="center"/>
            </w:pPr>
            <w:r>
              <w:rPr>
                <w:b/>
                <w:bCs/>
                <w:sz w:val="17"/>
                <w:szCs w:val="17"/>
              </w:rPr>
              <w:t xml:space="preserve">Muy baja</w:t>
            </w:r>
          </w:p>
        </w:tc>
        <w:tc>
          <w:tcPr>
            <w:tcW w:type="dxa" w:w="4140"/>
            <w:tcMar>
              <w:top w:type="dxa" w:w="50"/>
              <w:left w:type="dxa" w:w="80"/>
              <w:bottom w:type="dxa" w:w="50"/>
              <w:right w:type="dxa" w:w="80"/>
            </w:tcMar>
            <w:vAlign w:val="center"/>
          </w:tcPr>
          <w:p>
            <w:pPr>
              <w:keepNext w:val="false"/>
              <w:spacing w:after="20" w:line="240"/>
              <w:jc w:val="left"/>
            </w:pPr>
            <w:r>
              <w:rPr>
                <w:sz w:val="17"/>
                <w:szCs w:val="17"/>
              </w:rPr>
              <w:t xml:space="preserve">Sin evidencia pública directa; inferencia por ausencia.</w:t>
            </w:r>
          </w:p>
        </w:tc>
        <w:tc>
          <w:tcPr>
            <w:tcW w:type="dxa" w:w="3600"/>
            <w:tcMar>
              <w:top w:type="dxa" w:w="50"/>
              <w:left w:type="dxa" w:w="80"/>
              <w:bottom w:type="dxa" w:w="50"/>
              <w:right w:type="dxa" w:w="80"/>
            </w:tcMar>
            <w:vAlign w:val="center"/>
          </w:tcPr>
          <w:p>
            <w:pPr>
              <w:keepNext w:val="false"/>
              <w:spacing w:after="20" w:line="240"/>
              <w:jc w:val="left"/>
            </w:pPr>
            <w:r>
              <w:rPr>
                <w:sz w:val="17"/>
                <w:szCs w:val="17"/>
              </w:rPr>
              <w:t xml:space="preserve">Se presenta como hipótesis y se prioriza su verificación.</w:t>
            </w:r>
          </w:p>
        </w:tc>
      </w:tr>
    </w:tbl>
    <w:p>
      <w:pPr>
        <w:spacing w:after="200" w:before="60"/>
        <w:jc w:val="center"/>
      </w:pPr>
      <w:r>
        <w:rPr>
          <w:i/>
          <w:iCs/>
          <w:sz w:val="17"/>
          <w:szCs w:val="17"/>
        </w:rPr>
        <w:t xml:space="preserve">Fuente: Elaboración propia.</w:t>
      </w:r>
    </w:p>
    <w:p>
      <w:pPr>
        <w:spacing w:after="140" w:line="300"/>
        <w:jc w:val="both"/>
      </w:pPr>
      <w:r>
        <w:t xml:space="preserve">Este procedimiento tiene una limitación que conviene explicitar: la información proveniente de comunicados oficiales tiende a enfatizar los logros y a omitir las dificultades, y la prensa informativa suele reproducir esas mismas versiones. Para contrarrestar ese sesgo, el análisis incorpora fuentes de opinión crítica como contraste, aunque la validación definitiva de los hallazgos queda supeditada al levantamiento primario de las etapas siguientes.</w:t>
      </w:r>
    </w:p>
    <w:p>
      <w:pPr>
        <w:pStyle w:val="Heading2"/>
      </w:pPr>
      <w:r>
        <w:t xml:space="preserve">2.10 Registro de hipótesis</w:t>
      </w:r>
    </w:p>
    <w:p>
      <w:pPr>
        <w:spacing w:after="140" w:line="300"/>
        <w:jc w:val="both"/>
      </w:pPr>
      <w:r>
        <w:t xml:space="preserve">Todo hallazgo que descansa solo en fuentes secundarias y en valoraciones del autor se rotula como hipótesis. La Tabla 5 reúne las hipótesis del informe, su nivel de confianza y el procedimiento previsto para contrastarlas.</w:t>
      </w:r>
    </w:p>
    <w:p>
      <w:pPr>
        <w:pStyle w:val="Caption"/>
        <w:keepNext/>
        <w:spacing w:after="80" w:before="200"/>
        <w:jc w:val="center"/>
      </w:pPr>
      <w:r>
        <w:rPr>
          <w:b/>
          <w:bCs/>
        </w:rPr>
        <w:t xml:space="preserve">Tabla </w:t>
      </w:r>
      <w:fldSimple w:instr="SEQ Tabla \* ARABIC">
        <w:r>
          <w:t xml:space="preserve">5</w:t>
        </w:r>
      </w:fldSimple>
      <w:r>
        <w:rPr>
          <w:b/>
          <w:bCs/>
        </w:rPr>
        <w:t xml:space="preserve">. Registro de hipótesis del diagnóstico</w:t>
      </w:r>
    </w:p>
    <w:tbl>
      <w:tblPr>
        <w:tblW w:type="dxa" w:w="9000"/>
        <w:tblBorders>
          <w:top w:val="single" w:color="A6A6A6" w:sz="4"/>
          <w:left w:val="single" w:color="A6A6A6" w:sz="4"/>
          <w:bottom w:val="single" w:color="A6A6A6" w:sz="4"/>
          <w:right w:val="single" w:color="A6A6A6" w:sz="4"/>
          <w:insideH w:val="single" w:color="A6A6A6" w:sz="4"/>
          <w:insideV w:val="single" w:color="A6A6A6" w:sz="4"/>
        </w:tblBorders>
      </w:tblPr>
      <w:tblGrid>
        <w:gridCol w:w="540"/>
        <w:gridCol w:w="3780"/>
        <w:gridCol w:w="900"/>
        <w:gridCol w:w="810"/>
        <w:gridCol w:w="2970"/>
      </w:tblGrid>
      <w:tr>
        <w:trPr>
          <w:cantSplit/>
          <w:tblHeader/>
        </w:trPr>
        <w:tc>
          <w:tcPr>
            <w:tcW w:type="dxa" w:w="54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N.º</w:t>
            </w:r>
          </w:p>
        </w:tc>
        <w:tc>
          <w:tcPr>
            <w:tcW w:type="dxa" w:w="378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Hipótesis</w:t>
            </w:r>
          </w:p>
        </w:tc>
        <w:tc>
          <w:tcPr>
            <w:tcW w:type="dxa" w:w="90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Sección</w:t>
            </w:r>
          </w:p>
        </w:tc>
        <w:tc>
          <w:tcPr>
            <w:tcW w:type="dxa" w:w="81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Conf.</w:t>
            </w:r>
          </w:p>
        </w:tc>
        <w:tc>
          <w:tcPr>
            <w:tcW w:type="dxa" w:w="297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Contraste previsto</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7"/>
                <w:szCs w:val="17"/>
              </w:rPr>
              <w:t xml:space="preserve">H1</w:t>
            </w:r>
          </w:p>
        </w:tc>
        <w:tc>
          <w:tcPr>
            <w:tcW w:type="dxa" w:w="3780"/>
            <w:tcMar>
              <w:top w:type="dxa" w:w="50"/>
              <w:left w:type="dxa" w:w="80"/>
              <w:bottom w:type="dxa" w:w="50"/>
              <w:right w:type="dxa" w:w="80"/>
            </w:tcMar>
            <w:vAlign w:val="center"/>
          </w:tcPr>
          <w:p>
            <w:pPr>
              <w:keepNext w:val="false"/>
              <w:spacing w:after="20" w:line="240"/>
              <w:jc w:val="left"/>
            </w:pPr>
            <w:r>
              <w:rPr>
                <w:sz w:val="17"/>
                <w:szCs w:val="17"/>
              </w:rPr>
              <w:t xml:space="preserve">La principal brecha de aprovechamiento es la ausencia de una vía formal de acceso civil a los datos satelitales propios del CEN y a su procesamiento.</w:t>
            </w:r>
          </w:p>
        </w:tc>
        <w:tc>
          <w:tcPr>
            <w:tcW w:type="dxa" w:w="900"/>
            <w:tcMar>
              <w:top w:type="dxa" w:w="50"/>
              <w:left w:type="dxa" w:w="80"/>
              <w:bottom w:type="dxa" w:w="50"/>
              <w:right w:type="dxa" w:w="80"/>
            </w:tcMar>
            <w:vAlign w:val="center"/>
          </w:tcPr>
          <w:p>
            <w:pPr>
              <w:keepNext w:val="false"/>
              <w:spacing w:after="20" w:line="240"/>
              <w:jc w:val="left"/>
            </w:pPr>
            <w:r>
              <w:rPr>
                <w:sz w:val="17"/>
                <w:szCs w:val="17"/>
              </w:rPr>
              <w:t xml:space="preserve">3.4.3; 4.5</w:t>
            </w:r>
          </w:p>
        </w:tc>
        <w:tc>
          <w:tcPr>
            <w:tcW w:type="dxa" w:w="810"/>
            <w:tcMar>
              <w:top w:type="dxa" w:w="50"/>
              <w:left w:type="dxa" w:w="80"/>
              <w:bottom w:type="dxa" w:w="50"/>
              <w:right w:type="dxa" w:w="80"/>
            </w:tcMar>
            <w:vAlign w:val="center"/>
          </w:tcPr>
          <w:p>
            <w:pPr>
              <w:keepNext w:val="false"/>
              <w:spacing w:after="20" w:line="240"/>
              <w:jc w:val="center"/>
            </w:pPr>
            <w:r>
              <w:rPr>
                <w:sz w:val="17"/>
                <w:szCs w:val="17"/>
              </w:rPr>
              <w:t xml:space="preserve">Baja</w:t>
            </w:r>
          </w:p>
        </w:tc>
        <w:tc>
          <w:tcPr>
            <w:tcW w:type="dxa" w:w="2970"/>
            <w:tcMar>
              <w:top w:type="dxa" w:w="50"/>
              <w:left w:type="dxa" w:w="80"/>
              <w:bottom w:type="dxa" w:w="50"/>
              <w:right w:type="dxa" w:w="80"/>
            </w:tcMar>
            <w:vAlign w:val="center"/>
          </w:tcPr>
          <w:p>
            <w:pPr>
              <w:keepNext w:val="false"/>
              <w:spacing w:after="20" w:line="240"/>
              <w:jc w:val="left"/>
            </w:pPr>
            <w:r>
              <w:rPr>
                <w:sz w:val="17"/>
                <w:szCs w:val="17"/>
              </w:rPr>
              <w:t xml:space="preserve">Entrevistas a CEN/FACh; consulta normativa a Defensa.</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7"/>
                <w:szCs w:val="17"/>
              </w:rPr>
              <w:t xml:space="preserve">H2</w:t>
            </w:r>
          </w:p>
        </w:tc>
        <w:tc>
          <w:tcPr>
            <w:tcW w:type="dxa" w:w="3780"/>
            <w:tcMar>
              <w:top w:type="dxa" w:w="50"/>
              <w:left w:type="dxa" w:w="80"/>
              <w:bottom w:type="dxa" w:w="50"/>
              <w:right w:type="dxa" w:w="80"/>
            </w:tcMar>
            <w:vAlign w:val="center"/>
          </w:tcPr>
          <w:p>
            <w:pPr>
              <w:keepNext w:val="false"/>
              <w:spacing w:after="20" w:line="240"/>
              <w:jc w:val="left"/>
            </w:pPr>
            <w:r>
              <w:rPr>
                <w:sz w:val="17"/>
                <w:szCs w:val="17"/>
              </w:rPr>
              <w:t xml:space="preserve">El valor diferencial del CEN en datos reside en el dato propio (resolución, revisita, tasking, soberanía) más que en el cómputo, dado el NLHPC existente.</w:t>
            </w:r>
          </w:p>
        </w:tc>
        <w:tc>
          <w:tcPr>
            <w:tcW w:type="dxa" w:w="900"/>
            <w:tcMar>
              <w:top w:type="dxa" w:w="50"/>
              <w:left w:type="dxa" w:w="80"/>
              <w:bottom w:type="dxa" w:w="50"/>
              <w:right w:type="dxa" w:w="80"/>
            </w:tcMar>
            <w:vAlign w:val="center"/>
          </w:tcPr>
          <w:p>
            <w:pPr>
              <w:keepNext w:val="false"/>
              <w:spacing w:after="20" w:line="240"/>
              <w:jc w:val="left"/>
            </w:pPr>
            <w:r>
              <w:rPr>
                <w:sz w:val="17"/>
                <w:szCs w:val="17"/>
              </w:rPr>
              <w:t xml:space="preserve">3.2.3; 4.5</w:t>
            </w:r>
          </w:p>
        </w:tc>
        <w:tc>
          <w:tcPr>
            <w:tcW w:type="dxa" w:w="810"/>
            <w:tcMar>
              <w:top w:type="dxa" w:w="50"/>
              <w:left w:type="dxa" w:w="80"/>
              <w:bottom w:type="dxa" w:w="50"/>
              <w:right w:type="dxa" w:w="80"/>
            </w:tcMar>
            <w:vAlign w:val="center"/>
          </w:tcPr>
          <w:p>
            <w:pPr>
              <w:keepNext w:val="false"/>
              <w:spacing w:after="20" w:line="240"/>
              <w:jc w:val="center"/>
            </w:pPr>
            <w:r>
              <w:rPr>
                <w:sz w:val="17"/>
                <w:szCs w:val="17"/>
              </w:rPr>
              <w:t xml:space="preserve">Baja</w:t>
            </w:r>
          </w:p>
        </w:tc>
        <w:tc>
          <w:tcPr>
            <w:tcW w:type="dxa" w:w="2970"/>
            <w:tcMar>
              <w:top w:type="dxa" w:w="50"/>
              <w:left w:type="dxa" w:w="80"/>
              <w:bottom w:type="dxa" w:w="50"/>
              <w:right w:type="dxa" w:w="80"/>
            </w:tcMar>
            <w:vAlign w:val="center"/>
          </w:tcPr>
          <w:p>
            <w:pPr>
              <w:keepNext w:val="false"/>
              <w:spacing w:after="20" w:line="240"/>
              <w:jc w:val="left"/>
            </w:pPr>
            <w:r>
              <w:rPr>
                <w:sz w:val="17"/>
                <w:szCs w:val="17"/>
              </w:rPr>
              <w:t xml:space="preserve">Especificaciones técnicas del SNSat; ficha técnica del HPC.</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7"/>
                <w:szCs w:val="17"/>
              </w:rPr>
              <w:t xml:space="preserve">H3</w:t>
            </w:r>
          </w:p>
        </w:tc>
        <w:tc>
          <w:tcPr>
            <w:tcW w:type="dxa" w:w="3780"/>
            <w:tcMar>
              <w:top w:type="dxa" w:w="50"/>
              <w:left w:type="dxa" w:w="80"/>
              <w:bottom w:type="dxa" w:w="50"/>
              <w:right w:type="dxa" w:w="80"/>
            </w:tcMar>
            <w:vAlign w:val="center"/>
          </w:tcPr>
          <w:p>
            <w:pPr>
              <w:keepNext w:val="false"/>
              <w:spacing w:after="20" w:line="240"/>
              <w:jc w:val="left"/>
            </w:pPr>
            <w:r>
              <w:rPr>
                <w:sz w:val="17"/>
                <w:szCs w:val="17"/>
              </w:rPr>
              <w:t xml:space="preserve">El nivel 1 de madurez refleja ausencia de evidencia pública de uso, no necesariamente ausencia de uso.</w:t>
            </w:r>
          </w:p>
        </w:tc>
        <w:tc>
          <w:tcPr>
            <w:tcW w:type="dxa" w:w="900"/>
            <w:tcMar>
              <w:top w:type="dxa" w:w="50"/>
              <w:left w:type="dxa" w:w="80"/>
              <w:bottom w:type="dxa" w:w="50"/>
              <w:right w:type="dxa" w:w="80"/>
            </w:tcMar>
            <w:vAlign w:val="center"/>
          </w:tcPr>
          <w:p>
            <w:pPr>
              <w:keepNext w:val="false"/>
              <w:spacing w:after="20" w:line="240"/>
              <w:jc w:val="left"/>
            </w:pPr>
            <w:r>
              <w:rPr>
                <w:sz w:val="17"/>
                <w:szCs w:val="17"/>
              </w:rPr>
              <w:t xml:space="preserve">3.6</w:t>
            </w:r>
          </w:p>
        </w:tc>
        <w:tc>
          <w:tcPr>
            <w:tcW w:type="dxa" w:w="810"/>
            <w:tcMar>
              <w:top w:type="dxa" w:w="50"/>
              <w:left w:type="dxa" w:w="80"/>
              <w:bottom w:type="dxa" w:w="50"/>
              <w:right w:type="dxa" w:w="80"/>
            </w:tcMar>
            <w:vAlign w:val="center"/>
          </w:tcPr>
          <w:p>
            <w:pPr>
              <w:keepNext w:val="false"/>
              <w:spacing w:after="20" w:line="240"/>
              <w:jc w:val="center"/>
            </w:pPr>
            <w:r>
              <w:rPr>
                <w:sz w:val="17"/>
                <w:szCs w:val="17"/>
              </w:rPr>
              <w:t xml:space="preserve">Baja</w:t>
            </w:r>
          </w:p>
        </w:tc>
        <w:tc>
          <w:tcPr>
            <w:tcW w:type="dxa" w:w="2970"/>
            <w:tcMar>
              <w:top w:type="dxa" w:w="50"/>
              <w:left w:type="dxa" w:w="80"/>
              <w:bottom w:type="dxa" w:w="50"/>
              <w:right w:type="dxa" w:w="80"/>
            </w:tcMar>
            <w:vAlign w:val="center"/>
          </w:tcPr>
          <w:p>
            <w:pPr>
              <w:keepNext w:val="false"/>
              <w:spacing w:after="20" w:line="240"/>
              <w:jc w:val="left"/>
            </w:pPr>
            <w:r>
              <w:rPr>
                <w:sz w:val="17"/>
                <w:szCs w:val="17"/>
              </w:rPr>
              <w:t xml:space="preserve">Registros de uso y ensayos; entrevistas.</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7"/>
                <w:szCs w:val="17"/>
              </w:rPr>
              <w:t xml:space="preserve">H4</w:t>
            </w:r>
          </w:p>
        </w:tc>
        <w:tc>
          <w:tcPr>
            <w:tcW w:type="dxa" w:w="3780"/>
            <w:tcMar>
              <w:top w:type="dxa" w:w="50"/>
              <w:left w:type="dxa" w:w="80"/>
              <w:bottom w:type="dxa" w:w="50"/>
              <w:right w:type="dxa" w:w="80"/>
            </w:tcMar>
            <w:vAlign w:val="center"/>
          </w:tcPr>
          <w:p>
            <w:pPr>
              <w:keepNext w:val="false"/>
              <w:spacing w:after="20" w:line="240"/>
              <w:jc w:val="left"/>
            </w:pPr>
            <w:r>
              <w:rPr>
                <w:sz w:val="17"/>
                <w:szCs w:val="17"/>
              </w:rPr>
              <w:t xml:space="preserve">El potencial de transferencia es alto en simulación ambiental y datos, y medio en ensamblaje, control de misión y formación.</w:t>
            </w:r>
          </w:p>
        </w:tc>
        <w:tc>
          <w:tcPr>
            <w:tcW w:type="dxa" w:w="900"/>
            <w:tcMar>
              <w:top w:type="dxa" w:w="50"/>
              <w:left w:type="dxa" w:w="80"/>
              <w:bottom w:type="dxa" w:w="50"/>
              <w:right w:type="dxa" w:w="80"/>
            </w:tcMar>
            <w:vAlign w:val="center"/>
          </w:tcPr>
          <w:p>
            <w:pPr>
              <w:keepNext w:val="false"/>
              <w:spacing w:after="20" w:line="240"/>
              <w:jc w:val="left"/>
            </w:pPr>
            <w:r>
              <w:rPr>
                <w:sz w:val="17"/>
                <w:szCs w:val="17"/>
              </w:rPr>
              <w:t xml:space="preserve">3.7</w:t>
            </w:r>
          </w:p>
        </w:tc>
        <w:tc>
          <w:tcPr>
            <w:tcW w:type="dxa" w:w="810"/>
            <w:tcMar>
              <w:top w:type="dxa" w:w="50"/>
              <w:left w:type="dxa" w:w="80"/>
              <w:bottom w:type="dxa" w:w="50"/>
              <w:right w:type="dxa" w:w="80"/>
            </w:tcMar>
            <w:vAlign w:val="center"/>
          </w:tcPr>
          <w:p>
            <w:pPr>
              <w:keepNext w:val="false"/>
              <w:spacing w:after="20" w:line="240"/>
              <w:jc w:val="center"/>
            </w:pPr>
            <w:r>
              <w:rPr>
                <w:sz w:val="17"/>
                <w:szCs w:val="17"/>
              </w:rPr>
              <w:t xml:space="preserve">Baja</w:t>
            </w:r>
          </w:p>
        </w:tc>
        <w:tc>
          <w:tcPr>
            <w:tcW w:type="dxa" w:w="2970"/>
            <w:tcMar>
              <w:top w:type="dxa" w:w="50"/>
              <w:left w:type="dxa" w:w="80"/>
              <w:bottom w:type="dxa" w:w="50"/>
              <w:right w:type="dxa" w:w="80"/>
            </w:tcMar>
            <w:vAlign w:val="center"/>
          </w:tcPr>
          <w:p>
            <w:pPr>
              <w:keepNext w:val="false"/>
              <w:spacing w:after="20" w:line="240"/>
              <w:jc w:val="left"/>
            </w:pPr>
            <w:r>
              <w:rPr>
                <w:sz w:val="17"/>
                <w:szCs w:val="17"/>
              </w:rPr>
              <w:t xml:space="preserve">Entrevistas a receptores potenciales (academia, proveedores).</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7"/>
                <w:szCs w:val="17"/>
              </w:rPr>
              <w:t xml:space="preserve">H5</w:t>
            </w:r>
          </w:p>
        </w:tc>
        <w:tc>
          <w:tcPr>
            <w:tcW w:type="dxa" w:w="3780"/>
            <w:tcMar>
              <w:top w:type="dxa" w:w="50"/>
              <w:left w:type="dxa" w:w="80"/>
              <w:bottom w:type="dxa" w:w="50"/>
              <w:right w:type="dxa" w:w="80"/>
            </w:tcMar>
            <w:vAlign w:val="center"/>
          </w:tcPr>
          <w:p>
            <w:pPr>
              <w:keepNext w:val="false"/>
              <w:spacing w:after="20" w:line="240"/>
              <w:jc w:val="left"/>
            </w:pPr>
            <w:r>
              <w:rPr>
                <w:sz w:val="17"/>
                <w:szCs w:val="17"/>
              </w:rPr>
              <w:t xml:space="preserve">Las barreras institucionales, normativas y de conocimiento (B1, B2, B3) son las de mayor prioridad.</w:t>
            </w:r>
          </w:p>
        </w:tc>
        <w:tc>
          <w:tcPr>
            <w:tcW w:type="dxa" w:w="900"/>
            <w:tcMar>
              <w:top w:type="dxa" w:w="50"/>
              <w:left w:type="dxa" w:w="80"/>
              <w:bottom w:type="dxa" w:w="50"/>
              <w:right w:type="dxa" w:w="80"/>
            </w:tcMar>
            <w:vAlign w:val="center"/>
          </w:tcPr>
          <w:p>
            <w:pPr>
              <w:keepNext w:val="false"/>
              <w:spacing w:after="20" w:line="240"/>
              <w:jc w:val="left"/>
            </w:pPr>
            <w:r>
              <w:rPr>
                <w:sz w:val="17"/>
                <w:szCs w:val="17"/>
              </w:rPr>
              <w:t xml:space="preserve">4.3</w:t>
            </w:r>
          </w:p>
        </w:tc>
        <w:tc>
          <w:tcPr>
            <w:tcW w:type="dxa" w:w="810"/>
            <w:tcMar>
              <w:top w:type="dxa" w:w="50"/>
              <w:left w:type="dxa" w:w="80"/>
              <w:bottom w:type="dxa" w:w="50"/>
              <w:right w:type="dxa" w:w="80"/>
            </w:tcMar>
            <w:vAlign w:val="center"/>
          </w:tcPr>
          <w:p>
            <w:pPr>
              <w:keepNext w:val="false"/>
              <w:spacing w:after="20" w:line="240"/>
              <w:jc w:val="center"/>
            </w:pPr>
            <w:r>
              <w:rPr>
                <w:sz w:val="17"/>
                <w:szCs w:val="17"/>
              </w:rPr>
              <w:t xml:space="preserve">Baja</w:t>
            </w:r>
          </w:p>
        </w:tc>
        <w:tc>
          <w:tcPr>
            <w:tcW w:type="dxa" w:w="2970"/>
            <w:tcMar>
              <w:top w:type="dxa" w:w="50"/>
              <w:left w:type="dxa" w:w="80"/>
              <w:bottom w:type="dxa" w:w="50"/>
              <w:right w:type="dxa" w:w="80"/>
            </w:tcMar>
            <w:vAlign w:val="center"/>
          </w:tcPr>
          <w:p>
            <w:pPr>
              <w:keepNext w:val="false"/>
              <w:spacing w:after="20" w:line="240"/>
              <w:jc w:val="left"/>
            </w:pPr>
            <w:r>
              <w:rPr>
                <w:sz w:val="17"/>
                <w:szCs w:val="17"/>
              </w:rPr>
              <w:t xml:space="preserve">Consulta a actores clave; panel Delphi (OE5).</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7"/>
                <w:szCs w:val="17"/>
              </w:rPr>
              <w:t xml:space="preserve">H6</w:t>
            </w:r>
          </w:p>
        </w:tc>
        <w:tc>
          <w:tcPr>
            <w:tcW w:type="dxa" w:w="3780"/>
            <w:tcMar>
              <w:top w:type="dxa" w:w="50"/>
              <w:left w:type="dxa" w:w="80"/>
              <w:bottom w:type="dxa" w:w="50"/>
              <w:right w:type="dxa" w:w="80"/>
            </w:tcMar>
            <w:vAlign w:val="center"/>
          </w:tcPr>
          <w:p>
            <w:pPr>
              <w:keepNext w:val="false"/>
              <w:spacing w:after="20" w:line="240"/>
              <w:jc w:val="left"/>
            </w:pPr>
            <w:r>
              <w:rPr>
                <w:sz w:val="17"/>
                <w:szCs w:val="17"/>
              </w:rPr>
              <w:t xml:space="preserve">El mercado doméstico (≈ 8 satélites declarados) no sostiene por sí solo una industria.</w:t>
            </w:r>
          </w:p>
        </w:tc>
        <w:tc>
          <w:tcPr>
            <w:tcW w:type="dxa" w:w="900"/>
            <w:tcMar>
              <w:top w:type="dxa" w:w="50"/>
              <w:left w:type="dxa" w:w="80"/>
              <w:bottom w:type="dxa" w:w="50"/>
              <w:right w:type="dxa" w:w="80"/>
            </w:tcMar>
            <w:vAlign w:val="center"/>
          </w:tcPr>
          <w:p>
            <w:pPr>
              <w:keepNext w:val="false"/>
              <w:spacing w:after="20" w:line="240"/>
              <w:jc w:val="left"/>
            </w:pPr>
            <w:r>
              <w:rPr>
                <w:sz w:val="17"/>
                <w:szCs w:val="17"/>
              </w:rPr>
              <w:t xml:space="preserve">4.2</w:t>
            </w:r>
          </w:p>
        </w:tc>
        <w:tc>
          <w:tcPr>
            <w:tcW w:type="dxa" w:w="810"/>
            <w:tcMar>
              <w:top w:type="dxa" w:w="50"/>
              <w:left w:type="dxa" w:w="80"/>
              <w:bottom w:type="dxa" w:w="50"/>
              <w:right w:type="dxa" w:w="80"/>
            </w:tcMar>
            <w:vAlign w:val="center"/>
          </w:tcPr>
          <w:p>
            <w:pPr>
              <w:keepNext w:val="false"/>
              <w:spacing w:after="20" w:line="240"/>
              <w:jc w:val="center"/>
            </w:pPr>
            <w:r>
              <w:rPr>
                <w:sz w:val="17"/>
                <w:szCs w:val="17"/>
              </w:rPr>
              <w:t xml:space="preserve">Baja</w:t>
            </w:r>
          </w:p>
        </w:tc>
        <w:tc>
          <w:tcPr>
            <w:tcW w:type="dxa" w:w="2970"/>
            <w:tcMar>
              <w:top w:type="dxa" w:w="50"/>
              <w:left w:type="dxa" w:w="80"/>
              <w:bottom w:type="dxa" w:w="50"/>
              <w:right w:type="dxa" w:w="80"/>
            </w:tcMar>
            <w:vAlign w:val="center"/>
          </w:tcPr>
          <w:p>
            <w:pPr>
              <w:keepNext w:val="false"/>
              <w:spacing w:after="20" w:line="240"/>
              <w:jc w:val="left"/>
            </w:pPr>
            <w:r>
              <w:rPr>
                <w:sz w:val="17"/>
                <w:szCs w:val="17"/>
              </w:rPr>
              <w:t xml:space="preserve">Plan del SNSat; análisis de demanda en entrevistas.</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7"/>
                <w:szCs w:val="17"/>
              </w:rPr>
              <w:t xml:space="preserve">H7</w:t>
            </w:r>
          </w:p>
        </w:tc>
        <w:tc>
          <w:tcPr>
            <w:tcW w:type="dxa" w:w="3780"/>
            <w:tcMar>
              <w:top w:type="dxa" w:w="50"/>
              <w:left w:type="dxa" w:w="80"/>
              <w:bottom w:type="dxa" w:w="50"/>
              <w:right w:type="dxa" w:w="80"/>
            </w:tcMar>
            <w:vAlign w:val="center"/>
          </w:tcPr>
          <w:p>
            <w:pPr>
              <w:keepNext w:val="false"/>
              <w:spacing w:after="20" w:line="240"/>
              <w:jc w:val="left"/>
            </w:pPr>
            <w:r>
              <w:rPr>
                <w:sz w:val="17"/>
                <w:szCs w:val="17"/>
              </w:rPr>
              <w:t xml:space="preserve">El uso dual y la acreditación de seguridad condicionan el acceso de proveedores y terceros.</w:t>
            </w:r>
          </w:p>
        </w:tc>
        <w:tc>
          <w:tcPr>
            <w:tcW w:type="dxa" w:w="900"/>
            <w:tcMar>
              <w:top w:type="dxa" w:w="50"/>
              <w:left w:type="dxa" w:w="80"/>
              <w:bottom w:type="dxa" w:w="50"/>
              <w:right w:type="dxa" w:w="80"/>
            </w:tcMar>
            <w:vAlign w:val="center"/>
          </w:tcPr>
          <w:p>
            <w:pPr>
              <w:keepNext w:val="false"/>
              <w:spacing w:after="20" w:line="240"/>
              <w:jc w:val="left"/>
            </w:pPr>
            <w:r>
              <w:rPr>
                <w:sz w:val="17"/>
                <w:szCs w:val="17"/>
              </w:rPr>
              <w:t xml:space="preserve">4.2</w:t>
            </w:r>
          </w:p>
        </w:tc>
        <w:tc>
          <w:tcPr>
            <w:tcW w:type="dxa" w:w="810"/>
            <w:tcMar>
              <w:top w:type="dxa" w:w="50"/>
              <w:left w:type="dxa" w:w="80"/>
              <w:bottom w:type="dxa" w:w="50"/>
              <w:right w:type="dxa" w:w="80"/>
            </w:tcMar>
            <w:vAlign w:val="center"/>
          </w:tcPr>
          <w:p>
            <w:pPr>
              <w:keepNext w:val="false"/>
              <w:spacing w:after="20" w:line="240"/>
              <w:jc w:val="center"/>
            </w:pPr>
            <w:r>
              <w:rPr>
                <w:sz w:val="17"/>
                <w:szCs w:val="17"/>
              </w:rPr>
              <w:t xml:space="preserve">Muy baja</w:t>
            </w:r>
          </w:p>
        </w:tc>
        <w:tc>
          <w:tcPr>
            <w:tcW w:type="dxa" w:w="2970"/>
            <w:tcMar>
              <w:top w:type="dxa" w:w="50"/>
              <w:left w:type="dxa" w:w="80"/>
              <w:bottom w:type="dxa" w:w="50"/>
              <w:right w:type="dxa" w:w="80"/>
            </w:tcMar>
            <w:vAlign w:val="center"/>
          </w:tcPr>
          <w:p>
            <w:pPr>
              <w:keepNext w:val="false"/>
              <w:spacing w:after="20" w:line="240"/>
              <w:jc w:val="left"/>
            </w:pPr>
            <w:r>
              <w:rPr>
                <w:sz w:val="17"/>
                <w:szCs w:val="17"/>
              </w:rPr>
              <w:t xml:space="preserve">Consulta a FACh/Defensa; revisión normativa.</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7"/>
                <w:szCs w:val="17"/>
              </w:rPr>
              <w:t xml:space="preserve">H8</w:t>
            </w:r>
          </w:p>
        </w:tc>
        <w:tc>
          <w:tcPr>
            <w:tcW w:type="dxa" w:w="3780"/>
            <w:tcMar>
              <w:top w:type="dxa" w:w="50"/>
              <w:left w:type="dxa" w:w="80"/>
              <w:bottom w:type="dxa" w:w="50"/>
              <w:right w:type="dxa" w:w="80"/>
            </w:tcMar>
            <w:vAlign w:val="center"/>
          </w:tcPr>
          <w:p>
            <w:pPr>
              <w:keepNext w:val="false"/>
              <w:spacing w:after="20" w:line="240"/>
              <w:jc w:val="left"/>
            </w:pPr>
            <w:r>
              <w:rPr>
                <w:sz w:val="17"/>
                <w:szCs w:val="17"/>
              </w:rPr>
              <w:t xml:space="preserve">El ecosistema espacial chileno existe, pero está disperso y poco articulado.</w:t>
            </w:r>
          </w:p>
        </w:tc>
        <w:tc>
          <w:tcPr>
            <w:tcW w:type="dxa" w:w="900"/>
            <w:tcMar>
              <w:top w:type="dxa" w:w="50"/>
              <w:left w:type="dxa" w:w="80"/>
              <w:bottom w:type="dxa" w:w="50"/>
              <w:right w:type="dxa" w:w="80"/>
            </w:tcMar>
            <w:vAlign w:val="center"/>
          </w:tcPr>
          <w:p>
            <w:pPr>
              <w:keepNext w:val="false"/>
              <w:spacing w:after="20" w:line="240"/>
              <w:jc w:val="left"/>
            </w:pPr>
            <w:r>
              <w:rPr>
                <w:sz w:val="17"/>
                <w:szCs w:val="17"/>
              </w:rPr>
              <w:t xml:space="preserve">1.1.2; 3.8</w:t>
            </w:r>
          </w:p>
        </w:tc>
        <w:tc>
          <w:tcPr>
            <w:tcW w:type="dxa" w:w="810"/>
            <w:tcMar>
              <w:top w:type="dxa" w:w="50"/>
              <w:left w:type="dxa" w:w="80"/>
              <w:bottom w:type="dxa" w:w="50"/>
              <w:right w:type="dxa" w:w="80"/>
            </w:tcMar>
            <w:vAlign w:val="center"/>
          </w:tcPr>
          <w:p>
            <w:pPr>
              <w:keepNext w:val="false"/>
              <w:spacing w:after="20" w:line="240"/>
              <w:jc w:val="center"/>
            </w:pPr>
            <w:r>
              <w:rPr>
                <w:sz w:val="17"/>
                <w:szCs w:val="17"/>
              </w:rPr>
              <w:t xml:space="preserve">Baja</w:t>
            </w:r>
          </w:p>
        </w:tc>
        <w:tc>
          <w:tcPr>
            <w:tcW w:type="dxa" w:w="2970"/>
            <w:tcMar>
              <w:top w:type="dxa" w:w="50"/>
              <w:left w:type="dxa" w:w="80"/>
              <w:bottom w:type="dxa" w:w="50"/>
              <w:right w:type="dxa" w:w="80"/>
            </w:tcMar>
            <w:vAlign w:val="center"/>
          </w:tcPr>
          <w:p>
            <w:pPr>
              <w:keepNext w:val="false"/>
              <w:spacing w:after="20" w:line="240"/>
              <w:jc w:val="left"/>
            </w:pPr>
            <w:r>
              <w:rPr>
                <w:sz w:val="17"/>
                <w:szCs w:val="17"/>
              </w:rPr>
              <w:t xml:space="preserve">Mapeo de actores; entrevistas.</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7"/>
                <w:szCs w:val="17"/>
              </w:rPr>
              <w:t xml:space="preserve">H9</w:t>
            </w:r>
          </w:p>
        </w:tc>
        <w:tc>
          <w:tcPr>
            <w:tcW w:type="dxa" w:w="3780"/>
            <w:tcMar>
              <w:top w:type="dxa" w:w="50"/>
              <w:left w:type="dxa" w:w="80"/>
              <w:bottom w:type="dxa" w:w="50"/>
              <w:right w:type="dxa" w:w="80"/>
            </w:tcMar>
            <w:vAlign w:val="center"/>
          </w:tcPr>
          <w:p>
            <w:pPr>
              <w:keepNext w:val="false"/>
              <w:spacing w:after="20" w:line="240"/>
              <w:jc w:val="left"/>
            </w:pPr>
            <w:r>
              <w:rPr>
                <w:sz w:val="17"/>
                <w:szCs w:val="17"/>
              </w:rPr>
              <w:t xml:space="preserve">La transferibilidad relativa de los mecanismos M1-M7 es la estimada, y M5 y M6 son los de mayor viabilidad.</w:t>
            </w:r>
          </w:p>
        </w:tc>
        <w:tc>
          <w:tcPr>
            <w:tcW w:type="dxa" w:w="900"/>
            <w:tcMar>
              <w:top w:type="dxa" w:w="50"/>
              <w:left w:type="dxa" w:w="80"/>
              <w:bottom w:type="dxa" w:w="50"/>
              <w:right w:type="dxa" w:w="80"/>
            </w:tcMar>
            <w:vAlign w:val="center"/>
          </w:tcPr>
          <w:p>
            <w:pPr>
              <w:keepNext w:val="false"/>
              <w:spacing w:after="20" w:line="240"/>
              <w:jc w:val="left"/>
            </w:pPr>
            <w:r>
              <w:rPr>
                <w:sz w:val="17"/>
                <w:szCs w:val="17"/>
              </w:rPr>
              <w:t xml:space="preserve">5.11</w:t>
            </w:r>
          </w:p>
        </w:tc>
        <w:tc>
          <w:tcPr>
            <w:tcW w:type="dxa" w:w="810"/>
            <w:tcMar>
              <w:top w:type="dxa" w:w="50"/>
              <w:left w:type="dxa" w:w="80"/>
              <w:bottom w:type="dxa" w:w="50"/>
              <w:right w:type="dxa" w:w="80"/>
            </w:tcMar>
            <w:vAlign w:val="center"/>
          </w:tcPr>
          <w:p>
            <w:pPr>
              <w:keepNext w:val="false"/>
              <w:spacing w:after="20" w:line="240"/>
              <w:jc w:val="center"/>
            </w:pPr>
            <w:r>
              <w:rPr>
                <w:sz w:val="17"/>
                <w:szCs w:val="17"/>
              </w:rPr>
              <w:t xml:space="preserve">Baja</w:t>
            </w:r>
          </w:p>
        </w:tc>
        <w:tc>
          <w:tcPr>
            <w:tcW w:type="dxa" w:w="2970"/>
            <w:tcMar>
              <w:top w:type="dxa" w:w="50"/>
              <w:left w:type="dxa" w:w="80"/>
              <w:bottom w:type="dxa" w:w="50"/>
              <w:right w:type="dxa" w:w="80"/>
            </w:tcMar>
            <w:vAlign w:val="center"/>
          </w:tcPr>
          <w:p>
            <w:pPr>
              <w:keepNext w:val="false"/>
              <w:spacing w:after="20" w:line="240"/>
              <w:jc w:val="left"/>
            </w:pPr>
            <w:r>
              <w:rPr>
                <w:sz w:val="17"/>
                <w:szCs w:val="17"/>
              </w:rPr>
              <w:t xml:space="preserve">Validación con expertos (OE5).</w:t>
            </w:r>
          </w:p>
        </w:tc>
      </w:tr>
    </w:tbl>
    <w:p>
      <w:pPr>
        <w:spacing w:after="200" w:before="60"/>
        <w:jc w:val="center"/>
      </w:pPr>
      <w:r>
        <w:rPr>
          <w:i/>
          <w:iCs/>
          <w:sz w:val="17"/>
          <w:szCs w:val="17"/>
        </w:rPr>
        <w:t xml:space="preserve">Fuente: Elaboración propia.</w:t>
      </w:r>
    </w:p>
    <w:p>
      <w:pPr>
        <w:pStyle w:val="Heading2"/>
      </w:pPr>
      <w:r>
        <w:t xml:space="preserve">2.11 Plan de contraste con fuentes primarias</w:t>
      </w:r>
    </w:p>
    <w:p>
      <w:pPr>
        <w:spacing w:after="140" w:line="300"/>
        <w:jc w:val="both"/>
      </w:pPr>
      <w:r>
        <w:t xml:space="preserve">Como el diagnóstico se apoya en información secundaria, se diseñó un plan de contraste que se ejecutará antes de formular los lineamientos (OE4). A la fecha de este informe no se han levantado fuentes primarias. La Tabla 6 define los perfiles, el número tentativo de participantes y los temas de la pauta semiestructurada; una versión preliminar de la pauta se incluye en el Anexo A.</w:t>
      </w:r>
    </w:p>
    <w:p>
      <w:pPr>
        <w:pStyle w:val="Caption"/>
        <w:keepNext/>
        <w:spacing w:after="80" w:before="200"/>
        <w:jc w:val="center"/>
      </w:pPr>
      <w:r>
        <w:rPr>
          <w:b/>
          <w:bCs/>
        </w:rPr>
        <w:t xml:space="preserve">Tabla </w:t>
      </w:r>
      <w:fldSimple w:instr="SEQ Tabla \* ARABIC">
        <w:r>
          <w:t xml:space="preserve">6</w:t>
        </w:r>
      </w:fldSimple>
      <w:r>
        <w:rPr>
          <w:b/>
          <w:bCs/>
        </w:rPr>
        <w:t xml:space="preserve">. Plan de contraste con actores: perfiles, número tentativo y temas</w:t>
      </w:r>
    </w:p>
    <w:tbl>
      <w:tblPr>
        <w:tblW w:type="dxa" w:w="9000"/>
        <w:tblBorders>
          <w:top w:val="single" w:color="A6A6A6" w:sz="4"/>
          <w:left w:val="single" w:color="A6A6A6" w:sz="4"/>
          <w:bottom w:val="single" w:color="A6A6A6" w:sz="4"/>
          <w:right w:val="single" w:color="A6A6A6" w:sz="4"/>
          <w:insideH w:val="single" w:color="A6A6A6" w:sz="4"/>
          <w:insideV w:val="single" w:color="A6A6A6" w:sz="4"/>
        </w:tblBorders>
      </w:tblPr>
      <w:tblGrid>
        <w:gridCol w:w="2160"/>
        <w:gridCol w:w="810"/>
        <w:gridCol w:w="3330"/>
        <w:gridCol w:w="2700"/>
      </w:tblGrid>
      <w:tr>
        <w:trPr>
          <w:cantSplit/>
          <w:tblHeader/>
        </w:trPr>
        <w:tc>
          <w:tcPr>
            <w:tcW w:type="dxa" w:w="216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Perfil</w:t>
            </w:r>
          </w:p>
        </w:tc>
        <w:tc>
          <w:tcPr>
            <w:tcW w:type="dxa" w:w="81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n tent.</w:t>
            </w:r>
          </w:p>
        </w:tc>
        <w:tc>
          <w:tcPr>
            <w:tcW w:type="dxa" w:w="333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Temas de la pauta</w:t>
            </w:r>
          </w:p>
        </w:tc>
        <w:tc>
          <w:tcPr>
            <w:tcW w:type="dxa" w:w="270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Hipótesis que contrasta</w:t>
            </w:r>
          </w:p>
        </w:tc>
      </w:tr>
      <w:tr>
        <w:trPr>
          <w:cantSplit/>
        </w:trPr>
        <w:tc>
          <w:tcPr>
            <w:tcW w:type="dxa" w:w="2160"/>
            <w:tcMar>
              <w:top w:type="dxa" w:w="50"/>
              <w:left w:type="dxa" w:w="80"/>
              <w:bottom w:type="dxa" w:w="50"/>
              <w:right w:type="dxa" w:w="80"/>
            </w:tcMar>
            <w:vAlign w:val="center"/>
          </w:tcPr>
          <w:p>
            <w:pPr>
              <w:keepNext w:val="false"/>
              <w:spacing w:after="20" w:line="240"/>
              <w:jc w:val="left"/>
            </w:pPr>
            <w:r>
              <w:rPr>
                <w:sz w:val="17"/>
                <w:szCs w:val="17"/>
              </w:rPr>
              <w:t xml:space="preserve">Personal del CEN y de la Dirección Espacial FACh</w:t>
            </w:r>
          </w:p>
        </w:tc>
        <w:tc>
          <w:tcPr>
            <w:tcW w:type="dxa" w:w="810"/>
            <w:tcMar>
              <w:top w:type="dxa" w:w="50"/>
              <w:left w:type="dxa" w:w="80"/>
              <w:bottom w:type="dxa" w:w="50"/>
              <w:right w:type="dxa" w:w="80"/>
            </w:tcMar>
            <w:vAlign w:val="center"/>
          </w:tcPr>
          <w:p>
            <w:pPr>
              <w:keepNext w:val="false"/>
              <w:spacing w:after="20" w:line="240"/>
              <w:jc w:val="left"/>
            </w:pPr>
            <w:r>
              <w:rPr>
                <w:sz w:val="17"/>
                <w:szCs w:val="17"/>
              </w:rPr>
              <w:t xml:space="preserve">2-3</w:t>
            </w:r>
          </w:p>
        </w:tc>
        <w:tc>
          <w:tcPr>
            <w:tcW w:type="dxa" w:w="3330"/>
            <w:tcMar>
              <w:top w:type="dxa" w:w="50"/>
              <w:left w:type="dxa" w:w="80"/>
              <w:bottom w:type="dxa" w:w="50"/>
              <w:right w:type="dxa" w:w="80"/>
            </w:tcMar>
            <w:vAlign w:val="center"/>
          </w:tcPr>
          <w:p>
            <w:pPr>
              <w:keepNext w:val="false"/>
              <w:spacing w:after="20" w:line="240"/>
              <w:jc w:val="left"/>
            </w:pPr>
            <w:r>
              <w:rPr>
                <w:sz w:val="17"/>
                <w:szCs w:val="17"/>
              </w:rPr>
              <w:t xml:space="preserve">Especificaciones y uso real de la infraestructura; origen de los datos; procesos de operación; formación; condiciones de acceso y seguridad.</w:t>
            </w:r>
          </w:p>
        </w:tc>
        <w:tc>
          <w:tcPr>
            <w:tcW w:type="dxa" w:w="2700"/>
            <w:tcMar>
              <w:top w:type="dxa" w:w="50"/>
              <w:left w:type="dxa" w:w="80"/>
              <w:bottom w:type="dxa" w:w="50"/>
              <w:right w:type="dxa" w:w="80"/>
            </w:tcMar>
            <w:vAlign w:val="center"/>
          </w:tcPr>
          <w:p>
            <w:pPr>
              <w:keepNext w:val="false"/>
              <w:spacing w:after="20" w:line="240"/>
              <w:jc w:val="left"/>
            </w:pPr>
            <w:r>
              <w:rPr>
                <w:sz w:val="17"/>
                <w:szCs w:val="17"/>
              </w:rPr>
              <w:t xml:space="preserve">H1, H2, H3, H7</w:t>
            </w:r>
          </w:p>
        </w:tc>
      </w:tr>
      <w:tr>
        <w:trPr>
          <w:cantSplit/>
        </w:trPr>
        <w:tc>
          <w:tcPr>
            <w:tcW w:type="dxa" w:w="2160"/>
            <w:tcMar>
              <w:top w:type="dxa" w:w="50"/>
              <w:left w:type="dxa" w:w="80"/>
              <w:bottom w:type="dxa" w:w="50"/>
              <w:right w:type="dxa" w:w="80"/>
            </w:tcMar>
            <w:vAlign w:val="center"/>
          </w:tcPr>
          <w:p>
            <w:pPr>
              <w:keepNext w:val="false"/>
              <w:spacing w:after="20" w:line="240"/>
              <w:jc w:val="left"/>
            </w:pPr>
            <w:r>
              <w:rPr>
                <w:sz w:val="17"/>
                <w:szCs w:val="17"/>
              </w:rPr>
              <w:t xml:space="preserve">Autoridades y técnicos de Defensa, Minciencia y Subtel</w:t>
            </w:r>
          </w:p>
        </w:tc>
        <w:tc>
          <w:tcPr>
            <w:tcW w:type="dxa" w:w="810"/>
            <w:tcMar>
              <w:top w:type="dxa" w:w="50"/>
              <w:left w:type="dxa" w:w="80"/>
              <w:bottom w:type="dxa" w:w="50"/>
              <w:right w:type="dxa" w:w="80"/>
            </w:tcMar>
            <w:vAlign w:val="center"/>
          </w:tcPr>
          <w:p>
            <w:pPr>
              <w:keepNext w:val="false"/>
              <w:spacing w:after="20" w:line="240"/>
              <w:jc w:val="left"/>
            </w:pPr>
            <w:r>
              <w:rPr>
                <w:sz w:val="17"/>
                <w:szCs w:val="17"/>
              </w:rPr>
              <w:t xml:space="preserve">2-3</w:t>
            </w:r>
          </w:p>
        </w:tc>
        <w:tc>
          <w:tcPr>
            <w:tcW w:type="dxa" w:w="3330"/>
            <w:tcMar>
              <w:top w:type="dxa" w:w="50"/>
              <w:left w:type="dxa" w:w="80"/>
              <w:bottom w:type="dxa" w:w="50"/>
              <w:right w:type="dxa" w:w="80"/>
            </w:tcMar>
            <w:vAlign w:val="center"/>
          </w:tcPr>
          <w:p>
            <w:pPr>
              <w:keepNext w:val="false"/>
              <w:spacing w:after="20" w:line="240"/>
              <w:jc w:val="left"/>
            </w:pPr>
            <w:r>
              <w:rPr>
                <w:sz w:val="17"/>
                <w:szCs w:val="17"/>
              </w:rPr>
              <w:t xml:space="preserve">Gobernanza; agenda legislativa; financiamiento; mecanismos de coordinación.</w:t>
            </w:r>
          </w:p>
        </w:tc>
        <w:tc>
          <w:tcPr>
            <w:tcW w:type="dxa" w:w="2700"/>
            <w:tcMar>
              <w:top w:type="dxa" w:w="50"/>
              <w:left w:type="dxa" w:w="80"/>
              <w:bottom w:type="dxa" w:w="50"/>
              <w:right w:type="dxa" w:w="80"/>
            </w:tcMar>
            <w:vAlign w:val="center"/>
          </w:tcPr>
          <w:p>
            <w:pPr>
              <w:keepNext w:val="false"/>
              <w:spacing w:after="20" w:line="240"/>
              <w:jc w:val="left"/>
            </w:pPr>
            <w:r>
              <w:rPr>
                <w:sz w:val="17"/>
                <w:szCs w:val="17"/>
              </w:rPr>
              <w:t xml:space="preserve">H5, H6, H7</w:t>
            </w:r>
          </w:p>
        </w:tc>
      </w:tr>
      <w:tr>
        <w:trPr>
          <w:cantSplit/>
        </w:trPr>
        <w:tc>
          <w:tcPr>
            <w:tcW w:type="dxa" w:w="2160"/>
            <w:tcMar>
              <w:top w:type="dxa" w:w="50"/>
              <w:left w:type="dxa" w:w="80"/>
              <w:bottom w:type="dxa" w:w="50"/>
              <w:right w:type="dxa" w:w="80"/>
            </w:tcMar>
            <w:vAlign w:val="center"/>
          </w:tcPr>
          <w:p>
            <w:pPr>
              <w:keepNext w:val="false"/>
              <w:spacing w:after="20" w:line="240"/>
              <w:jc w:val="left"/>
            </w:pPr>
            <w:r>
              <w:rPr>
                <w:sz w:val="17"/>
                <w:szCs w:val="17"/>
              </w:rPr>
              <w:t xml:space="preserve">Academia (programas de nanosatélites, astroingeniería, cómputo)</w:t>
            </w:r>
          </w:p>
        </w:tc>
        <w:tc>
          <w:tcPr>
            <w:tcW w:type="dxa" w:w="810"/>
            <w:tcMar>
              <w:top w:type="dxa" w:w="50"/>
              <w:left w:type="dxa" w:w="80"/>
              <w:bottom w:type="dxa" w:w="50"/>
              <w:right w:type="dxa" w:w="80"/>
            </w:tcMar>
            <w:vAlign w:val="center"/>
          </w:tcPr>
          <w:p>
            <w:pPr>
              <w:keepNext w:val="false"/>
              <w:spacing w:after="20" w:line="240"/>
              <w:jc w:val="left"/>
            </w:pPr>
            <w:r>
              <w:rPr>
                <w:sz w:val="17"/>
                <w:szCs w:val="17"/>
              </w:rPr>
              <w:t xml:space="preserve">2-3</w:t>
            </w:r>
          </w:p>
        </w:tc>
        <w:tc>
          <w:tcPr>
            <w:tcW w:type="dxa" w:w="3330"/>
            <w:tcMar>
              <w:top w:type="dxa" w:w="50"/>
              <w:left w:type="dxa" w:w="80"/>
              <w:bottom w:type="dxa" w:w="50"/>
              <w:right w:type="dxa" w:w="80"/>
            </w:tcMar>
            <w:vAlign w:val="center"/>
          </w:tcPr>
          <w:p>
            <w:pPr>
              <w:keepNext w:val="false"/>
              <w:spacing w:after="20" w:line="240"/>
              <w:jc w:val="left"/>
            </w:pPr>
            <w:r>
              <w:rPr>
                <w:sz w:val="17"/>
                <w:szCs w:val="17"/>
              </w:rPr>
              <w:t xml:space="preserve">Demanda de ensayos, datos y formación; experiencias de colaboración; capacidad de absorción.</w:t>
            </w:r>
          </w:p>
        </w:tc>
        <w:tc>
          <w:tcPr>
            <w:tcW w:type="dxa" w:w="2700"/>
            <w:tcMar>
              <w:top w:type="dxa" w:w="50"/>
              <w:left w:type="dxa" w:w="80"/>
              <w:bottom w:type="dxa" w:w="50"/>
              <w:right w:type="dxa" w:w="80"/>
            </w:tcMar>
            <w:vAlign w:val="center"/>
          </w:tcPr>
          <w:p>
            <w:pPr>
              <w:keepNext w:val="false"/>
              <w:spacing w:after="20" w:line="240"/>
              <w:jc w:val="left"/>
            </w:pPr>
            <w:r>
              <w:rPr>
                <w:sz w:val="17"/>
                <w:szCs w:val="17"/>
              </w:rPr>
              <w:t xml:space="preserve">H4, H8</w:t>
            </w:r>
          </w:p>
        </w:tc>
      </w:tr>
      <w:tr>
        <w:trPr>
          <w:cantSplit/>
        </w:trPr>
        <w:tc>
          <w:tcPr>
            <w:tcW w:type="dxa" w:w="2160"/>
            <w:tcMar>
              <w:top w:type="dxa" w:w="50"/>
              <w:left w:type="dxa" w:w="80"/>
              <w:bottom w:type="dxa" w:w="50"/>
              <w:right w:type="dxa" w:w="80"/>
            </w:tcMar>
            <w:vAlign w:val="center"/>
          </w:tcPr>
          <w:p>
            <w:pPr>
              <w:keepNext w:val="false"/>
              <w:spacing w:after="20" w:line="240"/>
              <w:jc w:val="left"/>
            </w:pPr>
            <w:r>
              <w:rPr>
                <w:sz w:val="17"/>
                <w:szCs w:val="17"/>
              </w:rPr>
              <w:t xml:space="preserve">Industria (ENAER, empresas de base tecnológica, pymes)</w:t>
            </w:r>
          </w:p>
        </w:tc>
        <w:tc>
          <w:tcPr>
            <w:tcW w:type="dxa" w:w="810"/>
            <w:tcMar>
              <w:top w:type="dxa" w:w="50"/>
              <w:left w:type="dxa" w:w="80"/>
              <w:bottom w:type="dxa" w:w="50"/>
              <w:right w:type="dxa" w:w="80"/>
            </w:tcMar>
            <w:vAlign w:val="center"/>
          </w:tcPr>
          <w:p>
            <w:pPr>
              <w:keepNext w:val="false"/>
              <w:spacing w:after="20" w:line="240"/>
              <w:jc w:val="left"/>
            </w:pPr>
            <w:r>
              <w:rPr>
                <w:sz w:val="17"/>
                <w:szCs w:val="17"/>
              </w:rPr>
              <w:t xml:space="preserve">2-3</w:t>
            </w:r>
          </w:p>
        </w:tc>
        <w:tc>
          <w:tcPr>
            <w:tcW w:type="dxa" w:w="3330"/>
            <w:tcMar>
              <w:top w:type="dxa" w:w="50"/>
              <w:left w:type="dxa" w:w="80"/>
              <w:bottom w:type="dxa" w:w="50"/>
              <w:right w:type="dxa" w:w="80"/>
            </w:tcMar>
            <w:vAlign w:val="center"/>
          </w:tcPr>
          <w:p>
            <w:pPr>
              <w:keepNext w:val="false"/>
              <w:spacing w:after="20" w:line="240"/>
              <w:jc w:val="left"/>
            </w:pPr>
            <w:r>
              <w:rPr>
                <w:sz w:val="17"/>
                <w:szCs w:val="17"/>
              </w:rPr>
              <w:t xml:space="preserve">Capacidades de proveeduría; requisitos de acceso; incentivos; barreras de entrada.</w:t>
            </w:r>
          </w:p>
        </w:tc>
        <w:tc>
          <w:tcPr>
            <w:tcW w:type="dxa" w:w="2700"/>
            <w:tcMar>
              <w:top w:type="dxa" w:w="50"/>
              <w:left w:type="dxa" w:w="80"/>
              <w:bottom w:type="dxa" w:w="50"/>
              <w:right w:type="dxa" w:w="80"/>
            </w:tcMar>
            <w:vAlign w:val="center"/>
          </w:tcPr>
          <w:p>
            <w:pPr>
              <w:keepNext w:val="false"/>
              <w:spacing w:after="20" w:line="240"/>
              <w:jc w:val="left"/>
            </w:pPr>
            <w:r>
              <w:rPr>
                <w:sz w:val="17"/>
                <w:szCs w:val="17"/>
              </w:rPr>
              <w:t xml:space="preserve">H4, H6, H8</w:t>
            </w:r>
          </w:p>
        </w:tc>
      </w:tr>
      <w:tr>
        <w:trPr>
          <w:cantSplit/>
        </w:trPr>
        <w:tc>
          <w:tcPr>
            <w:tcW w:type="dxa" w:w="2160"/>
            <w:tcMar>
              <w:top w:type="dxa" w:w="50"/>
              <w:left w:type="dxa" w:w="80"/>
              <w:bottom w:type="dxa" w:w="50"/>
              <w:right w:type="dxa" w:w="80"/>
            </w:tcMar>
            <w:vAlign w:val="center"/>
          </w:tcPr>
          <w:p>
            <w:pPr>
              <w:keepNext w:val="false"/>
              <w:spacing w:after="20" w:line="240"/>
              <w:jc w:val="left"/>
            </w:pPr>
            <w:r>
              <w:rPr>
                <w:sz w:val="17"/>
                <w:szCs w:val="17"/>
              </w:rPr>
              <w:t xml:space="preserve">Expertos en política espacial y transferencia tecnológica</w:t>
            </w:r>
          </w:p>
        </w:tc>
        <w:tc>
          <w:tcPr>
            <w:tcW w:type="dxa" w:w="810"/>
            <w:tcMar>
              <w:top w:type="dxa" w:w="50"/>
              <w:left w:type="dxa" w:w="80"/>
              <w:bottom w:type="dxa" w:w="50"/>
              <w:right w:type="dxa" w:w="80"/>
            </w:tcMar>
            <w:vAlign w:val="center"/>
          </w:tcPr>
          <w:p>
            <w:pPr>
              <w:keepNext w:val="false"/>
              <w:spacing w:after="20" w:line="240"/>
              <w:jc w:val="left"/>
            </w:pPr>
            <w:r>
              <w:rPr>
                <w:sz w:val="17"/>
                <w:szCs w:val="17"/>
              </w:rPr>
              <w:t xml:space="preserve">1-2</w:t>
            </w:r>
          </w:p>
        </w:tc>
        <w:tc>
          <w:tcPr>
            <w:tcW w:type="dxa" w:w="3330"/>
            <w:tcMar>
              <w:top w:type="dxa" w:w="50"/>
              <w:left w:type="dxa" w:w="80"/>
              <w:bottom w:type="dxa" w:w="50"/>
              <w:right w:type="dxa" w:w="80"/>
            </w:tcMar>
            <w:vAlign w:val="center"/>
          </w:tcPr>
          <w:p>
            <w:pPr>
              <w:keepNext w:val="false"/>
              <w:spacing w:after="20" w:line="240"/>
              <w:jc w:val="left"/>
            </w:pPr>
            <w:r>
              <w:rPr>
                <w:sz w:val="17"/>
                <w:szCs w:val="17"/>
              </w:rPr>
              <w:t xml:space="preserve">Transferibilidad de mecanismos internacionales; viabilidad y secuencia.</w:t>
            </w:r>
          </w:p>
        </w:tc>
        <w:tc>
          <w:tcPr>
            <w:tcW w:type="dxa" w:w="2700"/>
            <w:tcMar>
              <w:top w:type="dxa" w:w="50"/>
              <w:left w:type="dxa" w:w="80"/>
              <w:bottom w:type="dxa" w:w="50"/>
              <w:right w:type="dxa" w:w="80"/>
            </w:tcMar>
            <w:vAlign w:val="center"/>
          </w:tcPr>
          <w:p>
            <w:pPr>
              <w:keepNext w:val="false"/>
              <w:spacing w:after="20" w:line="240"/>
              <w:jc w:val="left"/>
            </w:pPr>
            <w:r>
              <w:rPr>
                <w:sz w:val="17"/>
                <w:szCs w:val="17"/>
              </w:rPr>
              <w:t xml:space="preserve">H9</w:t>
            </w:r>
          </w:p>
        </w:tc>
      </w:tr>
    </w:tbl>
    <w:p>
      <w:pPr>
        <w:spacing w:after="200" w:before="60"/>
        <w:jc w:val="center"/>
      </w:pPr>
      <w:r>
        <w:rPr>
          <w:i/>
          <w:iCs/>
          <w:sz w:val="17"/>
          <w:szCs w:val="17"/>
        </w:rPr>
        <w:t xml:space="preserve">Fuente: Elaboración propia.</w:t>
      </w:r>
    </w:p>
    <w:p>
      <w:pPr>
        <w:spacing w:after="140" w:line="260"/>
        <w:jc w:val="both"/>
      </w:pPr>
      <w:r>
        <w:rPr>
          <w:i/>
          <w:iCs/>
          <w:sz w:val="19"/>
          <w:szCs w:val="19"/>
        </w:rPr>
        <w:t xml:space="preserve">El tamaño tentativo (≈ 10-14 entrevistas) es un criterio de saturación temática a revisar durante el levantamiento. Las valoraciones de este informe se mantendrán como hipótesis hasta completar al menos una consulta por perfil.</w:t>
      </w:r>
    </w:p>
    <w:p>
      <w:pPr>
        <w:pStyle w:val="Heading1"/>
        <w:pageBreakBefore/>
      </w:pPr>
      <w:r>
        <w:t xml:space="preserve">CAPÍTULO 3. DESARROLLO DEL OE1: CARACTERIZACIÓN DE LAS CAPACIDADES DEL CEN</w:t>
      </w:r>
    </w:p>
    <w:p>
      <w:pPr>
        <w:spacing w:after="140" w:line="300"/>
        <w:jc w:val="both"/>
      </w:pPr>
      <w:r>
        <w:t xml:space="preserve">Este capítulo aborda el primer objetivo específico: caracterizar la infraestructura disponible, las capacidades operativas, los niveles de utilización y el potencial de transferencia tecnológica del CEN, en los ámbitos satelital y de datos. La caracterización parte del contexto institucional, continúa con las capacidades tecnológicas, operativas y de datos, las integra en un modelo de negocio institucional, evalúa su madurez y su potencial de transferencia, describe la línea base del ecosistema en que se insertan y propone cómo se verificará la evidencia.</w:t>
      </w:r>
    </w:p>
    <w:p>
      <w:pPr>
        <w:pStyle w:val="Heading2"/>
      </w:pPr>
      <w:r>
        <w:t xml:space="preserve">3.1 Antecedentes institucionales del CEN</w:t>
      </w:r>
    </w:p>
    <w:p>
      <w:pPr>
        <w:spacing w:after="140" w:line="300"/>
        <w:jc w:val="both"/>
      </w:pPr>
      <w:r>
        <w:t xml:space="preserve">El CEN es una infraestructura estratégica para el Estado, impulsada por el Ministerio de Defensa y ejecutada por la FACh a través de su Dirección Espacial. Se emplaza en la Base Aérea de Cerrillos, Región Metropolitana, con 5.800 metros cuadrados construidos (Minciencia, 2025; The Clinic, 2025), y fue inaugurado el 22 de diciembre de 2025 en una ceremonia encabezada por el presidente de la República (FACh, 2025c).</w:t>
      </w:r>
    </w:p>
    <w:p>
      <w:pPr>
        <w:pStyle w:val="Caption"/>
        <w:keepNext/>
        <w:spacing w:after="80" w:before="200"/>
        <w:jc w:val="center"/>
      </w:pPr>
      <w:r>
        <w:rPr>
          <w:b/>
          <w:bCs/>
        </w:rPr>
        <w:t xml:space="preserve">Figura </w:t>
      </w:r>
      <w:fldSimple w:instr="SEQ Figura \* ARABIC">
        <w:r>
          <w:t xml:space="preserve">1</w:t>
        </w:r>
      </w:fldSimple>
      <w:r>
        <w:rPr>
          <w:b/>
          <w:bCs/>
        </w:rPr>
        <w:t xml:space="preserve">. Inauguración del CEN (2025)</w:t>
      </w:r>
    </w:p>
    <w:p>
      <w:pPr>
        <w:keepNext/>
        <w:spacing w:after="60"/>
        <w:jc w:val="center"/>
      </w:pPr>
      <w:r>
        <w:drawing>
          <wp:inline distT="0" distB="0" distL="0" distR="0">
            <wp:extent cx="4476750" cy="2419350"/>
            <wp:effectExtent t="0" r="0" b="0" l="0"/>
            <wp:docPr id="1" name="fig:inaug" descr="Inauguración del CEN (2025)" title="Inauguración del CE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419350"/>
                    </a:xfrm>
                    <a:prstGeom prst="rect">
                      <a:avLst/>
                    </a:prstGeom>
                  </pic:spPr>
                </pic:pic>
              </a:graphicData>
            </a:graphic>
          </wp:inline>
        </w:drawing>
      </w:r>
    </w:p>
    <w:p>
      <w:pPr>
        <w:spacing w:after="200" w:before="60"/>
        <w:jc w:val="center"/>
      </w:pPr>
      <w:r>
        <w:rPr>
          <w:i/>
          <w:iCs/>
          <w:sz w:val="17"/>
          <w:szCs w:val="17"/>
        </w:rPr>
        <w:t xml:space="preserve">Fuente: Red de medios de comunicación de las universidades del Estado de Chile.</w:t>
      </w:r>
    </w:p>
    <w:p>
      <w:pPr>
        <w:spacing w:after="140" w:line="300"/>
        <w:jc w:val="both"/>
      </w:pPr>
      <w:r>
        <w:t xml:space="preserve">En esa ocasión, el presidente Gabriel Boric destacó que el CEN representa uno de los proyectos más relevantes en ciencia y tecnología impulsados por el país en las últimas décadas, subrayando su carácter estratégico y de largo plazo. Del discurso se cita el pasaje en que enfatiza la importancia de la ciencia y el desarrollo tecnológico: “Todo esto tiene sentido porque como nos ha demostrado la historia, los países que no invierten en ciencia, en tecnología, en innovación o en conocimiento, inevitablemente se van quedando atrás, quizá no se nota, porque acá hay proyectos de largo plazo y hay que levantar la cabeza y salir de la contingencia para poder empujarlos”.</w:t>
      </w:r>
    </w:p>
    <w:p>
      <w:pPr>
        <w:spacing w:after="140" w:line="300"/>
        <w:jc w:val="both"/>
      </w:pPr>
      <w:r>
        <w:t xml:space="preserve">El centro es empleado como soporte del Sistema Nacional Satelital (SNSat) y del Programa Espacial Nacional; la Dirección Espacial lo señala como su soporte operativo, técnico y científico (FACh, 2025b). La administración corresponde a personal militar, lo que marca su perfil institucional y, como se muestra en el Capítulo 4, dificulta la apertura hacia lo civil y lo productivo. La elección de Cerrillos aporta seguridad, control de acceso y conectividad con la infraestructura aeronáutica existente, pero la localización dentro de un recinto militar introduce inconvenientes de acceso para entidades académicas, pymes y otros actores, un detalle relevante al evaluar el aprovechamiento del centro.</w:t>
      </w:r>
    </w:p>
    <w:p>
      <w:pPr>
        <w:pStyle w:val="Heading3"/>
      </w:pPr>
      <w:r>
        <w:t xml:space="preserve">3.1.1 El CEN en el contexto del Programa Espacial Nacional</w:t>
      </w:r>
    </w:p>
    <w:p>
      <w:pPr>
        <w:spacing w:after="140" w:line="300"/>
        <w:jc w:val="both"/>
      </w:pPr>
      <w:r>
        <w:t xml:space="preserve">Las capacidades del centro cobran sentido dentro del Programa Espacial Nacional, que las ordena y prioriza. El programa se estructura en cuatro pilares, cuya denominación varía ligeramente entre fuentes oficiales. La Tabla 7 los resume y la Figura 2 esquematiza la relación entre el CEN, los pilares y los actores del ecosistema.</w:t>
      </w:r>
    </w:p>
    <w:p>
      <w:pPr>
        <w:pStyle w:val="Caption"/>
        <w:keepNext/>
        <w:spacing w:after="80" w:before="200"/>
        <w:jc w:val="center"/>
      </w:pPr>
      <w:r>
        <w:rPr>
          <w:b/>
          <w:bCs/>
        </w:rPr>
        <w:t xml:space="preserve">Tabla </w:t>
      </w:r>
      <w:fldSimple w:instr="SEQ Tabla \* ARABIC">
        <w:r>
          <w:t xml:space="preserve">7</w:t>
        </w:r>
      </w:fldSimple>
      <w:r>
        <w:rPr>
          <w:b/>
          <w:bCs/>
        </w:rPr>
        <w:t xml:space="preserve">. Pilares del Programa Espacial Nacional y su relación con el CEN</w:t>
      </w:r>
    </w:p>
    <w:tbl>
      <w:tblPr>
        <w:tblW w:type="dxa" w:w="9000"/>
        <w:tblBorders>
          <w:top w:val="single" w:color="A6A6A6" w:sz="4"/>
          <w:left w:val="single" w:color="A6A6A6" w:sz="4"/>
          <w:bottom w:val="single" w:color="A6A6A6" w:sz="4"/>
          <w:right w:val="single" w:color="A6A6A6" w:sz="4"/>
          <w:insideH w:val="single" w:color="A6A6A6" w:sz="4"/>
          <w:insideV w:val="single" w:color="A6A6A6" w:sz="4"/>
        </w:tblBorders>
      </w:tblPr>
      <w:tblGrid>
        <w:gridCol w:w="2160"/>
        <w:gridCol w:w="3420"/>
        <w:gridCol w:w="3420"/>
      </w:tblGrid>
      <w:tr>
        <w:trPr>
          <w:cantSplit/>
          <w:tblHeader/>
        </w:trPr>
        <w:tc>
          <w:tcPr>
            <w:tcW w:type="dxa" w:w="216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Pilar</w:t>
            </w:r>
          </w:p>
        </w:tc>
        <w:tc>
          <w:tcPr>
            <w:tcW w:type="dxa" w:w="342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Orientación</w:t>
            </w:r>
          </w:p>
        </w:tc>
        <w:tc>
          <w:tcPr>
            <w:tcW w:type="dxa" w:w="342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Vínculo con el CEN</w:t>
            </w:r>
          </w:p>
        </w:tc>
      </w:tr>
      <w:tr>
        <w:trPr>
          <w:cantSplit/>
        </w:trPr>
        <w:tc>
          <w:tcPr>
            <w:tcW w:type="dxa" w:w="2160"/>
            <w:tcMar>
              <w:top w:type="dxa" w:w="50"/>
              <w:left w:type="dxa" w:w="80"/>
              <w:bottom w:type="dxa" w:w="50"/>
              <w:right w:type="dxa" w:w="80"/>
            </w:tcMar>
            <w:vAlign w:val="center"/>
          </w:tcPr>
          <w:p>
            <w:pPr>
              <w:keepNext w:val="false"/>
              <w:spacing w:after="20" w:line="240"/>
              <w:jc w:val="left"/>
            </w:pPr>
            <w:r>
              <w:rPr>
                <w:sz w:val="17"/>
                <w:szCs w:val="17"/>
              </w:rPr>
              <w:t xml:space="preserve">Sistema Nacional Satelital (SNSat)</w:t>
            </w:r>
          </w:p>
        </w:tc>
        <w:tc>
          <w:tcPr>
            <w:tcW w:type="dxa" w:w="3420"/>
            <w:tcMar>
              <w:top w:type="dxa" w:w="50"/>
              <w:left w:type="dxa" w:w="80"/>
              <w:bottom w:type="dxa" w:w="50"/>
              <w:right w:type="dxa" w:w="80"/>
            </w:tcMar>
            <w:vAlign w:val="center"/>
          </w:tcPr>
          <w:p>
            <w:pPr>
              <w:keepNext w:val="false"/>
              <w:spacing w:after="20" w:line="240"/>
              <w:jc w:val="left"/>
            </w:pPr>
            <w:r>
              <w:rPr>
                <w:sz w:val="17"/>
                <w:szCs w:val="17"/>
              </w:rPr>
              <w:t xml:space="preserve">Diseño, ensamblaje y puesta en órbita de una constelación de observación de la Tierra.</w:t>
            </w:r>
          </w:p>
        </w:tc>
        <w:tc>
          <w:tcPr>
            <w:tcW w:type="dxa" w:w="3420"/>
            <w:tcMar>
              <w:top w:type="dxa" w:w="50"/>
              <w:left w:type="dxa" w:w="80"/>
              <w:bottom w:type="dxa" w:w="50"/>
              <w:right w:type="dxa" w:w="80"/>
            </w:tcMar>
            <w:vAlign w:val="center"/>
          </w:tcPr>
          <w:p>
            <w:pPr>
              <w:keepNext w:val="false"/>
              <w:spacing w:after="20" w:line="240"/>
              <w:jc w:val="left"/>
            </w:pPr>
            <w:r>
              <w:rPr>
                <w:sz w:val="17"/>
                <w:szCs w:val="17"/>
              </w:rPr>
              <w:t xml:space="preserve">El CEN es su soporte operativo, técnico y científico.</w:t>
            </w:r>
          </w:p>
        </w:tc>
      </w:tr>
      <w:tr>
        <w:trPr>
          <w:cantSplit/>
        </w:trPr>
        <w:tc>
          <w:tcPr>
            <w:tcW w:type="dxa" w:w="2160"/>
            <w:tcMar>
              <w:top w:type="dxa" w:w="50"/>
              <w:left w:type="dxa" w:w="80"/>
              <w:bottom w:type="dxa" w:w="50"/>
              <w:right w:type="dxa" w:w="80"/>
            </w:tcMar>
            <w:vAlign w:val="center"/>
          </w:tcPr>
          <w:p>
            <w:pPr>
              <w:keepNext w:val="false"/>
              <w:spacing w:after="20" w:line="240"/>
              <w:jc w:val="left"/>
            </w:pPr>
            <w:r>
              <w:rPr>
                <w:sz w:val="17"/>
                <w:szCs w:val="17"/>
              </w:rPr>
              <w:t xml:space="preserve">Sistema Nacional Satelital de Telecomunicaciones (SNSatCom)</w:t>
            </w:r>
          </w:p>
        </w:tc>
        <w:tc>
          <w:tcPr>
            <w:tcW w:type="dxa" w:w="3420"/>
            <w:tcMar>
              <w:top w:type="dxa" w:w="50"/>
              <w:left w:type="dxa" w:w="80"/>
              <w:bottom w:type="dxa" w:w="50"/>
              <w:right w:type="dxa" w:w="80"/>
            </w:tcMar>
            <w:vAlign w:val="center"/>
          </w:tcPr>
          <w:p>
            <w:pPr>
              <w:keepNext w:val="false"/>
              <w:spacing w:after="20" w:line="240"/>
              <w:jc w:val="left"/>
            </w:pPr>
            <w:r>
              <w:rPr>
                <w:sz w:val="17"/>
                <w:szCs w:val="17"/>
              </w:rPr>
              <w:t xml:space="preserve">Capacidades satelitales de conectividad y comunicaciones.</w:t>
            </w:r>
          </w:p>
        </w:tc>
        <w:tc>
          <w:tcPr>
            <w:tcW w:type="dxa" w:w="3420"/>
            <w:tcMar>
              <w:top w:type="dxa" w:w="50"/>
              <w:left w:type="dxa" w:w="80"/>
              <w:bottom w:type="dxa" w:w="50"/>
              <w:right w:type="dxa" w:w="80"/>
            </w:tcMar>
            <w:vAlign w:val="center"/>
          </w:tcPr>
          <w:p>
            <w:pPr>
              <w:keepNext w:val="false"/>
              <w:spacing w:after="20" w:line="240"/>
              <w:jc w:val="left"/>
            </w:pPr>
            <w:r>
              <w:rPr>
                <w:sz w:val="17"/>
                <w:szCs w:val="17"/>
              </w:rPr>
              <w:t xml:space="preserve">Procesamiento y control desde la infraestructura del centro.</w:t>
            </w:r>
          </w:p>
        </w:tc>
      </w:tr>
      <w:tr>
        <w:trPr>
          <w:cantSplit/>
        </w:trPr>
        <w:tc>
          <w:tcPr>
            <w:tcW w:type="dxa" w:w="2160"/>
            <w:tcMar>
              <w:top w:type="dxa" w:w="50"/>
              <w:left w:type="dxa" w:w="80"/>
              <w:bottom w:type="dxa" w:w="50"/>
              <w:right w:type="dxa" w:w="80"/>
            </w:tcMar>
            <w:vAlign w:val="center"/>
          </w:tcPr>
          <w:p>
            <w:pPr>
              <w:keepNext w:val="false"/>
              <w:spacing w:after="20" w:line="240"/>
              <w:jc w:val="left"/>
            </w:pPr>
            <w:r>
              <w:rPr>
                <w:sz w:val="17"/>
                <w:szCs w:val="17"/>
              </w:rPr>
              <w:t xml:space="preserve">Sistema Nacional Satelital Regional</w:t>
            </w:r>
          </w:p>
        </w:tc>
        <w:tc>
          <w:tcPr>
            <w:tcW w:type="dxa" w:w="3420"/>
            <w:tcMar>
              <w:top w:type="dxa" w:w="50"/>
              <w:left w:type="dxa" w:w="80"/>
              <w:bottom w:type="dxa" w:w="50"/>
              <w:right w:type="dxa" w:w="80"/>
            </w:tcMar>
            <w:vAlign w:val="center"/>
          </w:tcPr>
          <w:p>
            <w:pPr>
              <w:keepNext w:val="false"/>
              <w:spacing w:after="20" w:line="240"/>
              <w:jc w:val="left"/>
            </w:pPr>
            <w:r>
              <w:rPr>
                <w:sz w:val="17"/>
                <w:szCs w:val="17"/>
              </w:rPr>
              <w:t xml:space="preserve">Extensión hacia regiones (Antofagasta, Magallanes).</w:t>
            </w:r>
          </w:p>
        </w:tc>
        <w:tc>
          <w:tcPr>
            <w:tcW w:type="dxa" w:w="3420"/>
            <w:tcMar>
              <w:top w:type="dxa" w:w="50"/>
              <w:left w:type="dxa" w:w="80"/>
              <w:bottom w:type="dxa" w:w="50"/>
              <w:right w:type="dxa" w:w="80"/>
            </w:tcMar>
            <w:vAlign w:val="center"/>
          </w:tcPr>
          <w:p>
            <w:pPr>
              <w:keepNext w:val="false"/>
              <w:spacing w:after="20" w:line="240"/>
              <w:jc w:val="left"/>
            </w:pPr>
            <w:r>
              <w:rPr>
                <w:sz w:val="17"/>
                <w:szCs w:val="17"/>
              </w:rPr>
              <w:t xml:space="preserve">Cerrillos opera como nodo principal y modelo a replicar.</w:t>
            </w:r>
          </w:p>
        </w:tc>
      </w:tr>
      <w:tr>
        <w:trPr>
          <w:cantSplit/>
        </w:trPr>
        <w:tc>
          <w:tcPr>
            <w:tcW w:type="dxa" w:w="2160"/>
            <w:tcMar>
              <w:top w:type="dxa" w:w="50"/>
              <w:left w:type="dxa" w:w="80"/>
              <w:bottom w:type="dxa" w:w="50"/>
              <w:right w:type="dxa" w:w="80"/>
            </w:tcMar>
            <w:vAlign w:val="center"/>
          </w:tcPr>
          <w:p>
            <w:pPr>
              <w:keepNext w:val="false"/>
              <w:spacing w:after="20" w:line="240"/>
              <w:jc w:val="left"/>
            </w:pPr>
            <w:r>
              <w:rPr>
                <w:sz w:val="17"/>
                <w:szCs w:val="17"/>
              </w:rPr>
              <w:t xml:space="preserve">Promoción del Talento / Educacional</w:t>
            </w:r>
          </w:p>
        </w:tc>
        <w:tc>
          <w:tcPr>
            <w:tcW w:type="dxa" w:w="3420"/>
            <w:tcMar>
              <w:top w:type="dxa" w:w="50"/>
              <w:left w:type="dxa" w:w="80"/>
              <w:bottom w:type="dxa" w:w="50"/>
              <w:right w:type="dxa" w:w="80"/>
            </w:tcMar>
            <w:vAlign w:val="center"/>
          </w:tcPr>
          <w:p>
            <w:pPr>
              <w:keepNext w:val="false"/>
              <w:spacing w:after="20" w:line="240"/>
              <w:jc w:val="left"/>
            </w:pPr>
            <w:r>
              <w:rPr>
                <w:sz w:val="17"/>
                <w:szCs w:val="17"/>
              </w:rPr>
              <w:t xml:space="preserve">Formación de capital humano avanzado y vínculo educativo.</w:t>
            </w:r>
          </w:p>
        </w:tc>
        <w:tc>
          <w:tcPr>
            <w:tcW w:type="dxa" w:w="3420"/>
            <w:tcMar>
              <w:top w:type="dxa" w:w="50"/>
              <w:left w:type="dxa" w:w="80"/>
              <w:bottom w:type="dxa" w:w="50"/>
              <w:right w:type="dxa" w:w="80"/>
            </w:tcMar>
            <w:vAlign w:val="center"/>
          </w:tcPr>
          <w:p>
            <w:pPr>
              <w:keepNext w:val="false"/>
              <w:spacing w:after="20" w:line="240"/>
              <w:jc w:val="left"/>
            </w:pPr>
            <w:r>
              <w:rPr>
                <w:sz w:val="17"/>
                <w:szCs w:val="17"/>
              </w:rPr>
              <w:t xml:space="preserve">Capacitación de dotación y proyección hacia la academia.</w:t>
            </w:r>
          </w:p>
        </w:tc>
      </w:tr>
    </w:tbl>
    <w:p>
      <w:pPr>
        <w:spacing w:after="200" w:before="60"/>
        <w:jc w:val="center"/>
      </w:pPr>
      <w:r>
        <w:rPr>
          <w:i/>
          <w:iCs/>
          <w:sz w:val="17"/>
          <w:szCs w:val="17"/>
        </w:rPr>
        <w:t xml:space="preserve">Fuente: Elaboración propia a partir de Defensa.com (2025) y FACh (2025b).</w:t>
      </w:r>
    </w:p>
    <w:p>
      <w:pPr>
        <w:pStyle w:val="Caption"/>
        <w:keepNext/>
        <w:spacing w:after="80" w:before="200"/>
        <w:jc w:val="center"/>
      </w:pPr>
      <w:r>
        <w:rPr>
          <w:b/>
          <w:bCs/>
        </w:rPr>
        <w:t xml:space="preserve">Figura </w:t>
      </w:r>
      <w:fldSimple w:instr="SEQ Figura \* ARABIC">
        <w:r>
          <w:t xml:space="preserve">2</w:t>
        </w:r>
      </w:fldSimple>
      <w:r>
        <w:rPr>
          <w:b/>
          <w:bCs/>
        </w:rPr>
        <w:t xml:space="preserve">. Esquema de relación entre el CEN, los pilares del Programa Espacial y los actores del ecosistema</w:t>
      </w:r>
    </w:p>
    <w:tbl>
      <w:tblPr>
        <w:tblW w:type="dxa" w:w="9000"/>
        <w:tblBorders>
          <w:top w:val="single" w:color="A6A6A6" w:sz="4"/>
          <w:left w:val="single" w:color="A6A6A6" w:sz="4"/>
          <w:bottom w:val="single" w:color="A6A6A6" w:sz="4"/>
          <w:right w:val="single" w:color="A6A6A6" w:sz="4"/>
          <w:insideH w:val="single" w:color="A6A6A6" w:sz="4"/>
          <w:insideV w:val="single" w:color="A6A6A6" w:sz="4"/>
        </w:tblBorders>
      </w:tblPr>
      <w:tblGrid>
        <w:gridCol w:w="2250"/>
        <w:gridCol w:w="2250"/>
        <w:gridCol w:w="2250"/>
        <w:gridCol w:w="2250"/>
      </w:tblGrid>
      <w:tr>
        <w:trPr>
          <w:cantSplit/>
        </w:trPr>
        <w:tc>
          <w:tcPr>
            <w:tcW w:type="dxa" w:w="9000"/>
            <w:gridSpan w:val="4"/>
            <w:shd w:fill="1F3864" w:color="auto" w:val="clear"/>
            <w:tcMar>
              <w:top w:type="dxa" w:w="50"/>
              <w:left w:type="dxa" w:w="80"/>
              <w:bottom w:type="dxa" w:w="50"/>
              <w:right w:type="dxa" w:w="80"/>
            </w:tcMar>
            <w:vAlign w:val="center"/>
          </w:tcPr>
          <w:p>
            <w:pPr>
              <w:keepNext/>
              <w:spacing w:after="20" w:line="240"/>
              <w:jc w:val="center"/>
            </w:pPr>
            <w:r>
              <w:rPr>
                <w:b/>
                <w:bCs/>
                <w:color w:val="FFFFFF"/>
                <w:sz w:val="16"/>
                <w:szCs w:val="16"/>
              </w:rPr>
              <w:t xml:space="preserve">PROGRAMA ESPACIAL NACIONAL</w:t>
            </w:r>
          </w:p>
        </w:tc>
      </w:tr>
      <w:tr>
        <w:trPr>
          <w:cantSplit/>
        </w:trPr>
        <w:tc>
          <w:tcPr>
            <w:tcW w:type="dxa" w:w="2250"/>
            <w:shd w:fill="DEEAF6" w:color="auto" w:val="clear"/>
            <w:tcMar>
              <w:top w:type="dxa" w:w="50"/>
              <w:left w:type="dxa" w:w="80"/>
              <w:bottom w:type="dxa" w:w="50"/>
              <w:right w:type="dxa" w:w="80"/>
            </w:tcMar>
            <w:vAlign w:val="center"/>
          </w:tcPr>
          <w:p>
            <w:pPr>
              <w:keepNext/>
              <w:spacing w:after="20" w:line="240"/>
              <w:jc w:val="center"/>
            </w:pPr>
            <w:r>
              <w:rPr>
                <w:b/>
                <w:bCs/>
                <w:sz w:val="16"/>
                <w:szCs w:val="16"/>
              </w:rPr>
              <w:t xml:space="preserve">SNSat</w:t>
            </w:r>
          </w:p>
          <w:p>
            <w:pPr>
              <w:keepNext/>
              <w:spacing w:after="20" w:line="240"/>
              <w:jc w:val="center"/>
            </w:pPr>
            <w:r>
              <w:rPr>
                <w:b/>
                <w:bCs/>
                <w:sz w:val="16"/>
                <w:szCs w:val="16"/>
              </w:rPr>
              <w:t xml:space="preserve">(Observación)</w:t>
            </w:r>
          </w:p>
        </w:tc>
        <w:tc>
          <w:tcPr>
            <w:tcW w:type="dxa" w:w="2250"/>
            <w:shd w:fill="DEEAF6" w:color="auto" w:val="clear"/>
            <w:tcMar>
              <w:top w:type="dxa" w:w="50"/>
              <w:left w:type="dxa" w:w="80"/>
              <w:bottom w:type="dxa" w:w="50"/>
              <w:right w:type="dxa" w:w="80"/>
            </w:tcMar>
            <w:vAlign w:val="center"/>
          </w:tcPr>
          <w:p>
            <w:pPr>
              <w:keepNext/>
              <w:spacing w:after="20" w:line="240"/>
              <w:jc w:val="center"/>
            </w:pPr>
            <w:r>
              <w:rPr>
                <w:b/>
                <w:bCs/>
                <w:sz w:val="16"/>
                <w:szCs w:val="16"/>
              </w:rPr>
              <w:t xml:space="preserve">SNSatCom</w:t>
            </w:r>
          </w:p>
          <w:p>
            <w:pPr>
              <w:keepNext/>
              <w:spacing w:after="20" w:line="240"/>
              <w:jc w:val="center"/>
            </w:pPr>
            <w:r>
              <w:rPr>
                <w:b/>
                <w:bCs/>
                <w:sz w:val="16"/>
                <w:szCs w:val="16"/>
              </w:rPr>
              <w:t xml:space="preserve">(Telecomunicaciones)</w:t>
            </w:r>
          </w:p>
        </w:tc>
        <w:tc>
          <w:tcPr>
            <w:tcW w:type="dxa" w:w="2250"/>
            <w:shd w:fill="DEEAF6" w:color="auto" w:val="clear"/>
            <w:tcMar>
              <w:top w:type="dxa" w:w="50"/>
              <w:left w:type="dxa" w:w="80"/>
              <w:bottom w:type="dxa" w:w="50"/>
              <w:right w:type="dxa" w:w="80"/>
            </w:tcMar>
            <w:vAlign w:val="center"/>
          </w:tcPr>
          <w:p>
            <w:pPr>
              <w:keepNext/>
              <w:spacing w:after="20" w:line="240"/>
              <w:jc w:val="center"/>
            </w:pPr>
            <w:r>
              <w:rPr>
                <w:b/>
                <w:bCs/>
                <w:sz w:val="16"/>
                <w:szCs w:val="16"/>
              </w:rPr>
              <w:t xml:space="preserve">Regional</w:t>
            </w:r>
          </w:p>
          <w:p>
            <w:pPr>
              <w:keepNext/>
              <w:spacing w:after="20" w:line="240"/>
              <w:jc w:val="center"/>
            </w:pPr>
            <w:r>
              <w:rPr>
                <w:b/>
                <w:bCs/>
                <w:sz w:val="16"/>
                <w:szCs w:val="16"/>
              </w:rPr>
              <w:t xml:space="preserve">(Antofagasta / Magallanes)</w:t>
            </w:r>
          </w:p>
        </w:tc>
        <w:tc>
          <w:tcPr>
            <w:tcW w:type="dxa" w:w="2250"/>
            <w:shd w:fill="DEEAF6" w:color="auto" w:val="clear"/>
            <w:tcMar>
              <w:top w:type="dxa" w:w="50"/>
              <w:left w:type="dxa" w:w="80"/>
              <w:bottom w:type="dxa" w:w="50"/>
              <w:right w:type="dxa" w:w="80"/>
            </w:tcMar>
            <w:vAlign w:val="center"/>
          </w:tcPr>
          <w:p>
            <w:pPr>
              <w:keepNext/>
              <w:spacing w:after="20" w:line="240"/>
              <w:jc w:val="center"/>
            </w:pPr>
            <w:r>
              <w:rPr>
                <w:b/>
                <w:bCs/>
                <w:sz w:val="16"/>
                <w:szCs w:val="16"/>
              </w:rPr>
              <w:t xml:space="preserve">Talento / Educacional</w:t>
            </w:r>
          </w:p>
          <w:p>
            <w:pPr>
              <w:keepNext/>
              <w:spacing w:after="20" w:line="240"/>
              <w:jc w:val="center"/>
            </w:pPr>
            <w:r>
              <w:rPr>
                <w:b/>
                <w:bCs/>
                <w:sz w:val="16"/>
                <w:szCs w:val="16"/>
              </w:rPr>
              <w:t xml:space="preserve">(Capital humano)</w:t>
            </w:r>
          </w:p>
        </w:tc>
      </w:tr>
      <w:tr>
        <w:trPr>
          <w:cantSplit/>
        </w:trPr>
        <w:tc>
          <w:tcPr>
            <w:tcW w:type="dxa" w:w="9000"/>
            <w:gridSpan w:val="4"/>
            <w:tcMar>
              <w:top w:type="dxa" w:w="50"/>
              <w:left w:type="dxa" w:w="80"/>
              <w:bottom w:type="dxa" w:w="50"/>
              <w:right w:type="dxa" w:w="80"/>
            </w:tcMar>
            <w:vAlign w:val="center"/>
          </w:tcPr>
          <w:p>
            <w:pPr>
              <w:keepNext/>
              <w:spacing w:after="20" w:line="240"/>
              <w:jc w:val="center"/>
            </w:pPr>
            <w:r>
              <w:rPr>
                <w:sz w:val="16"/>
                <w:szCs w:val="16"/>
              </w:rPr>
              <w:t xml:space="preserve">▼</w:t>
            </w:r>
          </w:p>
        </w:tc>
      </w:tr>
      <w:tr>
        <w:trPr>
          <w:cantSplit/>
        </w:trPr>
        <w:tc>
          <w:tcPr>
            <w:tcW w:type="dxa" w:w="9000"/>
            <w:gridSpan w:val="4"/>
            <w:shd w:fill="F2F2F2" w:color="auto" w:val="clear"/>
            <w:tcMar>
              <w:top w:type="dxa" w:w="50"/>
              <w:left w:type="dxa" w:w="80"/>
              <w:bottom w:type="dxa" w:w="50"/>
              <w:right w:type="dxa" w:w="80"/>
            </w:tcMar>
            <w:vAlign w:val="center"/>
          </w:tcPr>
          <w:p>
            <w:pPr>
              <w:keepNext/>
              <w:spacing w:after="20" w:line="240"/>
              <w:jc w:val="center"/>
            </w:pPr>
            <w:r>
              <w:rPr>
                <w:b/>
                <w:bCs/>
                <w:sz w:val="16"/>
                <w:szCs w:val="16"/>
              </w:rPr>
              <w:t xml:space="preserve">CENTRO ESPACIAL NACIONAL (CEN) — Cerrillos</w:t>
            </w:r>
          </w:p>
          <w:p>
            <w:pPr>
              <w:keepNext/>
              <w:spacing w:after="20" w:line="240"/>
              <w:jc w:val="center"/>
            </w:pPr>
            <w:r>
              <w:rPr>
                <w:b/>
                <w:bCs/>
                <w:sz w:val="16"/>
                <w:szCs w:val="16"/>
              </w:rPr>
              <w:t xml:space="preserve">Sala limpia ISO 7 · Cámara de simulación ambiental · HPC declarado ~193 TFlops</w:t>
            </w:r>
          </w:p>
          <w:p>
            <w:pPr>
              <w:keepNext/>
              <w:spacing w:after="20" w:line="240"/>
              <w:jc w:val="center"/>
            </w:pPr>
            <w:r>
              <w:rPr>
                <w:b/>
                <w:bCs/>
                <w:sz w:val="16"/>
                <w:szCs w:val="16"/>
              </w:rPr>
              <w:t xml:space="preserve">Centro de Control de Misión · Laboratorio de datos · Formación de personal</w:t>
            </w:r>
          </w:p>
        </w:tc>
      </w:tr>
      <w:tr>
        <w:trPr>
          <w:cantSplit/>
        </w:trPr>
        <w:tc>
          <w:tcPr>
            <w:tcW w:type="dxa" w:w="9000"/>
            <w:gridSpan w:val="4"/>
            <w:tcMar>
              <w:top w:type="dxa" w:w="50"/>
              <w:left w:type="dxa" w:w="80"/>
              <w:bottom w:type="dxa" w:w="50"/>
              <w:right w:type="dxa" w:w="80"/>
            </w:tcMar>
            <w:vAlign w:val="center"/>
          </w:tcPr>
          <w:p>
            <w:pPr>
              <w:keepNext/>
              <w:spacing w:after="20" w:line="240"/>
              <w:jc w:val="center"/>
            </w:pPr>
            <w:r>
              <w:rPr>
                <w:sz w:val="16"/>
                <w:szCs w:val="16"/>
              </w:rPr>
              <w:t xml:space="preserve">▼</w:t>
            </w:r>
          </w:p>
        </w:tc>
      </w:tr>
      <w:tr>
        <w:trPr>
          <w:cantSplit/>
        </w:trPr>
        <w:tc>
          <w:tcPr>
            <w:tcW w:type="dxa" w:w="2250"/>
            <w:shd w:fill="E2EFDA" w:color="auto" w:val="clear"/>
            <w:tcMar>
              <w:top w:type="dxa" w:w="50"/>
              <w:left w:type="dxa" w:w="80"/>
              <w:bottom w:type="dxa" w:w="50"/>
              <w:right w:type="dxa" w:w="80"/>
            </w:tcMar>
            <w:vAlign w:val="center"/>
          </w:tcPr>
          <w:p>
            <w:pPr>
              <w:keepNext/>
              <w:spacing w:after="20" w:line="240"/>
              <w:jc w:val="center"/>
            </w:pPr>
            <w:r>
              <w:rPr>
                <w:b/>
                <w:bCs/>
                <w:sz w:val="16"/>
                <w:szCs w:val="16"/>
              </w:rPr>
              <w:t xml:space="preserve">FACh</w:t>
            </w:r>
          </w:p>
          <w:p>
            <w:pPr>
              <w:keepNext/>
              <w:spacing w:after="20" w:line="240"/>
              <w:jc w:val="center"/>
            </w:pPr>
            <w:r>
              <w:rPr>
                <w:b/>
                <w:bCs/>
                <w:sz w:val="16"/>
                <w:szCs w:val="16"/>
              </w:rPr>
              <w:t xml:space="preserve">Defensa</w:t>
            </w:r>
          </w:p>
        </w:tc>
        <w:tc>
          <w:tcPr>
            <w:tcW w:type="dxa" w:w="2250"/>
            <w:shd w:fill="E2EFDA" w:color="auto" w:val="clear"/>
            <w:tcMar>
              <w:top w:type="dxa" w:w="50"/>
              <w:left w:type="dxa" w:w="80"/>
              <w:bottom w:type="dxa" w:w="50"/>
              <w:right w:type="dxa" w:w="80"/>
            </w:tcMar>
            <w:vAlign w:val="center"/>
          </w:tcPr>
          <w:p>
            <w:pPr>
              <w:keepNext/>
              <w:spacing w:after="20" w:line="240"/>
              <w:jc w:val="center"/>
            </w:pPr>
            <w:r>
              <w:rPr>
                <w:b/>
                <w:bCs/>
                <w:sz w:val="16"/>
                <w:szCs w:val="16"/>
              </w:rPr>
              <w:t xml:space="preserve">Minciencia</w:t>
            </w:r>
          </w:p>
          <w:p>
            <w:pPr>
              <w:keepNext/>
              <w:spacing w:after="20" w:line="240"/>
              <w:jc w:val="center"/>
            </w:pPr>
            <w:r>
              <w:rPr>
                <w:b/>
                <w:bCs/>
                <w:sz w:val="16"/>
                <w:szCs w:val="16"/>
              </w:rPr>
              <w:t xml:space="preserve">Subtel</w:t>
            </w:r>
          </w:p>
        </w:tc>
        <w:tc>
          <w:tcPr>
            <w:tcW w:type="dxa" w:w="2250"/>
            <w:shd w:fill="E2EFDA" w:color="auto" w:val="clear"/>
            <w:tcMar>
              <w:top w:type="dxa" w:w="50"/>
              <w:left w:type="dxa" w:w="80"/>
              <w:bottom w:type="dxa" w:w="50"/>
              <w:right w:type="dxa" w:w="80"/>
            </w:tcMar>
            <w:vAlign w:val="center"/>
          </w:tcPr>
          <w:p>
            <w:pPr>
              <w:keepNext/>
              <w:spacing w:after="20" w:line="240"/>
              <w:jc w:val="center"/>
            </w:pPr>
            <w:r>
              <w:rPr>
                <w:b/>
                <w:bCs/>
                <w:sz w:val="16"/>
                <w:szCs w:val="16"/>
              </w:rPr>
              <w:t xml:space="preserve">Academia</w:t>
            </w:r>
          </w:p>
          <w:p>
            <w:pPr>
              <w:keepNext/>
              <w:spacing w:after="20" w:line="240"/>
              <w:jc w:val="center"/>
            </w:pPr>
            <w:r>
              <w:rPr>
                <w:b/>
                <w:bCs/>
                <w:sz w:val="16"/>
                <w:szCs w:val="16"/>
              </w:rPr>
              <w:t xml:space="preserve">I+D</w:t>
            </w:r>
          </w:p>
        </w:tc>
        <w:tc>
          <w:tcPr>
            <w:tcW w:type="dxa" w:w="2250"/>
            <w:shd w:fill="FFF2CC" w:color="auto" w:val="clear"/>
            <w:tcMar>
              <w:top w:type="dxa" w:w="50"/>
              <w:left w:type="dxa" w:w="80"/>
              <w:bottom w:type="dxa" w:w="50"/>
              <w:right w:type="dxa" w:w="80"/>
            </w:tcMar>
            <w:vAlign w:val="center"/>
          </w:tcPr>
          <w:p>
            <w:pPr>
              <w:keepNext/>
              <w:spacing w:after="20" w:line="240"/>
              <w:jc w:val="center"/>
            </w:pPr>
            <w:r>
              <w:rPr>
                <w:b/>
                <w:bCs/>
                <w:sz w:val="16"/>
                <w:szCs w:val="16"/>
              </w:rPr>
              <w:t xml:space="preserve">Sector privado</w:t>
            </w:r>
          </w:p>
          <w:p>
            <w:pPr>
              <w:keepNext/>
              <w:spacing w:after="20" w:line="240"/>
              <w:jc w:val="center"/>
            </w:pPr>
            <w:r>
              <w:rPr>
                <w:b/>
                <w:bCs/>
                <w:sz w:val="16"/>
                <w:szCs w:val="16"/>
              </w:rPr>
              <w:t xml:space="preserve">(potencial)</w:t>
            </w:r>
          </w:p>
        </w:tc>
      </w:tr>
    </w:tbl>
    <w:p>
      <w:pPr>
        <w:spacing w:after="200" w:before="60"/>
        <w:jc w:val="center"/>
      </w:pPr>
      <w:r>
        <w:rPr>
          <w:i/>
          <w:iCs/>
          <w:sz w:val="17"/>
          <w:szCs w:val="17"/>
        </w:rPr>
        <w:t xml:space="preserve">Fuente: Elaboración propia.</w:t>
      </w:r>
    </w:p>
    <w:p>
      <w:pPr>
        <w:pStyle w:val="Heading2"/>
      </w:pPr>
      <w:r>
        <w:t xml:space="preserve">3.2 Capacidades tecnológicas y de infraestructura</w:t>
      </w:r>
    </w:p>
    <w:p>
      <w:pPr>
        <w:spacing w:after="140" w:line="300"/>
        <w:jc w:val="both"/>
      </w:pPr>
      <w:r>
        <w:t xml:space="preserve">El CEN reúne un conjunto de activos relevantes para el contexto nacional. Se identifican cuatro grupos principales: la capacidad de ensamblaje, la de simulación ambiental, la de cómputo masivo y la de control de misión. Las diferencias entre ellos importan para el análisis del aprovechamiento.</w:t>
      </w:r>
    </w:p>
    <w:p>
      <w:pPr>
        <w:pStyle w:val="Heading3"/>
      </w:pPr>
      <w:r>
        <w:t xml:space="preserve">3.2.1 Ensamblaje de satélites</w:t>
      </w:r>
    </w:p>
    <w:p>
      <w:pPr>
        <w:spacing w:after="140" w:line="300"/>
        <w:jc w:val="both"/>
      </w:pPr>
      <w:r>
        <w:t xml:space="preserve">La capacidad más visible es la sala limpia clasificada bajo norma ISO 7, un ambiente controlado donde la concentración de partículas, la temperatura y la humedad se mantienen en rangos estrictos, lo que permite manipular y conectar componentes satelitales sin riesgo de contaminación. La prensa informa que el centro permitirá ensamblar alrededor de ocho satélites, entre microsatélites y una plataforma mayor de hasta unos 200 kilogramos, en territorio nacional (El Desconcierto, 2025; The Clinic, 2025).</w:t>
      </w:r>
    </w:p>
    <w:p>
      <w:pPr>
        <w:spacing w:after="140" w:line="300"/>
        <w:jc w:val="both"/>
      </w:pPr>
      <w:r>
        <w:t xml:space="preserve">La distinción entre meta de programa y capacidad de producción importa para estimar la escala. Si la cifra corresponde a una meta del programa SNSat, no define por sí sola una capacidad de producción anual. En cualquier caso, un volumen de este orden no configura una línea industrial masiva, pero sí una demanda potencial de componentes, subsistemas y equipos de integración, siempre que esa demanda se abra al ecosistema y no quede contenida dentro de la FACh.</w:t>
      </w:r>
    </w:p>
    <w:p>
      <w:pPr>
        <w:pStyle w:val="Heading3"/>
      </w:pPr>
      <w:r>
        <w:t xml:space="preserve">3.2.2 Simulación ambiental</w:t>
      </w:r>
    </w:p>
    <w:p>
      <w:pPr>
        <w:spacing w:after="140" w:line="300"/>
        <w:jc w:val="both"/>
      </w:pPr>
      <w:r>
        <w:t xml:space="preserve">La cámara de simulación ambiental reproduce vacío y temperaturas extremas, equivalentes a las condiciones que un satélite enfrenta en órbita. Funciona como banco de pruebas: antes de enviar una plataforma al espacio, se la somete a condiciones controladas para verificar su resistencia. En un país sin tradición de ensayo de hardware espacial, contar con esta instalación representa un salto cualitativo.</w:t>
      </w:r>
    </w:p>
    <w:p>
      <w:pPr>
        <w:pStyle w:val="Heading3"/>
      </w:pPr>
      <w:r>
        <w:t xml:space="preserve">3.2.3 Cómputo de alto rendimiento</w:t>
      </w:r>
    </w:p>
    <w:p>
      <w:pPr>
        <w:spacing w:after="140" w:line="300"/>
        <w:jc w:val="both"/>
      </w:pPr>
      <w:r>
        <w:t xml:space="preserve">El centro declara una capacidad de cómputo del orden de 193 TeraFlops y la posibilidad de procesar cerca de 384 mil imágenes satelitales de alta resolución por hora; además integra centros de datos y supercomputadores en un laboratorio dedicado (Gobierno Regional de Magallanes [GORE Magallanes], 2025). Estas cifras dependen de una sola fuente y se tratan, por tanto, como declaradas y no verificadas. Conviene además matizar su alcance: los TeraFlops no especifican la precisión de cálculo ni la arquitectura, y su significado como capacidad de alto rendimiento debe contrastarse con otras infraestructuras ya disponibles para la academia en el país.</w:t>
      </w:r>
    </w:p>
    <w:p>
      <w:pPr>
        <w:spacing w:after="140" w:line="300"/>
        <w:jc w:val="both"/>
      </w:pPr>
      <w:r>
        <w:t xml:space="preserve">En particular, el Laboratorio Nacional de Computación de Alto Rendimiento (NLHPC), alojado en el Centro de Modelamiento Matemático de la Universidad de Chile, opera el supercomputador Guacolda-Leftraru, abierto a la comunidad científica nacional, que según su ficha institucional alcanza una capacidad total de 730 TeraFlops, además de más de 115 mil núcleos GPU (actualización de mediados de 2024) (NLHPC, 2024); es decir, una cifra casi cuatro veces superior a la declarada por el CEN. El valor diferencial del CEN podría estar, entonces, menos en el cómputo en sí que en el acceso a datos satelitales propios, aspecto que se desarrolla en la sección 3.4 (H2).</w:t>
      </w:r>
    </w:p>
    <w:p>
      <w:pPr>
        <w:pStyle w:val="Heading3"/>
      </w:pPr>
      <w:r>
        <w:t xml:space="preserve">3.2.4 Síntesis de infraestructura por ámbito funcional</w:t>
      </w:r>
    </w:p>
    <w:p>
      <w:pPr>
        <w:spacing w:after="140" w:line="300"/>
        <w:jc w:val="both"/>
      </w:pPr>
      <w:r>
        <w:t xml:space="preserve">La Tabla 8 organiza las capacidades según su ámbito, señala el respaldo documental de cada una y su nivel de confianza (sección 2.9). Las fortalezas del CEN se agrupan con claridad en lo satelital y en datos.</w:t>
      </w:r>
    </w:p>
    <w:p>
      <w:pPr>
        <w:pStyle w:val="Caption"/>
        <w:keepNext/>
        <w:spacing w:after="80" w:before="200"/>
        <w:jc w:val="center"/>
      </w:pPr>
      <w:r>
        <w:rPr>
          <w:b/>
          <w:bCs/>
        </w:rPr>
        <w:t xml:space="preserve">Tabla </w:t>
      </w:r>
      <w:fldSimple w:instr="SEQ Tabla \* ARABIC">
        <w:r>
          <w:t xml:space="preserve">8</w:t>
        </w:r>
      </w:fldSimple>
      <w:r>
        <w:rPr>
          <w:b/>
          <w:bCs/>
        </w:rPr>
        <w:t xml:space="preserve">. Capacidades de infraestructura del CEN según ámbito funcional</w:t>
      </w:r>
    </w:p>
    <w:tbl>
      <w:tblPr>
        <w:tblW w:type="dxa" w:w="9000"/>
        <w:tblBorders>
          <w:top w:val="single" w:color="A6A6A6" w:sz="4"/>
          <w:left w:val="single" w:color="A6A6A6" w:sz="4"/>
          <w:bottom w:val="single" w:color="A6A6A6" w:sz="4"/>
          <w:right w:val="single" w:color="A6A6A6" w:sz="4"/>
          <w:insideH w:val="single" w:color="A6A6A6" w:sz="4"/>
          <w:insideV w:val="single" w:color="A6A6A6" w:sz="4"/>
        </w:tblBorders>
      </w:tblPr>
      <w:tblGrid>
        <w:gridCol w:w="990"/>
        <w:gridCol w:w="1530"/>
        <w:gridCol w:w="2970"/>
        <w:gridCol w:w="2610"/>
        <w:gridCol w:w="900"/>
      </w:tblGrid>
      <w:tr>
        <w:trPr>
          <w:cantSplit/>
          <w:tblHeader/>
        </w:trPr>
        <w:tc>
          <w:tcPr>
            <w:tcW w:type="dxa" w:w="99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Ámbito</w:t>
            </w:r>
          </w:p>
        </w:tc>
        <w:tc>
          <w:tcPr>
            <w:tcW w:type="dxa" w:w="153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Capacidad / activo</w:t>
            </w:r>
          </w:p>
        </w:tc>
        <w:tc>
          <w:tcPr>
            <w:tcW w:type="dxa" w:w="297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Descripción y función</w:t>
            </w:r>
          </w:p>
        </w:tc>
        <w:tc>
          <w:tcPr>
            <w:tcW w:type="dxa" w:w="261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Estado del dato</w:t>
            </w:r>
          </w:p>
        </w:tc>
        <w:tc>
          <w:tcPr>
            <w:tcW w:type="dxa" w:w="90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Conf.</w:t>
            </w:r>
          </w:p>
        </w:tc>
      </w:tr>
      <w:tr>
        <w:trPr>
          <w:cantSplit/>
        </w:trPr>
        <w:tc>
          <w:tcPr>
            <w:tcW w:type="dxa" w:w="990"/>
            <w:tcMar>
              <w:top w:type="dxa" w:w="50"/>
              <w:left w:type="dxa" w:w="80"/>
              <w:bottom w:type="dxa" w:w="50"/>
              <w:right w:type="dxa" w:w="80"/>
            </w:tcMar>
            <w:vAlign w:val="center"/>
          </w:tcPr>
          <w:p>
            <w:pPr>
              <w:keepNext w:val="false"/>
              <w:spacing w:after="20" w:line="240"/>
              <w:jc w:val="left"/>
            </w:pPr>
            <w:r>
              <w:rPr>
                <w:sz w:val="17"/>
                <w:szCs w:val="17"/>
              </w:rPr>
              <w:t xml:space="preserve">Satelital</w:t>
            </w:r>
          </w:p>
        </w:tc>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Sala limpia ISO 7</w:t>
            </w:r>
          </w:p>
        </w:tc>
        <w:tc>
          <w:tcPr>
            <w:tcW w:type="dxa" w:w="2970"/>
            <w:tcMar>
              <w:top w:type="dxa" w:w="50"/>
              <w:left w:type="dxa" w:w="80"/>
              <w:bottom w:type="dxa" w:w="50"/>
              <w:right w:type="dxa" w:w="80"/>
            </w:tcMar>
            <w:vAlign w:val="center"/>
          </w:tcPr>
          <w:p>
            <w:pPr>
              <w:keepNext w:val="false"/>
              <w:spacing w:after="20" w:line="240"/>
              <w:jc w:val="left"/>
            </w:pPr>
            <w:r>
              <w:rPr>
                <w:sz w:val="17"/>
                <w:szCs w:val="17"/>
              </w:rPr>
              <w:t xml:space="preserve">Ensamblaje de componentes satelitales en condiciones controladas de partículas, temperatura y humedad.</w:t>
            </w:r>
          </w:p>
        </w:tc>
        <w:tc>
          <w:tcPr>
            <w:tcW w:type="dxa" w:w="2610"/>
            <w:tcMar>
              <w:top w:type="dxa" w:w="50"/>
              <w:left w:type="dxa" w:w="80"/>
              <w:bottom w:type="dxa" w:w="50"/>
              <w:right w:type="dxa" w:w="80"/>
            </w:tcMar>
            <w:vAlign w:val="center"/>
          </w:tcPr>
          <w:p>
            <w:pPr>
              <w:keepNext w:val="false"/>
              <w:spacing w:after="20" w:line="240"/>
              <w:jc w:val="left"/>
            </w:pPr>
            <w:r>
              <w:rPr>
                <w:sz w:val="17"/>
                <w:szCs w:val="17"/>
              </w:rPr>
              <w:t xml:space="preserve">Declarado: fuentes institucionales y de prensa que podrían replicar una misma versión oficial.</w:t>
            </w:r>
          </w:p>
        </w:tc>
        <w:tc>
          <w:tcPr>
            <w:tcW w:type="dxa" w:w="900"/>
            <w:tcMar>
              <w:top w:type="dxa" w:w="50"/>
              <w:left w:type="dxa" w:w="80"/>
              <w:bottom w:type="dxa" w:w="50"/>
              <w:right w:type="dxa" w:w="80"/>
            </w:tcMar>
            <w:vAlign w:val="center"/>
          </w:tcPr>
          <w:p>
            <w:pPr>
              <w:keepNext w:val="false"/>
              <w:spacing w:after="20" w:line="240"/>
              <w:jc w:val="center"/>
            </w:pPr>
            <w:r>
              <w:rPr>
                <w:sz w:val="17"/>
                <w:szCs w:val="17"/>
              </w:rPr>
              <w:t xml:space="preserve">Media</w:t>
            </w:r>
          </w:p>
        </w:tc>
      </w:tr>
      <w:tr>
        <w:trPr>
          <w:cantSplit/>
        </w:trPr>
        <w:tc>
          <w:tcPr>
            <w:tcW w:type="dxa" w:w="990"/>
            <w:tcMar>
              <w:top w:type="dxa" w:w="50"/>
              <w:left w:type="dxa" w:w="80"/>
              <w:bottom w:type="dxa" w:w="50"/>
              <w:right w:type="dxa" w:w="80"/>
            </w:tcMar>
            <w:vAlign w:val="center"/>
          </w:tcPr>
          <w:p>
            <w:pPr>
              <w:keepNext w:val="false"/>
              <w:spacing w:after="20" w:line="240"/>
              <w:jc w:val="left"/>
            </w:pPr>
            <w:r>
              <w:rPr>
                <w:sz w:val="17"/>
                <w:szCs w:val="17"/>
              </w:rPr>
              <w:t xml:space="preserve">Satelital</w:t>
            </w:r>
          </w:p>
        </w:tc>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Cámara de simulación ambiental</w:t>
            </w:r>
          </w:p>
        </w:tc>
        <w:tc>
          <w:tcPr>
            <w:tcW w:type="dxa" w:w="2970"/>
            <w:tcMar>
              <w:top w:type="dxa" w:w="50"/>
              <w:left w:type="dxa" w:w="80"/>
              <w:bottom w:type="dxa" w:w="50"/>
              <w:right w:type="dxa" w:w="80"/>
            </w:tcMar>
            <w:vAlign w:val="center"/>
          </w:tcPr>
          <w:p>
            <w:pPr>
              <w:keepNext w:val="false"/>
              <w:spacing w:after="20" w:line="240"/>
              <w:jc w:val="left"/>
            </w:pPr>
            <w:r>
              <w:rPr>
                <w:sz w:val="17"/>
                <w:szCs w:val="17"/>
              </w:rPr>
              <w:t xml:space="preserve">Vacío y temperatura extrema para pruebas de resistencia antes del lanzamiento.</w:t>
            </w:r>
          </w:p>
        </w:tc>
        <w:tc>
          <w:tcPr>
            <w:tcW w:type="dxa" w:w="2610"/>
            <w:tcMar>
              <w:top w:type="dxa" w:w="50"/>
              <w:left w:type="dxa" w:w="80"/>
              <w:bottom w:type="dxa" w:w="50"/>
              <w:right w:type="dxa" w:w="80"/>
            </w:tcMar>
            <w:vAlign w:val="center"/>
          </w:tcPr>
          <w:p>
            <w:pPr>
              <w:keepNext w:val="false"/>
              <w:spacing w:after="20" w:line="240"/>
              <w:jc w:val="left"/>
            </w:pPr>
            <w:r>
              <w:rPr>
                <w:sz w:val="17"/>
                <w:szCs w:val="17"/>
              </w:rPr>
              <w:t xml:space="preserve">Declarado: fuentes institucionales y de prensa que podrían replicar una misma versión oficial.</w:t>
            </w:r>
          </w:p>
        </w:tc>
        <w:tc>
          <w:tcPr>
            <w:tcW w:type="dxa" w:w="900"/>
            <w:tcMar>
              <w:top w:type="dxa" w:w="50"/>
              <w:left w:type="dxa" w:w="80"/>
              <w:bottom w:type="dxa" w:w="50"/>
              <w:right w:type="dxa" w:w="80"/>
            </w:tcMar>
            <w:vAlign w:val="center"/>
          </w:tcPr>
          <w:p>
            <w:pPr>
              <w:keepNext w:val="false"/>
              <w:spacing w:after="20" w:line="240"/>
              <w:jc w:val="center"/>
            </w:pPr>
            <w:r>
              <w:rPr>
                <w:sz w:val="17"/>
                <w:szCs w:val="17"/>
              </w:rPr>
              <w:t xml:space="preserve">Baja</w:t>
            </w:r>
          </w:p>
        </w:tc>
      </w:tr>
      <w:tr>
        <w:trPr>
          <w:cantSplit/>
        </w:trPr>
        <w:tc>
          <w:tcPr>
            <w:tcW w:type="dxa" w:w="990"/>
            <w:tcMar>
              <w:top w:type="dxa" w:w="50"/>
              <w:left w:type="dxa" w:w="80"/>
              <w:bottom w:type="dxa" w:w="50"/>
              <w:right w:type="dxa" w:w="80"/>
            </w:tcMar>
            <w:vAlign w:val="center"/>
          </w:tcPr>
          <w:p>
            <w:pPr>
              <w:keepNext w:val="false"/>
              <w:spacing w:after="20" w:line="240"/>
              <w:jc w:val="left"/>
            </w:pPr>
            <w:r>
              <w:rPr>
                <w:sz w:val="17"/>
                <w:szCs w:val="17"/>
              </w:rPr>
              <w:t xml:space="preserve">Satelital</w:t>
            </w:r>
          </w:p>
        </w:tc>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Ensamblaje (≈ 8 satélites)</w:t>
            </w:r>
          </w:p>
        </w:tc>
        <w:tc>
          <w:tcPr>
            <w:tcW w:type="dxa" w:w="2970"/>
            <w:tcMar>
              <w:top w:type="dxa" w:w="50"/>
              <w:left w:type="dxa" w:w="80"/>
              <w:bottom w:type="dxa" w:w="50"/>
              <w:right w:type="dxa" w:w="80"/>
            </w:tcMar>
            <w:vAlign w:val="center"/>
          </w:tcPr>
          <w:p>
            <w:pPr>
              <w:keepNext w:val="false"/>
              <w:spacing w:after="20" w:line="240"/>
              <w:jc w:val="left"/>
            </w:pPr>
            <w:r>
              <w:rPr>
                <w:sz w:val="17"/>
                <w:szCs w:val="17"/>
              </w:rPr>
              <w:t xml:space="preserve">Microsatélites y una plataforma mayor de ~200 kg en el país.</w:t>
            </w:r>
          </w:p>
        </w:tc>
        <w:tc>
          <w:tcPr>
            <w:tcW w:type="dxa" w:w="2610"/>
            <w:tcMar>
              <w:top w:type="dxa" w:w="50"/>
              <w:left w:type="dxa" w:w="80"/>
              <w:bottom w:type="dxa" w:w="50"/>
              <w:right w:type="dxa" w:w="80"/>
            </w:tcMar>
            <w:vAlign w:val="center"/>
          </w:tcPr>
          <w:p>
            <w:pPr>
              <w:keepNext w:val="false"/>
              <w:spacing w:after="20" w:line="240"/>
              <w:jc w:val="left"/>
            </w:pPr>
            <w:r>
              <w:rPr>
                <w:sz w:val="17"/>
                <w:szCs w:val="17"/>
              </w:rPr>
              <w:t xml:space="preserve">Declarado: prensa. Se contrastará con el CEN.</w:t>
            </w:r>
          </w:p>
        </w:tc>
        <w:tc>
          <w:tcPr>
            <w:tcW w:type="dxa" w:w="900"/>
            <w:tcMar>
              <w:top w:type="dxa" w:w="50"/>
              <w:left w:type="dxa" w:w="80"/>
              <w:bottom w:type="dxa" w:w="50"/>
              <w:right w:type="dxa" w:w="80"/>
            </w:tcMar>
            <w:vAlign w:val="center"/>
          </w:tcPr>
          <w:p>
            <w:pPr>
              <w:keepNext w:val="false"/>
              <w:spacing w:after="20" w:line="240"/>
              <w:jc w:val="center"/>
            </w:pPr>
            <w:r>
              <w:rPr>
                <w:sz w:val="17"/>
                <w:szCs w:val="17"/>
              </w:rPr>
              <w:t xml:space="preserve">Baja</w:t>
            </w:r>
          </w:p>
        </w:tc>
      </w:tr>
      <w:tr>
        <w:trPr>
          <w:cantSplit/>
        </w:trPr>
        <w:tc>
          <w:tcPr>
            <w:tcW w:type="dxa" w:w="990"/>
            <w:tcMar>
              <w:top w:type="dxa" w:w="50"/>
              <w:left w:type="dxa" w:w="80"/>
              <w:bottom w:type="dxa" w:w="50"/>
              <w:right w:type="dxa" w:w="80"/>
            </w:tcMar>
            <w:vAlign w:val="center"/>
          </w:tcPr>
          <w:p>
            <w:pPr>
              <w:keepNext w:val="false"/>
              <w:spacing w:after="20" w:line="240"/>
              <w:jc w:val="left"/>
            </w:pPr>
            <w:r>
              <w:rPr>
                <w:sz w:val="17"/>
                <w:szCs w:val="17"/>
              </w:rPr>
              <w:t xml:space="preserve">Datos / cómputo</w:t>
            </w:r>
          </w:p>
        </w:tc>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HPC (~193 TFlops)</w:t>
            </w:r>
          </w:p>
        </w:tc>
        <w:tc>
          <w:tcPr>
            <w:tcW w:type="dxa" w:w="2970"/>
            <w:tcMar>
              <w:top w:type="dxa" w:w="50"/>
              <w:left w:type="dxa" w:w="80"/>
              <w:bottom w:type="dxa" w:w="50"/>
              <w:right w:type="dxa" w:w="80"/>
            </w:tcMar>
            <w:vAlign w:val="center"/>
          </w:tcPr>
          <w:p>
            <w:pPr>
              <w:keepNext w:val="false"/>
              <w:spacing w:after="20" w:line="240"/>
              <w:jc w:val="left"/>
            </w:pPr>
            <w:r>
              <w:rPr>
                <w:sz w:val="17"/>
                <w:szCs w:val="17"/>
              </w:rPr>
              <w:t xml:space="preserve">Procesamiento masivo de imágenes geoespaciales; ~384 mil por hora declaradas.</w:t>
            </w:r>
          </w:p>
        </w:tc>
        <w:tc>
          <w:tcPr>
            <w:tcW w:type="dxa" w:w="2610"/>
            <w:tcMar>
              <w:top w:type="dxa" w:w="50"/>
              <w:left w:type="dxa" w:w="80"/>
              <w:bottom w:type="dxa" w:w="50"/>
              <w:right w:type="dxa" w:w="80"/>
            </w:tcMar>
            <w:vAlign w:val="center"/>
          </w:tcPr>
          <w:p>
            <w:pPr>
              <w:keepNext w:val="false"/>
              <w:spacing w:after="20" w:line="240"/>
              <w:jc w:val="left"/>
            </w:pPr>
            <w:r>
              <w:rPr>
                <w:sz w:val="17"/>
                <w:szCs w:val="17"/>
              </w:rPr>
              <w:t xml:space="preserve">Declarado: fuente única.</w:t>
            </w:r>
          </w:p>
        </w:tc>
        <w:tc>
          <w:tcPr>
            <w:tcW w:type="dxa" w:w="900"/>
            <w:tcMar>
              <w:top w:type="dxa" w:w="50"/>
              <w:left w:type="dxa" w:w="80"/>
              <w:bottom w:type="dxa" w:w="50"/>
              <w:right w:type="dxa" w:w="80"/>
            </w:tcMar>
            <w:vAlign w:val="center"/>
          </w:tcPr>
          <w:p>
            <w:pPr>
              <w:keepNext w:val="false"/>
              <w:spacing w:after="20" w:line="240"/>
              <w:jc w:val="center"/>
            </w:pPr>
            <w:r>
              <w:rPr>
                <w:sz w:val="17"/>
                <w:szCs w:val="17"/>
              </w:rPr>
              <w:t xml:space="preserve">Baja</w:t>
            </w:r>
          </w:p>
        </w:tc>
      </w:tr>
      <w:tr>
        <w:trPr>
          <w:cantSplit/>
        </w:trPr>
        <w:tc>
          <w:tcPr>
            <w:tcW w:type="dxa" w:w="990"/>
            <w:tcMar>
              <w:top w:type="dxa" w:w="50"/>
              <w:left w:type="dxa" w:w="80"/>
              <w:bottom w:type="dxa" w:w="50"/>
              <w:right w:type="dxa" w:w="80"/>
            </w:tcMar>
            <w:vAlign w:val="center"/>
          </w:tcPr>
          <w:p>
            <w:pPr>
              <w:keepNext w:val="false"/>
              <w:spacing w:after="20" w:line="240"/>
              <w:jc w:val="left"/>
            </w:pPr>
            <w:r>
              <w:rPr>
                <w:sz w:val="17"/>
                <w:szCs w:val="17"/>
              </w:rPr>
              <w:t xml:space="preserve">Datos / cómputo</w:t>
            </w:r>
          </w:p>
        </w:tc>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Laboratorio de datos</w:t>
            </w:r>
          </w:p>
        </w:tc>
        <w:tc>
          <w:tcPr>
            <w:tcW w:type="dxa" w:w="2970"/>
            <w:tcMar>
              <w:top w:type="dxa" w:w="50"/>
              <w:left w:type="dxa" w:w="80"/>
              <w:bottom w:type="dxa" w:w="50"/>
              <w:right w:type="dxa" w:w="80"/>
            </w:tcMar>
            <w:vAlign w:val="center"/>
          </w:tcPr>
          <w:p>
            <w:pPr>
              <w:keepNext w:val="false"/>
              <w:spacing w:after="20" w:line="240"/>
              <w:jc w:val="left"/>
            </w:pPr>
            <w:r>
              <w:rPr>
                <w:sz w:val="17"/>
                <w:szCs w:val="17"/>
              </w:rPr>
              <w:t xml:space="preserve">Centros de datos y supercomputadores para almacenamiento y análisis.</w:t>
            </w:r>
          </w:p>
        </w:tc>
        <w:tc>
          <w:tcPr>
            <w:tcW w:type="dxa" w:w="2610"/>
            <w:tcMar>
              <w:top w:type="dxa" w:w="50"/>
              <w:left w:type="dxa" w:w="80"/>
              <w:bottom w:type="dxa" w:w="50"/>
              <w:right w:type="dxa" w:w="80"/>
            </w:tcMar>
            <w:vAlign w:val="center"/>
          </w:tcPr>
          <w:p>
            <w:pPr>
              <w:keepNext w:val="false"/>
              <w:spacing w:after="20" w:line="240"/>
              <w:jc w:val="left"/>
            </w:pPr>
            <w:r>
              <w:rPr>
                <w:sz w:val="17"/>
                <w:szCs w:val="17"/>
              </w:rPr>
              <w:t xml:space="preserve">Declarado: fuente institucional.</w:t>
            </w:r>
          </w:p>
        </w:tc>
        <w:tc>
          <w:tcPr>
            <w:tcW w:type="dxa" w:w="900"/>
            <w:tcMar>
              <w:top w:type="dxa" w:w="50"/>
              <w:left w:type="dxa" w:w="80"/>
              <w:bottom w:type="dxa" w:w="50"/>
              <w:right w:type="dxa" w:w="80"/>
            </w:tcMar>
            <w:vAlign w:val="center"/>
          </w:tcPr>
          <w:p>
            <w:pPr>
              <w:keepNext w:val="false"/>
              <w:spacing w:after="20" w:line="240"/>
              <w:jc w:val="center"/>
            </w:pPr>
            <w:r>
              <w:rPr>
                <w:sz w:val="17"/>
                <w:szCs w:val="17"/>
              </w:rPr>
              <w:t xml:space="preserve">Baja</w:t>
            </w:r>
          </w:p>
        </w:tc>
      </w:tr>
      <w:tr>
        <w:trPr>
          <w:cantSplit/>
        </w:trPr>
        <w:tc>
          <w:tcPr>
            <w:tcW w:type="dxa" w:w="990"/>
            <w:tcMar>
              <w:top w:type="dxa" w:w="50"/>
              <w:left w:type="dxa" w:w="80"/>
              <w:bottom w:type="dxa" w:w="50"/>
              <w:right w:type="dxa" w:w="80"/>
            </w:tcMar>
            <w:vAlign w:val="center"/>
          </w:tcPr>
          <w:p>
            <w:pPr>
              <w:keepNext w:val="false"/>
              <w:spacing w:after="20" w:line="240"/>
              <w:jc w:val="left"/>
            </w:pPr>
            <w:r>
              <w:rPr>
                <w:sz w:val="17"/>
                <w:szCs w:val="17"/>
              </w:rPr>
              <w:t xml:space="preserve">Operativo</w:t>
            </w:r>
          </w:p>
        </w:tc>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Centro de Control de Misión</w:t>
            </w:r>
          </w:p>
        </w:tc>
        <w:tc>
          <w:tcPr>
            <w:tcW w:type="dxa" w:w="2970"/>
            <w:tcMar>
              <w:top w:type="dxa" w:w="50"/>
              <w:left w:type="dxa" w:w="80"/>
              <w:bottom w:type="dxa" w:w="50"/>
              <w:right w:type="dxa" w:w="80"/>
            </w:tcMar>
            <w:vAlign w:val="center"/>
          </w:tcPr>
          <w:p>
            <w:pPr>
              <w:keepNext w:val="false"/>
              <w:spacing w:after="20" w:line="240"/>
              <w:jc w:val="left"/>
            </w:pPr>
            <w:r>
              <w:rPr>
                <w:sz w:val="17"/>
                <w:szCs w:val="17"/>
              </w:rPr>
              <w:t xml:space="preserve">Operación de sistemas satelitales y gestión de imágenes.</w:t>
            </w:r>
          </w:p>
        </w:tc>
        <w:tc>
          <w:tcPr>
            <w:tcW w:type="dxa" w:w="2610"/>
            <w:tcMar>
              <w:top w:type="dxa" w:w="50"/>
              <w:left w:type="dxa" w:w="80"/>
              <w:bottom w:type="dxa" w:w="50"/>
              <w:right w:type="dxa" w:w="80"/>
            </w:tcMar>
            <w:vAlign w:val="center"/>
          </w:tcPr>
          <w:p>
            <w:pPr>
              <w:keepNext w:val="false"/>
              <w:spacing w:after="20" w:line="240"/>
              <w:jc w:val="left"/>
            </w:pPr>
            <w:r>
              <w:rPr>
                <w:sz w:val="17"/>
                <w:szCs w:val="17"/>
              </w:rPr>
              <w:t xml:space="preserve">Declarado (fuente institucional única); uso demostrado en el ejercicio Salitre 2026.</w:t>
            </w:r>
          </w:p>
        </w:tc>
        <w:tc>
          <w:tcPr>
            <w:tcW w:type="dxa" w:w="900"/>
            <w:tcMar>
              <w:top w:type="dxa" w:w="50"/>
              <w:left w:type="dxa" w:w="80"/>
              <w:bottom w:type="dxa" w:w="50"/>
              <w:right w:type="dxa" w:w="80"/>
            </w:tcMar>
            <w:vAlign w:val="center"/>
          </w:tcPr>
          <w:p>
            <w:pPr>
              <w:keepNext w:val="false"/>
              <w:spacing w:after="20" w:line="240"/>
              <w:jc w:val="center"/>
            </w:pPr>
            <w:r>
              <w:rPr>
                <w:sz w:val="17"/>
                <w:szCs w:val="17"/>
              </w:rPr>
              <w:t xml:space="preserve">Media</w:t>
            </w:r>
          </w:p>
        </w:tc>
      </w:tr>
      <w:tr>
        <w:trPr>
          <w:cantSplit/>
        </w:trPr>
        <w:tc>
          <w:tcPr>
            <w:tcW w:type="dxa" w:w="990"/>
            <w:tcMar>
              <w:top w:type="dxa" w:w="50"/>
              <w:left w:type="dxa" w:w="80"/>
              <w:bottom w:type="dxa" w:w="50"/>
              <w:right w:type="dxa" w:w="80"/>
            </w:tcMar>
            <w:vAlign w:val="center"/>
          </w:tcPr>
          <w:p>
            <w:pPr>
              <w:keepNext w:val="false"/>
              <w:spacing w:after="20" w:line="240"/>
              <w:jc w:val="left"/>
            </w:pPr>
            <w:r>
              <w:rPr>
                <w:sz w:val="17"/>
                <w:szCs w:val="17"/>
              </w:rPr>
              <w:t xml:space="preserve">Operativo</w:t>
            </w:r>
          </w:p>
        </w:tc>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Formación de dotación</w:t>
            </w:r>
          </w:p>
        </w:tc>
        <w:tc>
          <w:tcPr>
            <w:tcW w:type="dxa" w:w="2970"/>
            <w:tcMar>
              <w:top w:type="dxa" w:w="50"/>
              <w:left w:type="dxa" w:w="80"/>
              <w:bottom w:type="dxa" w:w="50"/>
              <w:right w:type="dxa" w:w="80"/>
            </w:tcMar>
            <w:vAlign w:val="center"/>
          </w:tcPr>
          <w:p>
            <w:pPr>
              <w:keepNext w:val="false"/>
              <w:spacing w:after="20" w:line="240"/>
              <w:jc w:val="left"/>
            </w:pPr>
            <w:r>
              <w:rPr>
                <w:sz w:val="17"/>
                <w:szCs w:val="17"/>
              </w:rPr>
              <w:t xml:space="preserve">Capacitación en integración y ensamblaje de satélites.</w:t>
            </w:r>
          </w:p>
        </w:tc>
        <w:tc>
          <w:tcPr>
            <w:tcW w:type="dxa" w:w="2610"/>
            <w:tcMar>
              <w:top w:type="dxa" w:w="50"/>
              <w:left w:type="dxa" w:w="80"/>
              <w:bottom w:type="dxa" w:w="50"/>
              <w:right w:type="dxa" w:w="80"/>
            </w:tcMar>
            <w:vAlign w:val="center"/>
          </w:tcPr>
          <w:p>
            <w:pPr>
              <w:keepNext w:val="false"/>
              <w:spacing w:after="20" w:line="240"/>
              <w:jc w:val="left"/>
            </w:pPr>
            <w:r>
              <w:rPr>
                <w:sz w:val="17"/>
                <w:szCs w:val="17"/>
              </w:rPr>
              <w:t xml:space="preserve">Declarado: fuente institucional (FACh, 2025d).</w:t>
            </w:r>
          </w:p>
        </w:tc>
        <w:tc>
          <w:tcPr>
            <w:tcW w:type="dxa" w:w="900"/>
            <w:tcMar>
              <w:top w:type="dxa" w:w="50"/>
              <w:left w:type="dxa" w:w="80"/>
              <w:bottom w:type="dxa" w:w="50"/>
              <w:right w:type="dxa" w:w="80"/>
            </w:tcMar>
            <w:vAlign w:val="center"/>
          </w:tcPr>
          <w:p>
            <w:pPr>
              <w:keepNext w:val="false"/>
              <w:spacing w:after="20" w:line="240"/>
              <w:jc w:val="center"/>
            </w:pPr>
            <w:r>
              <w:rPr>
                <w:sz w:val="17"/>
                <w:szCs w:val="17"/>
              </w:rPr>
              <w:t xml:space="preserve">Media</w:t>
            </w:r>
          </w:p>
        </w:tc>
      </w:tr>
    </w:tbl>
    <w:p>
      <w:pPr>
        <w:spacing w:after="200" w:before="60"/>
        <w:jc w:val="center"/>
      </w:pPr>
      <w:r>
        <w:rPr>
          <w:i/>
          <w:iCs/>
          <w:sz w:val="17"/>
          <w:szCs w:val="17"/>
        </w:rPr>
        <w:t xml:space="preserve">Fuente: Elaboración propia a partir de GORE Magallanes (2025), Minciencia (2025), El Desconcierto (2025), The Clinic (2025) y FACh (2025d, 2026).</w:t>
      </w:r>
    </w:p>
    <w:p>
      <w:pPr>
        <w:pStyle w:val="Heading2"/>
      </w:pPr>
      <w:r>
        <w:t xml:space="preserve">3.3 Capacidades operativas</w:t>
      </w:r>
    </w:p>
    <w:p>
      <w:pPr>
        <w:spacing w:after="140" w:line="300"/>
        <w:jc w:val="both"/>
      </w:pPr>
      <w:r>
        <w:t xml:space="preserve">El CEN no es un laboratorio pasivo: tiene capacidades operativas que ya se han puesto a prueba.</w:t>
      </w:r>
    </w:p>
    <w:p>
      <w:pPr>
        <w:pStyle w:val="Heading3"/>
      </w:pPr>
      <w:r>
        <w:t xml:space="preserve">3.3.1 Centro de Control de Misión</w:t>
      </w:r>
    </w:p>
    <w:p>
      <w:pPr>
        <w:spacing w:after="140" w:line="300"/>
        <w:jc w:val="both"/>
      </w:pPr>
      <w:r>
        <w:t xml:space="preserve">La principal es el Centro de Control de Misión, desde donde se operan sistemas satelitales, se obtienen imágenes actualizadas del territorio y se dirige esa información hacia los usuarios que la requieren. En el ejercicio Salitre 2026, el centro integró la operación satelital en un escenario de coordinación con personal de la FACh y de otros países (FACh, 2026). Ese ejercicio aporta un indicio de capacidad operativa efectiva de gestión de misiones. Se trata, con todo, de una única evidencia de origen institucional, por lo que el dato se mantiene como declarado hasta su contraste con fuentes primarias.</w:t>
      </w:r>
    </w:p>
    <w:p>
      <w:pPr>
        <w:pStyle w:val="Heading3"/>
      </w:pPr>
      <w:r>
        <w:t xml:space="preserve">3.3.2 Formación de dotación</w:t>
      </w:r>
    </w:p>
    <w:p>
      <w:pPr>
        <w:spacing w:after="140" w:line="300"/>
        <w:jc w:val="both"/>
      </w:pPr>
      <w:r>
        <w:t xml:space="preserve">La segunda capacidad, más incipiente pero estratégica, es la formación de personal propio. La Dirección Espacial inició procesos de capacitación para la integración y el ensamblaje de satélites, con la meta de operar en el futuro cercano plataformas diseñadas en el país (FACh, 2025d). En clave de capacidades organizacionales, este paso marca la transición entre tener recursos y tener personas capaces de usarlos de forma sostenida.</w:t>
      </w:r>
    </w:p>
    <w:p>
      <w:pPr>
        <w:pStyle w:val="Heading3"/>
      </w:pPr>
      <w:r>
        <w:t xml:space="preserve">3.3.3 Mapa funcional de capacidades</w:t>
      </w:r>
    </w:p>
    <w:p>
      <w:pPr>
        <w:spacing w:after="140" w:line="300"/>
        <w:jc w:val="both"/>
      </w:pPr>
      <w:r>
        <w:t xml:space="preserve">Para dar una mirada integrada a las capacidades operativas se construyó un mapa funcional que organiza cada capacidad según sus entradas, el proceso que ejecuta, las salidas que genera y los beneficiarios potenciales (Tabla 9).</w:t>
      </w:r>
    </w:p>
    <w:p>
      <w:pPr>
        <w:pStyle w:val="Caption"/>
        <w:keepNext/>
        <w:spacing w:after="80" w:before="200"/>
        <w:jc w:val="center"/>
      </w:pPr>
      <w:r>
        <w:rPr>
          <w:b/>
          <w:bCs/>
        </w:rPr>
        <w:t xml:space="preserve">Tabla </w:t>
      </w:r>
      <w:fldSimple w:instr="SEQ Tabla \* ARABIC">
        <w:r>
          <w:t xml:space="preserve">9</w:t>
        </w:r>
      </w:fldSimple>
      <w:r>
        <w:rPr>
          <w:b/>
          <w:bCs/>
        </w:rPr>
        <w:t xml:space="preserve">. Mapa funcional de capacidades operativas del CEN</w:t>
      </w:r>
    </w:p>
    <w:tbl>
      <w:tblPr>
        <w:tblW w:type="dxa" w:w="9000"/>
        <w:tblBorders>
          <w:top w:val="single" w:color="A6A6A6" w:sz="4"/>
          <w:left w:val="single" w:color="A6A6A6" w:sz="4"/>
          <w:bottom w:val="single" w:color="A6A6A6" w:sz="4"/>
          <w:right w:val="single" w:color="A6A6A6" w:sz="4"/>
          <w:insideH w:val="single" w:color="A6A6A6" w:sz="4"/>
          <w:insideV w:val="single" w:color="A6A6A6" w:sz="4"/>
        </w:tblBorders>
      </w:tblPr>
      <w:tblGrid>
        <w:gridCol w:w="1530"/>
        <w:gridCol w:w="1350"/>
        <w:gridCol w:w="2250"/>
        <w:gridCol w:w="1890"/>
        <w:gridCol w:w="1980"/>
      </w:tblGrid>
      <w:tr>
        <w:trPr>
          <w:cantSplit/>
          <w:tblHeader/>
        </w:trPr>
        <w:tc>
          <w:tcPr>
            <w:tcW w:type="dxa" w:w="153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Entrada</w:t>
            </w:r>
          </w:p>
        </w:tc>
        <w:tc>
          <w:tcPr>
            <w:tcW w:type="dxa" w:w="135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Capacidad</w:t>
            </w:r>
          </w:p>
        </w:tc>
        <w:tc>
          <w:tcPr>
            <w:tcW w:type="dxa" w:w="225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Proceso</w:t>
            </w:r>
          </w:p>
        </w:tc>
        <w:tc>
          <w:tcPr>
            <w:tcW w:type="dxa" w:w="189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Salida</w:t>
            </w:r>
          </w:p>
        </w:tc>
        <w:tc>
          <w:tcPr>
            <w:tcW w:type="dxa" w:w="198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Beneficiario potencial</w:t>
            </w:r>
          </w:p>
        </w:tc>
      </w:tr>
      <w:tr>
        <w:trPr>
          <w:cantSplit/>
        </w:trPr>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Componentes, diseños, conocimiento</w:t>
            </w:r>
          </w:p>
        </w:tc>
        <w:tc>
          <w:tcPr>
            <w:tcW w:type="dxa" w:w="1350"/>
            <w:tcMar>
              <w:top w:type="dxa" w:w="50"/>
              <w:left w:type="dxa" w:w="80"/>
              <w:bottom w:type="dxa" w:w="50"/>
              <w:right w:type="dxa" w:w="80"/>
            </w:tcMar>
            <w:vAlign w:val="center"/>
          </w:tcPr>
          <w:p>
            <w:pPr>
              <w:keepNext w:val="false"/>
              <w:spacing w:after="20" w:line="240"/>
              <w:jc w:val="left"/>
            </w:pPr>
            <w:r>
              <w:rPr>
                <w:sz w:val="17"/>
                <w:szCs w:val="17"/>
              </w:rPr>
              <w:t xml:space="preserve">Ensamblaje e integración</w:t>
            </w:r>
          </w:p>
        </w:tc>
        <w:tc>
          <w:tcPr>
            <w:tcW w:type="dxa" w:w="2250"/>
            <w:tcMar>
              <w:top w:type="dxa" w:w="50"/>
              <w:left w:type="dxa" w:w="80"/>
              <w:bottom w:type="dxa" w:w="50"/>
              <w:right w:type="dxa" w:w="80"/>
            </w:tcMar>
            <w:vAlign w:val="center"/>
          </w:tcPr>
          <w:p>
            <w:pPr>
              <w:keepNext w:val="false"/>
              <w:spacing w:after="20" w:line="240"/>
              <w:jc w:val="left"/>
            </w:pPr>
            <w:r>
              <w:rPr>
                <w:sz w:val="17"/>
                <w:szCs w:val="17"/>
              </w:rPr>
              <w:t xml:space="preserve">Fabricación, conexión y prueba de subsistemas en sala limpia.</w:t>
            </w:r>
          </w:p>
        </w:tc>
        <w:tc>
          <w:tcPr>
            <w:tcW w:type="dxa" w:w="1890"/>
            <w:tcMar>
              <w:top w:type="dxa" w:w="50"/>
              <w:left w:type="dxa" w:w="80"/>
              <w:bottom w:type="dxa" w:w="50"/>
              <w:right w:type="dxa" w:w="80"/>
            </w:tcMar>
            <w:vAlign w:val="center"/>
          </w:tcPr>
          <w:p>
            <w:pPr>
              <w:keepNext w:val="false"/>
              <w:spacing w:after="20" w:line="240"/>
              <w:jc w:val="left"/>
            </w:pPr>
            <w:r>
              <w:rPr>
                <w:sz w:val="17"/>
                <w:szCs w:val="17"/>
              </w:rPr>
              <w:t xml:space="preserve">Satélites ensamblados y probados en el país.</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Programa Espacial; proveedores (potencial).</w:t>
            </w:r>
          </w:p>
        </w:tc>
      </w:tr>
      <w:tr>
        <w:trPr>
          <w:cantSplit/>
        </w:trPr>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Satélites en prueba</w:t>
            </w:r>
          </w:p>
        </w:tc>
        <w:tc>
          <w:tcPr>
            <w:tcW w:type="dxa" w:w="1350"/>
            <w:tcMar>
              <w:top w:type="dxa" w:w="50"/>
              <w:left w:type="dxa" w:w="80"/>
              <w:bottom w:type="dxa" w:w="50"/>
              <w:right w:type="dxa" w:w="80"/>
            </w:tcMar>
            <w:vAlign w:val="center"/>
          </w:tcPr>
          <w:p>
            <w:pPr>
              <w:keepNext w:val="false"/>
              <w:spacing w:after="20" w:line="240"/>
              <w:jc w:val="left"/>
            </w:pPr>
            <w:r>
              <w:rPr>
                <w:sz w:val="17"/>
                <w:szCs w:val="17"/>
              </w:rPr>
              <w:t xml:space="preserve">Simulación ambiental</w:t>
            </w:r>
          </w:p>
        </w:tc>
        <w:tc>
          <w:tcPr>
            <w:tcW w:type="dxa" w:w="2250"/>
            <w:tcMar>
              <w:top w:type="dxa" w:w="50"/>
              <w:left w:type="dxa" w:w="80"/>
              <w:bottom w:type="dxa" w:w="50"/>
              <w:right w:type="dxa" w:w="80"/>
            </w:tcMar>
            <w:vAlign w:val="center"/>
          </w:tcPr>
          <w:p>
            <w:pPr>
              <w:keepNext w:val="false"/>
              <w:spacing w:after="20" w:line="240"/>
              <w:jc w:val="left"/>
            </w:pPr>
            <w:r>
              <w:rPr>
                <w:sz w:val="17"/>
                <w:szCs w:val="17"/>
              </w:rPr>
              <w:t xml:space="preserve">Vacío y temperatura extrema en cámara de simulación.</w:t>
            </w:r>
          </w:p>
        </w:tc>
        <w:tc>
          <w:tcPr>
            <w:tcW w:type="dxa" w:w="1890"/>
            <w:tcMar>
              <w:top w:type="dxa" w:w="50"/>
              <w:left w:type="dxa" w:w="80"/>
              <w:bottom w:type="dxa" w:w="50"/>
              <w:right w:type="dxa" w:w="80"/>
            </w:tcMar>
            <w:vAlign w:val="center"/>
          </w:tcPr>
          <w:p>
            <w:pPr>
              <w:keepNext w:val="false"/>
              <w:spacing w:after="20" w:line="240"/>
              <w:jc w:val="left"/>
            </w:pPr>
            <w:r>
              <w:rPr>
                <w:sz w:val="17"/>
                <w:szCs w:val="17"/>
              </w:rPr>
              <w:t xml:space="preserve">Plataformas validadas para condiciones orbitales.</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Programa Espacial; usuarios futuros de misiones.</w:t>
            </w:r>
          </w:p>
        </w:tc>
      </w:tr>
      <w:tr>
        <w:trPr>
          <w:cantSplit/>
        </w:trPr>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Misiones activas</w:t>
            </w:r>
          </w:p>
        </w:tc>
        <w:tc>
          <w:tcPr>
            <w:tcW w:type="dxa" w:w="1350"/>
            <w:tcMar>
              <w:top w:type="dxa" w:w="50"/>
              <w:left w:type="dxa" w:w="80"/>
              <w:bottom w:type="dxa" w:w="50"/>
              <w:right w:type="dxa" w:w="80"/>
            </w:tcMar>
            <w:vAlign w:val="center"/>
          </w:tcPr>
          <w:p>
            <w:pPr>
              <w:keepNext w:val="false"/>
              <w:spacing w:after="20" w:line="240"/>
              <w:jc w:val="left"/>
            </w:pPr>
            <w:r>
              <w:rPr>
                <w:sz w:val="17"/>
                <w:szCs w:val="17"/>
              </w:rPr>
              <w:t xml:space="preserve">Control de misión</w:t>
            </w:r>
          </w:p>
        </w:tc>
        <w:tc>
          <w:tcPr>
            <w:tcW w:type="dxa" w:w="2250"/>
            <w:tcMar>
              <w:top w:type="dxa" w:w="50"/>
              <w:left w:type="dxa" w:w="80"/>
              <w:bottom w:type="dxa" w:w="50"/>
              <w:right w:type="dxa" w:w="80"/>
            </w:tcMar>
            <w:vAlign w:val="center"/>
          </w:tcPr>
          <w:p>
            <w:pPr>
              <w:keepNext w:val="false"/>
              <w:spacing w:after="20" w:line="240"/>
              <w:jc w:val="left"/>
            </w:pPr>
            <w:r>
              <w:rPr>
                <w:sz w:val="17"/>
                <w:szCs w:val="17"/>
              </w:rPr>
              <w:t xml:space="preserve">Operación, monitoreo y gestión de misiones en curso.</w:t>
            </w:r>
          </w:p>
        </w:tc>
        <w:tc>
          <w:tcPr>
            <w:tcW w:type="dxa" w:w="1890"/>
            <w:tcMar>
              <w:top w:type="dxa" w:w="50"/>
              <w:left w:type="dxa" w:w="80"/>
              <w:bottom w:type="dxa" w:w="50"/>
              <w:right w:type="dxa" w:w="80"/>
            </w:tcMar>
            <w:vAlign w:val="center"/>
          </w:tcPr>
          <w:p>
            <w:pPr>
              <w:keepNext w:val="false"/>
              <w:spacing w:after="20" w:line="240"/>
              <w:jc w:val="left"/>
            </w:pPr>
            <w:r>
              <w:rPr>
                <w:sz w:val="17"/>
                <w:szCs w:val="17"/>
              </w:rPr>
              <w:t xml:space="preserve">Imágenes actualizadas del territorio.</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Estado, defensa, usuarios sectoriales.</w:t>
            </w:r>
          </w:p>
        </w:tc>
      </w:tr>
      <w:tr>
        <w:trPr>
          <w:cantSplit/>
        </w:trPr>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Imágenes satelitales, datos brutos</w:t>
            </w:r>
          </w:p>
        </w:tc>
        <w:tc>
          <w:tcPr>
            <w:tcW w:type="dxa" w:w="1350"/>
            <w:tcMar>
              <w:top w:type="dxa" w:w="50"/>
              <w:left w:type="dxa" w:w="80"/>
              <w:bottom w:type="dxa" w:w="50"/>
              <w:right w:type="dxa" w:w="80"/>
            </w:tcMar>
            <w:vAlign w:val="center"/>
          </w:tcPr>
          <w:p>
            <w:pPr>
              <w:keepNext w:val="false"/>
              <w:spacing w:after="20" w:line="240"/>
              <w:jc w:val="left"/>
            </w:pPr>
            <w:r>
              <w:rPr>
                <w:sz w:val="17"/>
                <w:szCs w:val="17"/>
              </w:rPr>
              <w:t xml:space="preserve">Procesamiento HPC</w:t>
            </w:r>
          </w:p>
        </w:tc>
        <w:tc>
          <w:tcPr>
            <w:tcW w:type="dxa" w:w="2250"/>
            <w:tcMar>
              <w:top w:type="dxa" w:w="50"/>
              <w:left w:type="dxa" w:w="80"/>
              <w:bottom w:type="dxa" w:w="50"/>
              <w:right w:type="dxa" w:w="80"/>
            </w:tcMar>
            <w:vAlign w:val="center"/>
          </w:tcPr>
          <w:p>
            <w:pPr>
              <w:keepNext w:val="false"/>
              <w:spacing w:after="20" w:line="240"/>
              <w:jc w:val="left"/>
            </w:pPr>
            <w:r>
              <w:rPr>
                <w:sz w:val="17"/>
                <w:szCs w:val="17"/>
              </w:rPr>
              <w:t xml:space="preserve">Análisis masivo de información geoespacial.</w:t>
            </w:r>
          </w:p>
        </w:tc>
        <w:tc>
          <w:tcPr>
            <w:tcW w:type="dxa" w:w="1890"/>
            <w:tcMar>
              <w:top w:type="dxa" w:w="50"/>
              <w:left w:type="dxa" w:w="80"/>
              <w:bottom w:type="dxa" w:w="50"/>
              <w:right w:type="dxa" w:w="80"/>
            </w:tcMar>
            <w:vAlign w:val="center"/>
          </w:tcPr>
          <w:p>
            <w:pPr>
              <w:keepNext w:val="false"/>
              <w:spacing w:after="20" w:line="240"/>
              <w:jc w:val="left"/>
            </w:pPr>
            <w:r>
              <w:rPr>
                <w:sz w:val="17"/>
                <w:szCs w:val="17"/>
              </w:rPr>
              <w:t xml:space="preserve">Información procesada; aplicaciones derivadas.</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Estado, academia, sectores productivos.</w:t>
            </w:r>
          </w:p>
        </w:tc>
      </w:tr>
      <w:tr>
        <w:trPr>
          <w:cantSplit/>
        </w:trPr>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Personal militar y civil</w:t>
            </w:r>
          </w:p>
        </w:tc>
        <w:tc>
          <w:tcPr>
            <w:tcW w:type="dxa" w:w="1350"/>
            <w:tcMar>
              <w:top w:type="dxa" w:w="50"/>
              <w:left w:type="dxa" w:w="80"/>
              <w:bottom w:type="dxa" w:w="50"/>
              <w:right w:type="dxa" w:w="80"/>
            </w:tcMar>
            <w:vAlign w:val="center"/>
          </w:tcPr>
          <w:p>
            <w:pPr>
              <w:keepNext w:val="false"/>
              <w:spacing w:after="20" w:line="240"/>
              <w:jc w:val="left"/>
            </w:pPr>
            <w:r>
              <w:rPr>
                <w:sz w:val="17"/>
                <w:szCs w:val="17"/>
              </w:rPr>
              <w:t xml:space="preserve">Formación y capacitación</w:t>
            </w:r>
          </w:p>
        </w:tc>
        <w:tc>
          <w:tcPr>
            <w:tcW w:type="dxa" w:w="2250"/>
            <w:tcMar>
              <w:top w:type="dxa" w:w="50"/>
              <w:left w:type="dxa" w:w="80"/>
              <w:bottom w:type="dxa" w:w="50"/>
              <w:right w:type="dxa" w:w="80"/>
            </w:tcMar>
            <w:vAlign w:val="center"/>
          </w:tcPr>
          <w:p>
            <w:pPr>
              <w:keepNext w:val="false"/>
              <w:spacing w:after="20" w:line="240"/>
              <w:jc w:val="left"/>
            </w:pPr>
            <w:r>
              <w:rPr>
                <w:sz w:val="17"/>
                <w:szCs w:val="17"/>
              </w:rPr>
              <w:t xml:space="preserve">Entrenamiento en integración, operación y análisis.</w:t>
            </w:r>
          </w:p>
        </w:tc>
        <w:tc>
          <w:tcPr>
            <w:tcW w:type="dxa" w:w="1890"/>
            <w:tcMar>
              <w:top w:type="dxa" w:w="50"/>
              <w:left w:type="dxa" w:w="80"/>
              <w:bottom w:type="dxa" w:w="50"/>
              <w:right w:type="dxa" w:w="80"/>
            </w:tcMar>
            <w:vAlign w:val="center"/>
          </w:tcPr>
          <w:p>
            <w:pPr>
              <w:keepNext w:val="false"/>
              <w:spacing w:after="20" w:line="240"/>
              <w:jc w:val="left"/>
            </w:pPr>
            <w:r>
              <w:rPr>
                <w:sz w:val="17"/>
                <w:szCs w:val="17"/>
              </w:rPr>
              <w:t xml:space="preserve">Capital humano especializado.</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FACh; academia (potencial); industria (potencial).</w:t>
            </w:r>
          </w:p>
        </w:tc>
      </w:tr>
    </w:tbl>
    <w:p>
      <w:pPr>
        <w:spacing w:after="200" w:before="60"/>
        <w:jc w:val="center"/>
      </w:pPr>
      <w:r>
        <w:rPr>
          <w:i/>
          <w:iCs/>
          <w:sz w:val="17"/>
          <w:szCs w:val="17"/>
        </w:rPr>
        <w:t xml:space="preserve">Fuente: Elaboración propia.</w:t>
      </w:r>
    </w:p>
    <w:p>
      <w:pPr>
        <w:pStyle w:val="Heading2"/>
      </w:pPr>
      <w:r>
        <w:t xml:space="preserve">3.4 Capacidades de datos y cómputo: análisis detallado</w:t>
      </w:r>
    </w:p>
    <w:p>
      <w:pPr>
        <w:spacing w:after="140" w:line="300"/>
        <w:jc w:val="both"/>
      </w:pPr>
      <w:r>
        <w:t xml:space="preserve">El componente de datos merece un tratamiento más extenso, porque en él se observa el mayor potencial de derrame hacia lo productivo y lo académico.</w:t>
      </w:r>
    </w:p>
    <w:p>
      <w:pPr>
        <w:pStyle w:val="Heading3"/>
      </w:pPr>
      <w:r>
        <w:t xml:space="preserve">3.4.1 Origen de los datos: un vacío por cerrar</w:t>
      </w:r>
    </w:p>
    <w:p>
      <w:pPr>
        <w:spacing w:after="140" w:line="300"/>
        <w:jc w:val="both"/>
      </w:pPr>
      <w:r>
        <w:t xml:space="preserve">Antes de proyectar aplicaciones es necesario precisar qué datos alimentarán al centro de procesamiento. Las fuentes revisadas describen la capacidad de cómputo y el propósito de observación de la Tierra del SNSat, pero no especifican de forma verificable el tipo de sensores (óptico, radar u otros), la resolución, la frecuencia de revisita ni el calendario de entrada en operación de la constelación. Este dato condiciona qué aplicaciones son viables y cuáles dependen de imágenes de terceros. Por ello se identifica como prioridad de la fase de entrevistas (H2).</w:t>
      </w:r>
    </w:p>
    <w:p>
      <w:pPr>
        <w:pStyle w:val="Heading3"/>
      </w:pPr>
      <w:r>
        <w:t xml:space="preserve">3.4.2 Aplicaciones sectoriales potenciales</w:t>
      </w:r>
    </w:p>
    <w:p>
      <w:pPr>
        <w:spacing w:after="140" w:line="300"/>
        <w:jc w:val="both"/>
      </w:pPr>
      <w:r>
        <w:t xml:space="preserve">Procesar grandes volúmenes de imágenes geoespaciales abre aplicaciones en múltiples sectores. La Tabla 10 mapea las más relevantes para Chile, considerando su geografía y las demandas conocidas de información territorial, e incorpora una columna que reconoce que la disponibilidad del dato desde el CEN aún no está verificada.</w:t>
      </w:r>
    </w:p>
    <w:p>
      <w:pPr>
        <w:pStyle w:val="Caption"/>
        <w:keepNext/>
        <w:spacing w:after="80" w:before="200"/>
        <w:jc w:val="center"/>
      </w:pPr>
      <w:r>
        <w:rPr>
          <w:b/>
          <w:bCs/>
        </w:rPr>
        <w:t xml:space="preserve">Tabla </w:t>
      </w:r>
      <w:fldSimple w:instr="SEQ Tabla \* ARABIC">
        <w:r>
          <w:t xml:space="preserve">10</w:t>
        </w:r>
      </w:fldSimple>
      <w:r>
        <w:rPr>
          <w:b/>
          <w:bCs/>
        </w:rPr>
        <w:t xml:space="preserve">. Aplicaciones sectoriales potenciales del procesamiento de datos geoespaciales del CEN</w:t>
      </w:r>
    </w:p>
    <w:tbl>
      <w:tblPr>
        <w:tblW w:type="dxa" w:w="9000"/>
        <w:tblBorders>
          <w:top w:val="single" w:color="A6A6A6" w:sz="4"/>
          <w:left w:val="single" w:color="A6A6A6" w:sz="4"/>
          <w:bottom w:val="single" w:color="A6A6A6" w:sz="4"/>
          <w:right w:val="single" w:color="A6A6A6" w:sz="4"/>
          <w:insideH w:val="single" w:color="A6A6A6" w:sz="4"/>
          <w:insideV w:val="single" w:color="A6A6A6" w:sz="4"/>
        </w:tblBorders>
      </w:tblPr>
      <w:tblGrid>
        <w:gridCol w:w="1170"/>
        <w:gridCol w:w="2250"/>
        <w:gridCol w:w="2250"/>
        <w:gridCol w:w="1800"/>
        <w:gridCol w:w="1530"/>
      </w:tblGrid>
      <w:tr>
        <w:trPr>
          <w:cantSplit/>
          <w:tblHeader/>
        </w:trPr>
        <w:tc>
          <w:tcPr>
            <w:tcW w:type="dxa" w:w="117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Sector</w:t>
            </w:r>
          </w:p>
        </w:tc>
        <w:tc>
          <w:tcPr>
            <w:tcW w:type="dxa" w:w="225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Aplicación concreta</w:t>
            </w:r>
          </w:p>
        </w:tc>
        <w:tc>
          <w:tcPr>
            <w:tcW w:type="dxa" w:w="225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Tipo de dato requerido</w:t>
            </w:r>
          </w:p>
        </w:tc>
        <w:tc>
          <w:tcPr>
            <w:tcW w:type="dxa" w:w="180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Beneficiario directo</w:t>
            </w:r>
          </w:p>
        </w:tc>
        <w:tc>
          <w:tcPr>
            <w:tcW w:type="dxa" w:w="153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Dato disponible desde el CEN</w:t>
            </w:r>
          </w:p>
        </w:tc>
      </w:tr>
      <w:tr>
        <w:trPr>
          <w:cantSplit/>
        </w:trPr>
        <w:tc>
          <w:tcPr>
            <w:tcW w:type="dxa" w:w="1170"/>
            <w:tcMar>
              <w:top w:type="dxa" w:w="50"/>
              <w:left w:type="dxa" w:w="80"/>
              <w:bottom w:type="dxa" w:w="50"/>
              <w:right w:type="dxa" w:w="80"/>
            </w:tcMar>
            <w:vAlign w:val="center"/>
          </w:tcPr>
          <w:p>
            <w:pPr>
              <w:keepNext w:val="false"/>
              <w:spacing w:after="20" w:line="240"/>
              <w:jc w:val="left"/>
            </w:pPr>
            <w:r>
              <w:rPr>
                <w:sz w:val="17"/>
                <w:szCs w:val="17"/>
              </w:rPr>
              <w:t xml:space="preserve">Agricultura</w:t>
            </w:r>
          </w:p>
        </w:tc>
        <w:tc>
          <w:tcPr>
            <w:tcW w:type="dxa" w:w="2250"/>
            <w:tcMar>
              <w:top w:type="dxa" w:w="50"/>
              <w:left w:type="dxa" w:w="80"/>
              <w:bottom w:type="dxa" w:w="50"/>
              <w:right w:type="dxa" w:w="80"/>
            </w:tcMar>
            <w:vAlign w:val="center"/>
          </w:tcPr>
          <w:p>
            <w:pPr>
              <w:keepNext w:val="false"/>
              <w:spacing w:after="20" w:line="240"/>
              <w:jc w:val="left"/>
            </w:pPr>
            <w:r>
              <w:rPr>
                <w:sz w:val="17"/>
                <w:szCs w:val="17"/>
              </w:rPr>
              <w:t xml:space="preserve">Agricultura de precisión, monitoreo de cultivos y sequía.</w:t>
            </w:r>
          </w:p>
        </w:tc>
        <w:tc>
          <w:tcPr>
            <w:tcW w:type="dxa" w:w="2250"/>
            <w:tcMar>
              <w:top w:type="dxa" w:w="50"/>
              <w:left w:type="dxa" w:w="80"/>
              <w:bottom w:type="dxa" w:w="50"/>
              <w:right w:type="dxa" w:w="80"/>
            </w:tcMar>
            <w:vAlign w:val="center"/>
          </w:tcPr>
          <w:p>
            <w:pPr>
              <w:keepNext w:val="false"/>
              <w:spacing w:after="20" w:line="240"/>
              <w:jc w:val="left"/>
            </w:pPr>
            <w:r>
              <w:rPr>
                <w:sz w:val="17"/>
                <w:szCs w:val="17"/>
              </w:rPr>
              <w:t xml:space="preserve">Imágenes multiespectrales de alta resolución temporal.</w:t>
            </w:r>
          </w:p>
        </w:tc>
        <w:tc>
          <w:tcPr>
            <w:tcW w:type="dxa" w:w="1800"/>
            <w:tcMar>
              <w:top w:type="dxa" w:w="50"/>
              <w:left w:type="dxa" w:w="80"/>
              <w:bottom w:type="dxa" w:w="50"/>
              <w:right w:type="dxa" w:w="80"/>
            </w:tcMar>
            <w:vAlign w:val="center"/>
          </w:tcPr>
          <w:p>
            <w:pPr>
              <w:keepNext w:val="false"/>
              <w:spacing w:after="20" w:line="240"/>
              <w:jc w:val="left"/>
            </w:pPr>
            <w:r>
              <w:rPr>
                <w:sz w:val="17"/>
                <w:szCs w:val="17"/>
              </w:rPr>
              <w:t xml:space="preserve">Agricultores, INDAP, SAG.</w:t>
            </w:r>
          </w:p>
        </w:tc>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Por verificar</w:t>
            </w:r>
          </w:p>
        </w:tc>
      </w:tr>
      <w:tr>
        <w:trPr>
          <w:cantSplit/>
        </w:trPr>
        <w:tc>
          <w:tcPr>
            <w:tcW w:type="dxa" w:w="1170"/>
            <w:tcMar>
              <w:top w:type="dxa" w:w="50"/>
              <w:left w:type="dxa" w:w="80"/>
              <w:bottom w:type="dxa" w:w="50"/>
              <w:right w:type="dxa" w:w="80"/>
            </w:tcMar>
            <w:vAlign w:val="center"/>
          </w:tcPr>
          <w:p>
            <w:pPr>
              <w:keepNext w:val="false"/>
              <w:spacing w:after="20" w:line="240"/>
              <w:jc w:val="left"/>
            </w:pPr>
            <w:r>
              <w:rPr>
                <w:sz w:val="17"/>
                <w:szCs w:val="17"/>
              </w:rPr>
              <w:t xml:space="preserve">Minería</w:t>
            </w:r>
          </w:p>
        </w:tc>
        <w:tc>
          <w:tcPr>
            <w:tcW w:type="dxa" w:w="2250"/>
            <w:tcMar>
              <w:top w:type="dxa" w:w="50"/>
              <w:left w:type="dxa" w:w="80"/>
              <w:bottom w:type="dxa" w:w="50"/>
              <w:right w:type="dxa" w:w="80"/>
            </w:tcMar>
            <w:vAlign w:val="center"/>
          </w:tcPr>
          <w:p>
            <w:pPr>
              <w:keepNext w:val="false"/>
              <w:spacing w:after="20" w:line="240"/>
              <w:jc w:val="left"/>
            </w:pPr>
            <w:r>
              <w:rPr>
                <w:sz w:val="17"/>
                <w:szCs w:val="17"/>
              </w:rPr>
              <w:t xml:space="preserve">Monitoreo de faenas, control de relaves, planificación territorial.</w:t>
            </w:r>
          </w:p>
        </w:tc>
        <w:tc>
          <w:tcPr>
            <w:tcW w:type="dxa" w:w="2250"/>
            <w:tcMar>
              <w:top w:type="dxa" w:w="50"/>
              <w:left w:type="dxa" w:w="80"/>
              <w:bottom w:type="dxa" w:w="50"/>
              <w:right w:type="dxa" w:w="80"/>
            </w:tcMar>
            <w:vAlign w:val="center"/>
          </w:tcPr>
          <w:p>
            <w:pPr>
              <w:keepNext w:val="false"/>
              <w:spacing w:after="20" w:line="240"/>
              <w:jc w:val="left"/>
            </w:pPr>
            <w:r>
              <w:rPr>
                <w:sz w:val="17"/>
                <w:szCs w:val="17"/>
              </w:rPr>
              <w:t xml:space="preserve">Imágenes ópticas y radar de alta resolución espacial.</w:t>
            </w:r>
          </w:p>
        </w:tc>
        <w:tc>
          <w:tcPr>
            <w:tcW w:type="dxa" w:w="1800"/>
            <w:tcMar>
              <w:top w:type="dxa" w:w="50"/>
              <w:left w:type="dxa" w:w="80"/>
              <w:bottom w:type="dxa" w:w="50"/>
              <w:right w:type="dxa" w:w="80"/>
            </w:tcMar>
            <w:vAlign w:val="center"/>
          </w:tcPr>
          <w:p>
            <w:pPr>
              <w:keepNext w:val="false"/>
              <w:spacing w:after="20" w:line="240"/>
              <w:jc w:val="left"/>
            </w:pPr>
            <w:r>
              <w:rPr>
                <w:sz w:val="17"/>
                <w:szCs w:val="17"/>
              </w:rPr>
              <w:t xml:space="preserve">Empresas mineras, Sernageomin.</w:t>
            </w:r>
          </w:p>
        </w:tc>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Por verificar</w:t>
            </w:r>
          </w:p>
        </w:tc>
      </w:tr>
      <w:tr>
        <w:trPr>
          <w:cantSplit/>
        </w:trPr>
        <w:tc>
          <w:tcPr>
            <w:tcW w:type="dxa" w:w="1170"/>
            <w:tcMar>
              <w:top w:type="dxa" w:w="50"/>
              <w:left w:type="dxa" w:w="80"/>
              <w:bottom w:type="dxa" w:w="50"/>
              <w:right w:type="dxa" w:w="80"/>
            </w:tcMar>
            <w:vAlign w:val="center"/>
          </w:tcPr>
          <w:p>
            <w:pPr>
              <w:keepNext w:val="false"/>
              <w:spacing w:after="20" w:line="240"/>
              <w:jc w:val="left"/>
            </w:pPr>
            <w:r>
              <w:rPr>
                <w:sz w:val="17"/>
                <w:szCs w:val="17"/>
              </w:rPr>
              <w:t xml:space="preserve">Gestión hídrica</w:t>
            </w:r>
          </w:p>
        </w:tc>
        <w:tc>
          <w:tcPr>
            <w:tcW w:type="dxa" w:w="2250"/>
            <w:tcMar>
              <w:top w:type="dxa" w:w="50"/>
              <w:left w:type="dxa" w:w="80"/>
              <w:bottom w:type="dxa" w:w="50"/>
              <w:right w:type="dxa" w:w="80"/>
            </w:tcMar>
            <w:vAlign w:val="center"/>
          </w:tcPr>
          <w:p>
            <w:pPr>
              <w:keepNext w:val="false"/>
              <w:spacing w:after="20" w:line="240"/>
              <w:jc w:val="left"/>
            </w:pPr>
            <w:r>
              <w:rPr>
                <w:sz w:val="17"/>
                <w:szCs w:val="17"/>
              </w:rPr>
              <w:t xml:space="preserve">Monitoreo de glaciares, cuencas y recursos hídricos.</w:t>
            </w:r>
          </w:p>
        </w:tc>
        <w:tc>
          <w:tcPr>
            <w:tcW w:type="dxa" w:w="2250"/>
            <w:tcMar>
              <w:top w:type="dxa" w:w="50"/>
              <w:left w:type="dxa" w:w="80"/>
              <w:bottom w:type="dxa" w:w="50"/>
              <w:right w:type="dxa" w:w="80"/>
            </w:tcMar>
            <w:vAlign w:val="center"/>
          </w:tcPr>
          <w:p>
            <w:pPr>
              <w:keepNext w:val="false"/>
              <w:spacing w:after="20" w:line="240"/>
              <w:jc w:val="left"/>
            </w:pPr>
            <w:r>
              <w:rPr>
                <w:sz w:val="17"/>
                <w:szCs w:val="17"/>
              </w:rPr>
              <w:t xml:space="preserve">Series temporales multiespectrales; modelos de elevación.</w:t>
            </w:r>
          </w:p>
        </w:tc>
        <w:tc>
          <w:tcPr>
            <w:tcW w:type="dxa" w:w="1800"/>
            <w:tcMar>
              <w:top w:type="dxa" w:w="50"/>
              <w:left w:type="dxa" w:w="80"/>
              <w:bottom w:type="dxa" w:w="50"/>
              <w:right w:type="dxa" w:w="80"/>
            </w:tcMar>
            <w:vAlign w:val="center"/>
          </w:tcPr>
          <w:p>
            <w:pPr>
              <w:keepNext w:val="false"/>
              <w:spacing w:after="20" w:line="240"/>
              <w:jc w:val="left"/>
            </w:pPr>
            <w:r>
              <w:rPr>
                <w:sz w:val="17"/>
                <w:szCs w:val="17"/>
              </w:rPr>
              <w:t xml:space="preserve">DGA, MOP, comunidades.</w:t>
            </w:r>
          </w:p>
        </w:tc>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Por verificar</w:t>
            </w:r>
          </w:p>
        </w:tc>
      </w:tr>
      <w:tr>
        <w:trPr>
          <w:cantSplit/>
        </w:trPr>
        <w:tc>
          <w:tcPr>
            <w:tcW w:type="dxa" w:w="1170"/>
            <w:tcMar>
              <w:top w:type="dxa" w:w="50"/>
              <w:left w:type="dxa" w:w="80"/>
              <w:bottom w:type="dxa" w:w="50"/>
              <w:right w:type="dxa" w:w="80"/>
            </w:tcMar>
            <w:vAlign w:val="center"/>
          </w:tcPr>
          <w:p>
            <w:pPr>
              <w:keepNext w:val="false"/>
              <w:spacing w:after="20" w:line="240"/>
              <w:jc w:val="left"/>
            </w:pPr>
            <w:r>
              <w:rPr>
                <w:sz w:val="17"/>
                <w:szCs w:val="17"/>
              </w:rPr>
              <w:t xml:space="preserve">Desastres naturales</w:t>
            </w:r>
          </w:p>
        </w:tc>
        <w:tc>
          <w:tcPr>
            <w:tcW w:type="dxa" w:w="2250"/>
            <w:tcMar>
              <w:top w:type="dxa" w:w="50"/>
              <w:left w:type="dxa" w:w="80"/>
              <w:bottom w:type="dxa" w:w="50"/>
              <w:right w:type="dxa" w:w="80"/>
            </w:tcMar>
            <w:vAlign w:val="center"/>
          </w:tcPr>
          <w:p>
            <w:pPr>
              <w:keepNext w:val="false"/>
              <w:spacing w:after="20" w:line="240"/>
              <w:jc w:val="left"/>
            </w:pPr>
            <w:r>
              <w:rPr>
                <w:sz w:val="17"/>
                <w:szCs w:val="17"/>
              </w:rPr>
              <w:t xml:space="preserve">Prevención y respuesta ante incendios, inundaciones y terremotos.</w:t>
            </w:r>
          </w:p>
        </w:tc>
        <w:tc>
          <w:tcPr>
            <w:tcW w:type="dxa" w:w="2250"/>
            <w:tcMar>
              <w:top w:type="dxa" w:w="50"/>
              <w:left w:type="dxa" w:w="80"/>
              <w:bottom w:type="dxa" w:w="50"/>
              <w:right w:type="dxa" w:w="80"/>
            </w:tcMar>
            <w:vAlign w:val="center"/>
          </w:tcPr>
          <w:p>
            <w:pPr>
              <w:keepNext w:val="false"/>
              <w:spacing w:after="20" w:line="240"/>
              <w:jc w:val="left"/>
            </w:pPr>
            <w:r>
              <w:rPr>
                <w:sz w:val="17"/>
                <w:szCs w:val="17"/>
              </w:rPr>
              <w:t xml:space="preserve">Imágenes SAR y ópticas de revisita rápida.</w:t>
            </w:r>
          </w:p>
        </w:tc>
        <w:tc>
          <w:tcPr>
            <w:tcW w:type="dxa" w:w="1800"/>
            <w:tcMar>
              <w:top w:type="dxa" w:w="50"/>
              <w:left w:type="dxa" w:w="80"/>
              <w:bottom w:type="dxa" w:w="50"/>
              <w:right w:type="dxa" w:w="80"/>
            </w:tcMar>
            <w:vAlign w:val="center"/>
          </w:tcPr>
          <w:p>
            <w:pPr>
              <w:keepNext w:val="false"/>
              <w:spacing w:after="20" w:line="240"/>
              <w:jc w:val="left"/>
            </w:pPr>
            <w:r>
              <w:rPr>
                <w:sz w:val="17"/>
                <w:szCs w:val="17"/>
              </w:rPr>
              <w:t xml:space="preserve">SENAPRED, Bomberos, FF.AA.</w:t>
            </w:r>
          </w:p>
        </w:tc>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Por verificar</w:t>
            </w:r>
          </w:p>
        </w:tc>
      </w:tr>
      <w:tr>
        <w:trPr>
          <w:cantSplit/>
        </w:trPr>
        <w:tc>
          <w:tcPr>
            <w:tcW w:type="dxa" w:w="1170"/>
            <w:tcMar>
              <w:top w:type="dxa" w:w="50"/>
              <w:left w:type="dxa" w:w="80"/>
              <w:bottom w:type="dxa" w:w="50"/>
              <w:right w:type="dxa" w:w="80"/>
            </w:tcMar>
            <w:vAlign w:val="center"/>
          </w:tcPr>
          <w:p>
            <w:pPr>
              <w:keepNext w:val="false"/>
              <w:spacing w:after="20" w:line="240"/>
              <w:jc w:val="left"/>
            </w:pPr>
            <w:r>
              <w:rPr>
                <w:sz w:val="17"/>
                <w:szCs w:val="17"/>
              </w:rPr>
              <w:t xml:space="preserve">Ordenamiento territorial</w:t>
            </w:r>
          </w:p>
        </w:tc>
        <w:tc>
          <w:tcPr>
            <w:tcW w:type="dxa" w:w="2250"/>
            <w:tcMar>
              <w:top w:type="dxa" w:w="50"/>
              <w:left w:type="dxa" w:w="80"/>
              <w:bottom w:type="dxa" w:w="50"/>
              <w:right w:type="dxa" w:w="80"/>
            </w:tcMar>
            <w:vAlign w:val="center"/>
          </w:tcPr>
          <w:p>
            <w:pPr>
              <w:keepNext w:val="false"/>
              <w:spacing w:after="20" w:line="240"/>
              <w:jc w:val="left"/>
            </w:pPr>
            <w:r>
              <w:rPr>
                <w:sz w:val="17"/>
                <w:szCs w:val="17"/>
              </w:rPr>
              <w:t xml:space="preserve">Planificación urbana, control de expansión, uso de suelo.</w:t>
            </w:r>
          </w:p>
        </w:tc>
        <w:tc>
          <w:tcPr>
            <w:tcW w:type="dxa" w:w="2250"/>
            <w:tcMar>
              <w:top w:type="dxa" w:w="50"/>
              <w:left w:type="dxa" w:w="80"/>
              <w:bottom w:type="dxa" w:w="50"/>
              <w:right w:type="dxa" w:w="80"/>
            </w:tcMar>
            <w:vAlign w:val="center"/>
          </w:tcPr>
          <w:p>
            <w:pPr>
              <w:keepNext w:val="false"/>
              <w:spacing w:after="20" w:line="240"/>
              <w:jc w:val="left"/>
            </w:pPr>
            <w:r>
              <w:rPr>
                <w:sz w:val="17"/>
                <w:szCs w:val="17"/>
              </w:rPr>
              <w:t xml:space="preserve">Imágenes de alta resolución espacial, series históricas.</w:t>
            </w:r>
          </w:p>
        </w:tc>
        <w:tc>
          <w:tcPr>
            <w:tcW w:type="dxa" w:w="1800"/>
            <w:tcMar>
              <w:top w:type="dxa" w:w="50"/>
              <w:left w:type="dxa" w:w="80"/>
              <w:bottom w:type="dxa" w:w="50"/>
              <w:right w:type="dxa" w:w="80"/>
            </w:tcMar>
            <w:vAlign w:val="center"/>
          </w:tcPr>
          <w:p>
            <w:pPr>
              <w:keepNext w:val="false"/>
              <w:spacing w:after="20" w:line="240"/>
              <w:jc w:val="left"/>
            </w:pPr>
            <w:r>
              <w:rPr>
                <w:sz w:val="17"/>
                <w:szCs w:val="17"/>
              </w:rPr>
              <w:t xml:space="preserve">MINVU, gobiernos regionales, municipios.</w:t>
            </w:r>
          </w:p>
        </w:tc>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Por verificar</w:t>
            </w:r>
          </w:p>
        </w:tc>
      </w:tr>
      <w:tr>
        <w:trPr>
          <w:cantSplit/>
        </w:trPr>
        <w:tc>
          <w:tcPr>
            <w:tcW w:type="dxa" w:w="1170"/>
            <w:tcMar>
              <w:top w:type="dxa" w:w="50"/>
              <w:left w:type="dxa" w:w="80"/>
              <w:bottom w:type="dxa" w:w="50"/>
              <w:right w:type="dxa" w:w="80"/>
            </w:tcMar>
            <w:vAlign w:val="center"/>
          </w:tcPr>
          <w:p>
            <w:pPr>
              <w:keepNext w:val="false"/>
              <w:spacing w:after="20" w:line="240"/>
              <w:jc w:val="left"/>
            </w:pPr>
            <w:r>
              <w:rPr>
                <w:sz w:val="17"/>
                <w:szCs w:val="17"/>
              </w:rPr>
              <w:t xml:space="preserve">Medio ambiente</w:t>
            </w:r>
          </w:p>
        </w:tc>
        <w:tc>
          <w:tcPr>
            <w:tcW w:type="dxa" w:w="2250"/>
            <w:tcMar>
              <w:top w:type="dxa" w:w="50"/>
              <w:left w:type="dxa" w:w="80"/>
              <w:bottom w:type="dxa" w:w="50"/>
              <w:right w:type="dxa" w:w="80"/>
            </w:tcMar>
            <w:vAlign w:val="center"/>
          </w:tcPr>
          <w:p>
            <w:pPr>
              <w:keepNext w:val="false"/>
              <w:spacing w:after="20" w:line="240"/>
              <w:jc w:val="left"/>
            </w:pPr>
            <w:r>
              <w:rPr>
                <w:sz w:val="17"/>
                <w:szCs w:val="17"/>
              </w:rPr>
              <w:t xml:space="preserve">Monitoreo de deforestación, contaminación y biodiversidad.</w:t>
            </w:r>
          </w:p>
        </w:tc>
        <w:tc>
          <w:tcPr>
            <w:tcW w:type="dxa" w:w="2250"/>
            <w:tcMar>
              <w:top w:type="dxa" w:w="50"/>
              <w:left w:type="dxa" w:w="80"/>
              <w:bottom w:type="dxa" w:w="50"/>
              <w:right w:type="dxa" w:w="80"/>
            </w:tcMar>
            <w:vAlign w:val="center"/>
          </w:tcPr>
          <w:p>
            <w:pPr>
              <w:keepNext w:val="false"/>
              <w:spacing w:after="20" w:line="240"/>
              <w:jc w:val="left"/>
            </w:pPr>
            <w:r>
              <w:rPr>
                <w:sz w:val="17"/>
                <w:szCs w:val="17"/>
              </w:rPr>
              <w:t xml:space="preserve">Índices de vegetación, imágenes térmicas.</w:t>
            </w:r>
          </w:p>
        </w:tc>
        <w:tc>
          <w:tcPr>
            <w:tcW w:type="dxa" w:w="1800"/>
            <w:tcMar>
              <w:top w:type="dxa" w:w="50"/>
              <w:left w:type="dxa" w:w="80"/>
              <w:bottom w:type="dxa" w:w="50"/>
              <w:right w:type="dxa" w:w="80"/>
            </w:tcMar>
            <w:vAlign w:val="center"/>
          </w:tcPr>
          <w:p>
            <w:pPr>
              <w:keepNext w:val="false"/>
              <w:spacing w:after="20" w:line="240"/>
              <w:jc w:val="left"/>
            </w:pPr>
            <w:r>
              <w:rPr>
                <w:sz w:val="17"/>
                <w:szCs w:val="17"/>
              </w:rPr>
              <w:t xml:space="preserve">MMA, CONAF, centros de investigación.</w:t>
            </w:r>
          </w:p>
        </w:tc>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Por verificar</w:t>
            </w:r>
          </w:p>
        </w:tc>
      </w:tr>
    </w:tbl>
    <w:p>
      <w:pPr>
        <w:spacing w:after="200" w:before="60"/>
        <w:jc w:val="center"/>
      </w:pPr>
      <w:r>
        <w:rPr>
          <w:i/>
          <w:iCs/>
          <w:sz w:val="17"/>
          <w:szCs w:val="17"/>
        </w:rPr>
        <w:t xml:space="preserve">Fuente: Elaboración propia.</w:t>
      </w:r>
    </w:p>
    <w:p>
      <w:pPr>
        <w:spacing w:after="140" w:line="300"/>
        <w:jc w:val="both"/>
      </w:pPr>
      <w:r>
        <w:t xml:space="preserve">Las aplicaciones se identificaron a partir de la literatura sobre observación de la Tierra y de las demandas sectoriales conocidas en Chile; no constituyen una demanda verificada con usuarios. Varias de ellas ya se realizan hoy con datos abiertos (por ejemplo, Sentinel y Landsat), por lo que el valor diferencial del CEN dependería de atributos como la resolución, la frecuencia de revisita, el tasking propio y la soberanía del dato, aún no verificados.</w:t>
      </w:r>
    </w:p>
    <w:p>
      <w:pPr>
        <w:pStyle w:val="Heading3"/>
      </w:pPr>
      <w:r>
        <w:t xml:space="preserve">3.4.3 La brecha entre capacidad instalada y uso efectivo</w:t>
      </w:r>
    </w:p>
    <w:p>
      <w:pPr>
        <w:spacing w:after="140" w:line="300"/>
        <w:jc w:val="both"/>
      </w:pPr>
      <w:r>
        <w:t xml:space="preserve">Tener capacidad de cómputo no significa aprovecharla. La literatura de sistemas de innovación sostiene que el valor de un activo tecnológico se realiza en la interacción con usuarios que formulen demandas y absorban resultados (Freeman, 1987). Hoy el HPC del CEN opera dentro de la administración militar y, según las fuentes revisadas, no existe una vía formal de acceso para universidades, pymes ni organismos sectoriales. Esa brecha se plantea como la </w:t>
      </w:r>
      <w:r>
        <w:rPr>
          <w:b/>
          <w:bCs/>
        </w:rPr>
        <w:t xml:space="preserve">hipótesis H1</w:t>
      </w:r>
      <w:r>
        <w:t xml:space="preserve">: podría constituir la mayor oportunidad desaprovechada, pero su magnitud depende de verificar la capacidad real del equipamiento, el origen de los datos a procesar y la demanda efectiva de los potenciales usuarios, aspectos aún no levantados (confianza baja). Debe tenerse presente, asimismo, que la ausencia de una vía formal de acceso civil surge de las fuentes revisadas y no equivale a una prohibición acreditada.</w:t>
      </w:r>
    </w:p>
    <w:p>
      <w:pPr>
        <w:pStyle w:val="Heading2"/>
      </w:pPr>
      <w:r>
        <w:t xml:space="preserve">3.5 Modelo de negocio institucional (Business Model Canvas)</w:t>
      </w:r>
    </w:p>
    <w:p>
      <w:pPr>
        <w:spacing w:after="140" w:line="300"/>
        <w:jc w:val="both"/>
      </w:pPr>
      <w:r>
        <w:t xml:space="preserve">Para integrar lo anterior se elaboró un Business Model Canvas institucional del CEN. La Tabla 11 muestra los nueve bloques con un indicador de fortaleza relativa y su nivel de confianza, valorados de forma coherente con el análisis de madurez de la sección 3.6: un bloque solo recibe valoración alta si las capacidades que lo sustentan tienen respaldo suficiente.</w:t>
      </w:r>
    </w:p>
    <w:p>
      <w:pPr>
        <w:pStyle w:val="Caption"/>
        <w:keepNext/>
        <w:spacing w:after="80" w:before="200"/>
        <w:jc w:val="center"/>
      </w:pPr>
      <w:r>
        <w:rPr>
          <w:b/>
          <w:bCs/>
        </w:rPr>
        <w:t xml:space="preserve">Tabla </w:t>
      </w:r>
      <w:fldSimple w:instr="SEQ Tabla \* ARABIC">
        <w:r>
          <w:t xml:space="preserve">11</w:t>
        </w:r>
      </w:fldSimple>
      <w:r>
        <w:rPr>
          <w:b/>
          <w:bCs/>
        </w:rPr>
        <w:t xml:space="preserve">. Business Model Canvas institucional del CEN con indicador de fortaleza relativa y confianza</w:t>
      </w:r>
    </w:p>
    <w:tbl>
      <w:tblPr>
        <w:tblW w:type="dxa" w:w="9000"/>
        <w:tblBorders>
          <w:top w:val="single" w:color="A6A6A6" w:sz="4"/>
          <w:left w:val="single" w:color="A6A6A6" w:sz="4"/>
          <w:bottom w:val="single" w:color="A6A6A6" w:sz="4"/>
          <w:right w:val="single" w:color="A6A6A6" w:sz="4"/>
          <w:insideH w:val="single" w:color="A6A6A6" w:sz="4"/>
          <w:insideV w:val="single" w:color="A6A6A6" w:sz="4"/>
        </w:tblBorders>
      </w:tblPr>
      <w:tblGrid>
        <w:gridCol w:w="1530"/>
        <w:gridCol w:w="3780"/>
        <w:gridCol w:w="2520"/>
        <w:gridCol w:w="1170"/>
      </w:tblGrid>
      <w:tr>
        <w:trPr>
          <w:cantSplit/>
          <w:tblHeader/>
        </w:trPr>
        <w:tc>
          <w:tcPr>
            <w:tcW w:type="dxa" w:w="153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Bloque</w:t>
            </w:r>
          </w:p>
        </w:tc>
        <w:tc>
          <w:tcPr>
            <w:tcW w:type="dxa" w:w="378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Contenido</w:t>
            </w:r>
          </w:p>
        </w:tc>
        <w:tc>
          <w:tcPr>
            <w:tcW w:type="dxa" w:w="252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Fortaleza</w:t>
            </w:r>
          </w:p>
        </w:tc>
        <w:tc>
          <w:tcPr>
            <w:tcW w:type="dxa" w:w="117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Conf.</w:t>
            </w:r>
          </w:p>
        </w:tc>
      </w:tr>
      <w:tr>
        <w:trPr>
          <w:cantSplit/>
        </w:trPr>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Propuesta de valor</w:t>
            </w:r>
          </w:p>
        </w:tc>
        <w:tc>
          <w:tcPr>
            <w:tcW w:type="dxa" w:w="3780"/>
            <w:tcMar>
              <w:top w:type="dxa" w:w="50"/>
              <w:left w:type="dxa" w:w="80"/>
              <w:bottom w:type="dxa" w:w="50"/>
              <w:right w:type="dxa" w:w="80"/>
            </w:tcMar>
            <w:vAlign w:val="center"/>
          </w:tcPr>
          <w:p>
            <w:pPr>
              <w:keepNext w:val="false"/>
              <w:spacing w:after="20" w:line="240"/>
              <w:jc w:val="left"/>
            </w:pPr>
            <w:r>
              <w:rPr>
                <w:sz w:val="17"/>
                <w:szCs w:val="17"/>
              </w:rPr>
              <w:t xml:space="preserve">Infraestructura soberana para ensamblar, probar y operar satélites y procesar datos geoespaciales al servicio del desarrollo y la defensa.</w:t>
            </w:r>
          </w:p>
        </w:tc>
        <w:tc>
          <w:tcPr>
            <w:tcW w:type="dxa" w:w="2520"/>
            <w:tcMar>
              <w:top w:type="dxa" w:w="50"/>
              <w:left w:type="dxa" w:w="80"/>
              <w:bottom w:type="dxa" w:w="50"/>
              <w:right w:type="dxa" w:w="80"/>
            </w:tcMar>
            <w:vAlign w:val="center"/>
          </w:tcPr>
          <w:p>
            <w:pPr>
              <w:keepNext w:val="false"/>
              <w:spacing w:after="20" w:line="240"/>
              <w:jc w:val="left"/>
            </w:pPr>
            <w:r>
              <w:rPr>
                <w:sz w:val="17"/>
                <w:szCs w:val="17"/>
              </w:rPr>
              <w:t xml:space="preserve">★★★☆☆ Media: formulación clara, pero respaldada en capacidades declaradas y de madurez 1.</w:t>
            </w:r>
          </w:p>
        </w:tc>
        <w:tc>
          <w:tcPr>
            <w:tcW w:type="dxa" w:w="1170"/>
            <w:tcMar>
              <w:top w:type="dxa" w:w="50"/>
              <w:left w:type="dxa" w:w="80"/>
              <w:bottom w:type="dxa" w:w="50"/>
              <w:right w:type="dxa" w:w="80"/>
            </w:tcMar>
            <w:vAlign w:val="center"/>
          </w:tcPr>
          <w:p>
            <w:pPr>
              <w:keepNext w:val="false"/>
              <w:spacing w:after="20" w:line="240"/>
              <w:jc w:val="center"/>
            </w:pPr>
            <w:r>
              <w:rPr>
                <w:sz w:val="17"/>
                <w:szCs w:val="17"/>
              </w:rPr>
              <w:t xml:space="preserve">Media</w:t>
            </w:r>
          </w:p>
        </w:tc>
      </w:tr>
      <w:tr>
        <w:trPr>
          <w:cantSplit/>
        </w:trPr>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Segmentos de usuarios</w:t>
            </w:r>
          </w:p>
        </w:tc>
        <w:tc>
          <w:tcPr>
            <w:tcW w:type="dxa" w:w="3780"/>
            <w:tcMar>
              <w:top w:type="dxa" w:w="50"/>
              <w:left w:type="dxa" w:w="80"/>
              <w:bottom w:type="dxa" w:w="50"/>
              <w:right w:type="dxa" w:w="80"/>
            </w:tcMar>
            <w:vAlign w:val="center"/>
          </w:tcPr>
          <w:p>
            <w:pPr>
              <w:keepNext w:val="false"/>
              <w:spacing w:after="20" w:line="240"/>
              <w:jc w:val="left"/>
            </w:pPr>
            <w:r>
              <w:rPr>
                <w:sz w:val="17"/>
                <w:szCs w:val="17"/>
              </w:rPr>
              <w:t xml:space="preserve">FACh y Defensa, organismos públicos, academia y centros de investigación, sector privado (potencial, aún no activo).</w:t>
            </w:r>
          </w:p>
        </w:tc>
        <w:tc>
          <w:tcPr>
            <w:tcW w:type="dxa" w:w="2520"/>
            <w:tcMar>
              <w:top w:type="dxa" w:w="50"/>
              <w:left w:type="dxa" w:w="80"/>
              <w:bottom w:type="dxa" w:w="50"/>
              <w:right w:type="dxa" w:w="80"/>
            </w:tcMar>
            <w:vAlign w:val="center"/>
          </w:tcPr>
          <w:p>
            <w:pPr>
              <w:keepNext w:val="false"/>
              <w:spacing w:after="20" w:line="240"/>
              <w:jc w:val="left"/>
            </w:pPr>
            <w:r>
              <w:rPr>
                <w:sz w:val="17"/>
                <w:szCs w:val="17"/>
              </w:rPr>
              <w:t xml:space="preserve">★★★☆☆ Media</w:t>
            </w:r>
          </w:p>
        </w:tc>
        <w:tc>
          <w:tcPr>
            <w:tcW w:type="dxa" w:w="1170"/>
            <w:tcMar>
              <w:top w:type="dxa" w:w="50"/>
              <w:left w:type="dxa" w:w="80"/>
              <w:bottom w:type="dxa" w:w="50"/>
              <w:right w:type="dxa" w:w="80"/>
            </w:tcMar>
            <w:vAlign w:val="center"/>
          </w:tcPr>
          <w:p>
            <w:pPr>
              <w:keepNext w:val="false"/>
              <w:spacing w:after="20" w:line="240"/>
              <w:jc w:val="center"/>
            </w:pPr>
            <w:r>
              <w:rPr>
                <w:sz w:val="17"/>
                <w:szCs w:val="17"/>
              </w:rPr>
              <w:t xml:space="preserve">Baja</w:t>
            </w:r>
          </w:p>
        </w:tc>
      </w:tr>
      <w:tr>
        <w:trPr>
          <w:cantSplit/>
        </w:trPr>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Socios clave</w:t>
            </w:r>
          </w:p>
        </w:tc>
        <w:tc>
          <w:tcPr>
            <w:tcW w:type="dxa" w:w="3780"/>
            <w:tcMar>
              <w:top w:type="dxa" w:w="50"/>
              <w:left w:type="dxa" w:w="80"/>
              <w:bottom w:type="dxa" w:w="50"/>
              <w:right w:type="dxa" w:w="80"/>
            </w:tcMar>
            <w:vAlign w:val="center"/>
          </w:tcPr>
          <w:p>
            <w:pPr>
              <w:keepNext w:val="false"/>
              <w:spacing w:after="20" w:line="240"/>
              <w:jc w:val="left"/>
            </w:pPr>
            <w:r>
              <w:rPr>
                <w:sz w:val="17"/>
                <w:szCs w:val="17"/>
              </w:rPr>
              <w:t xml:space="preserve">Minciencia, Subtel, gobiernos regionales (CORE), socios internacionales de cooperación.</w:t>
            </w:r>
          </w:p>
        </w:tc>
        <w:tc>
          <w:tcPr>
            <w:tcW w:type="dxa" w:w="2520"/>
            <w:tcMar>
              <w:top w:type="dxa" w:w="50"/>
              <w:left w:type="dxa" w:w="80"/>
              <w:bottom w:type="dxa" w:w="50"/>
              <w:right w:type="dxa" w:w="80"/>
            </w:tcMar>
            <w:vAlign w:val="center"/>
          </w:tcPr>
          <w:p>
            <w:pPr>
              <w:keepNext w:val="false"/>
              <w:spacing w:after="20" w:line="240"/>
              <w:jc w:val="left"/>
            </w:pPr>
            <w:r>
              <w:rPr>
                <w:sz w:val="17"/>
                <w:szCs w:val="17"/>
              </w:rPr>
              <w:t xml:space="preserve">★★★☆☆ Media</w:t>
            </w:r>
          </w:p>
        </w:tc>
        <w:tc>
          <w:tcPr>
            <w:tcW w:type="dxa" w:w="1170"/>
            <w:tcMar>
              <w:top w:type="dxa" w:w="50"/>
              <w:left w:type="dxa" w:w="80"/>
              <w:bottom w:type="dxa" w:w="50"/>
              <w:right w:type="dxa" w:w="80"/>
            </w:tcMar>
            <w:vAlign w:val="center"/>
          </w:tcPr>
          <w:p>
            <w:pPr>
              <w:keepNext w:val="false"/>
              <w:spacing w:after="20" w:line="240"/>
              <w:jc w:val="center"/>
            </w:pPr>
            <w:r>
              <w:rPr>
                <w:sz w:val="17"/>
                <w:szCs w:val="17"/>
              </w:rPr>
              <w:t xml:space="preserve">Media</w:t>
            </w:r>
          </w:p>
        </w:tc>
      </w:tr>
      <w:tr>
        <w:trPr>
          <w:cantSplit/>
        </w:trPr>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Actividades clave</w:t>
            </w:r>
          </w:p>
        </w:tc>
        <w:tc>
          <w:tcPr>
            <w:tcW w:type="dxa" w:w="3780"/>
            <w:tcMar>
              <w:top w:type="dxa" w:w="50"/>
              <w:left w:type="dxa" w:w="80"/>
              <w:bottom w:type="dxa" w:w="50"/>
              <w:right w:type="dxa" w:w="80"/>
            </w:tcMar>
            <w:vAlign w:val="center"/>
          </w:tcPr>
          <w:p>
            <w:pPr>
              <w:keepNext w:val="false"/>
              <w:spacing w:after="20" w:line="240"/>
              <w:jc w:val="left"/>
            </w:pPr>
            <w:r>
              <w:rPr>
                <w:sz w:val="17"/>
                <w:szCs w:val="17"/>
              </w:rPr>
              <w:t xml:space="preserve">Ensamblaje y prueba de satélites, control de misión, procesamiento de imágenes, formación de capital humano.</w:t>
            </w:r>
          </w:p>
        </w:tc>
        <w:tc>
          <w:tcPr>
            <w:tcW w:type="dxa" w:w="2520"/>
            <w:tcMar>
              <w:top w:type="dxa" w:w="50"/>
              <w:left w:type="dxa" w:w="80"/>
              <w:bottom w:type="dxa" w:w="50"/>
              <w:right w:type="dxa" w:w="80"/>
            </w:tcMar>
            <w:vAlign w:val="center"/>
          </w:tcPr>
          <w:p>
            <w:pPr>
              <w:keepNext w:val="false"/>
              <w:spacing w:after="20" w:line="240"/>
              <w:jc w:val="left"/>
            </w:pPr>
            <w:r>
              <w:rPr>
                <w:sz w:val="17"/>
                <w:szCs w:val="17"/>
              </w:rPr>
              <w:t xml:space="preserve">★★★☆☆ Media</w:t>
            </w:r>
          </w:p>
        </w:tc>
        <w:tc>
          <w:tcPr>
            <w:tcW w:type="dxa" w:w="1170"/>
            <w:tcMar>
              <w:top w:type="dxa" w:w="50"/>
              <w:left w:type="dxa" w:w="80"/>
              <w:bottom w:type="dxa" w:w="50"/>
              <w:right w:type="dxa" w:w="80"/>
            </w:tcMar>
            <w:vAlign w:val="center"/>
          </w:tcPr>
          <w:p>
            <w:pPr>
              <w:keepNext w:val="false"/>
              <w:spacing w:after="20" w:line="240"/>
              <w:jc w:val="center"/>
            </w:pPr>
            <w:r>
              <w:rPr>
                <w:sz w:val="17"/>
                <w:szCs w:val="17"/>
              </w:rPr>
              <w:t xml:space="preserve">Media</w:t>
            </w:r>
          </w:p>
        </w:tc>
      </w:tr>
      <w:tr>
        <w:trPr>
          <w:cantSplit/>
        </w:trPr>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Recursos clave</w:t>
            </w:r>
          </w:p>
        </w:tc>
        <w:tc>
          <w:tcPr>
            <w:tcW w:type="dxa" w:w="3780"/>
            <w:tcMar>
              <w:top w:type="dxa" w:w="50"/>
              <w:left w:type="dxa" w:w="80"/>
              <w:bottom w:type="dxa" w:w="50"/>
              <w:right w:type="dxa" w:w="80"/>
            </w:tcMar>
            <w:vAlign w:val="center"/>
          </w:tcPr>
          <w:p>
            <w:pPr>
              <w:keepNext w:val="false"/>
              <w:spacing w:after="20" w:line="240"/>
              <w:jc w:val="left"/>
            </w:pPr>
            <w:r>
              <w:rPr>
                <w:sz w:val="17"/>
                <w:szCs w:val="17"/>
              </w:rPr>
              <w:t xml:space="preserve">Sala limpia ISO 7, cámara de simulación, HPC (declarado), dotación en formación.</w:t>
            </w:r>
          </w:p>
        </w:tc>
        <w:tc>
          <w:tcPr>
            <w:tcW w:type="dxa" w:w="2520"/>
            <w:tcMar>
              <w:top w:type="dxa" w:w="50"/>
              <w:left w:type="dxa" w:w="80"/>
              <w:bottom w:type="dxa" w:w="50"/>
              <w:right w:type="dxa" w:w="80"/>
            </w:tcMar>
            <w:vAlign w:val="center"/>
          </w:tcPr>
          <w:p>
            <w:pPr>
              <w:keepNext w:val="false"/>
              <w:spacing w:after="20" w:line="240"/>
              <w:jc w:val="left"/>
            </w:pPr>
            <w:r>
              <w:rPr>
                <w:sz w:val="17"/>
                <w:szCs w:val="17"/>
              </w:rPr>
              <w:t xml:space="preserve">★★★☆☆ Media: la infraestructura declarada es relevante, pero casi todas las capacidades que la sustentan están en nivel 1 de madurez y el HPC es de fuente única.</w:t>
            </w:r>
          </w:p>
        </w:tc>
        <w:tc>
          <w:tcPr>
            <w:tcW w:type="dxa" w:w="1170"/>
            <w:tcMar>
              <w:top w:type="dxa" w:w="50"/>
              <w:left w:type="dxa" w:w="80"/>
              <w:bottom w:type="dxa" w:w="50"/>
              <w:right w:type="dxa" w:w="80"/>
            </w:tcMar>
            <w:vAlign w:val="center"/>
          </w:tcPr>
          <w:p>
            <w:pPr>
              <w:keepNext w:val="false"/>
              <w:spacing w:after="20" w:line="240"/>
              <w:jc w:val="center"/>
            </w:pPr>
            <w:r>
              <w:rPr>
                <w:sz w:val="17"/>
                <w:szCs w:val="17"/>
              </w:rPr>
              <w:t xml:space="preserve">Baja</w:t>
            </w:r>
          </w:p>
        </w:tc>
      </w:tr>
      <w:tr>
        <w:trPr>
          <w:cantSplit/>
        </w:trPr>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Canales</w:t>
            </w:r>
          </w:p>
        </w:tc>
        <w:tc>
          <w:tcPr>
            <w:tcW w:type="dxa" w:w="3780"/>
            <w:tcMar>
              <w:top w:type="dxa" w:w="50"/>
              <w:left w:type="dxa" w:w="80"/>
              <w:bottom w:type="dxa" w:w="50"/>
              <w:right w:type="dxa" w:w="80"/>
            </w:tcMar>
            <w:vAlign w:val="center"/>
          </w:tcPr>
          <w:p>
            <w:pPr>
              <w:keepNext w:val="false"/>
              <w:spacing w:after="20" w:line="240"/>
              <w:jc w:val="left"/>
            </w:pPr>
            <w:r>
              <w:rPr>
                <w:sz w:val="17"/>
                <w:szCs w:val="17"/>
              </w:rPr>
              <w:t xml:space="preserve">Vínculo institucional directo, cooperación regional, futura articulación con universidades y empresas (no formalizada).</w:t>
            </w:r>
          </w:p>
        </w:tc>
        <w:tc>
          <w:tcPr>
            <w:tcW w:type="dxa" w:w="2520"/>
            <w:tcMar>
              <w:top w:type="dxa" w:w="50"/>
              <w:left w:type="dxa" w:w="80"/>
              <w:bottom w:type="dxa" w:w="50"/>
              <w:right w:type="dxa" w:w="80"/>
            </w:tcMar>
            <w:vAlign w:val="center"/>
          </w:tcPr>
          <w:p>
            <w:pPr>
              <w:keepNext w:val="false"/>
              <w:spacing w:after="20" w:line="240"/>
              <w:jc w:val="left"/>
            </w:pPr>
            <w:r>
              <w:rPr>
                <w:sz w:val="17"/>
                <w:szCs w:val="17"/>
              </w:rPr>
              <w:t xml:space="preserve">★★☆☆☆ Baja</w:t>
            </w:r>
          </w:p>
        </w:tc>
        <w:tc>
          <w:tcPr>
            <w:tcW w:type="dxa" w:w="1170"/>
            <w:tcMar>
              <w:top w:type="dxa" w:w="50"/>
              <w:left w:type="dxa" w:w="80"/>
              <w:bottom w:type="dxa" w:w="50"/>
              <w:right w:type="dxa" w:w="80"/>
            </w:tcMar>
            <w:vAlign w:val="center"/>
          </w:tcPr>
          <w:p>
            <w:pPr>
              <w:keepNext w:val="false"/>
              <w:spacing w:after="20" w:line="240"/>
              <w:jc w:val="center"/>
            </w:pPr>
            <w:r>
              <w:rPr>
                <w:sz w:val="17"/>
                <w:szCs w:val="17"/>
              </w:rPr>
              <w:t xml:space="preserve">Baja</w:t>
            </w:r>
          </w:p>
        </w:tc>
      </w:tr>
      <w:tr>
        <w:trPr>
          <w:cantSplit/>
        </w:trPr>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Relación con usuarios</w:t>
            </w:r>
          </w:p>
        </w:tc>
        <w:tc>
          <w:tcPr>
            <w:tcW w:type="dxa" w:w="3780"/>
            <w:tcMar>
              <w:top w:type="dxa" w:w="50"/>
              <w:left w:type="dxa" w:w="80"/>
              <w:bottom w:type="dxa" w:w="50"/>
              <w:right w:type="dxa" w:w="80"/>
            </w:tcMar>
            <w:vAlign w:val="center"/>
          </w:tcPr>
          <w:p>
            <w:pPr>
              <w:keepNext w:val="false"/>
              <w:spacing w:after="20" w:line="240"/>
              <w:jc w:val="left"/>
            </w:pPr>
            <w:r>
              <w:rPr>
                <w:sz w:val="17"/>
                <w:szCs w:val="17"/>
              </w:rPr>
              <w:t xml:space="preserve">Jerárquica (defensa); vínculos incipientes y no formalizados con actores civiles.</w:t>
            </w:r>
          </w:p>
        </w:tc>
        <w:tc>
          <w:tcPr>
            <w:tcW w:type="dxa" w:w="2520"/>
            <w:tcMar>
              <w:top w:type="dxa" w:w="50"/>
              <w:left w:type="dxa" w:w="80"/>
              <w:bottom w:type="dxa" w:w="50"/>
              <w:right w:type="dxa" w:w="80"/>
            </w:tcMar>
            <w:vAlign w:val="center"/>
          </w:tcPr>
          <w:p>
            <w:pPr>
              <w:keepNext w:val="false"/>
              <w:spacing w:after="20" w:line="240"/>
              <w:jc w:val="left"/>
            </w:pPr>
            <w:r>
              <w:rPr>
                <w:sz w:val="17"/>
                <w:szCs w:val="17"/>
              </w:rPr>
              <w:t xml:space="preserve">★★☆☆☆ Baja</w:t>
            </w:r>
          </w:p>
        </w:tc>
        <w:tc>
          <w:tcPr>
            <w:tcW w:type="dxa" w:w="1170"/>
            <w:tcMar>
              <w:top w:type="dxa" w:w="50"/>
              <w:left w:type="dxa" w:w="80"/>
              <w:bottom w:type="dxa" w:w="50"/>
              <w:right w:type="dxa" w:w="80"/>
            </w:tcMar>
            <w:vAlign w:val="center"/>
          </w:tcPr>
          <w:p>
            <w:pPr>
              <w:keepNext w:val="false"/>
              <w:spacing w:after="20" w:line="240"/>
              <w:jc w:val="center"/>
            </w:pPr>
            <w:r>
              <w:rPr>
                <w:sz w:val="17"/>
                <w:szCs w:val="17"/>
              </w:rPr>
              <w:t xml:space="preserve">Baja</w:t>
            </w:r>
          </w:p>
        </w:tc>
      </w:tr>
      <w:tr>
        <w:trPr>
          <w:cantSplit/>
        </w:trPr>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Estructura de costos</w:t>
            </w:r>
          </w:p>
        </w:tc>
        <w:tc>
          <w:tcPr>
            <w:tcW w:type="dxa" w:w="3780"/>
            <w:tcMar>
              <w:top w:type="dxa" w:w="50"/>
              <w:left w:type="dxa" w:w="80"/>
              <w:bottom w:type="dxa" w:w="50"/>
              <w:right w:type="dxa" w:w="80"/>
            </w:tcMar>
            <w:vAlign w:val="center"/>
          </w:tcPr>
          <w:p>
            <w:pPr>
              <w:keepNext w:val="false"/>
              <w:spacing w:after="20" w:line="240"/>
              <w:jc w:val="left"/>
            </w:pPr>
            <w:r>
              <w:rPr>
                <w:sz w:val="17"/>
                <w:szCs w:val="17"/>
              </w:rPr>
              <w:t xml:space="preserve">Inversión y operación con presupuesto fiscal y CORE; mantenimiento de infraestructura crítica. Sin cifras oficiales disponibles.</w:t>
            </w:r>
          </w:p>
        </w:tc>
        <w:tc>
          <w:tcPr>
            <w:tcW w:type="dxa" w:w="2520"/>
            <w:tcMar>
              <w:top w:type="dxa" w:w="50"/>
              <w:left w:type="dxa" w:w="80"/>
              <w:bottom w:type="dxa" w:w="50"/>
              <w:right w:type="dxa" w:w="80"/>
            </w:tcMar>
            <w:vAlign w:val="center"/>
          </w:tcPr>
          <w:p>
            <w:pPr>
              <w:keepNext w:val="false"/>
              <w:spacing w:after="20" w:line="240"/>
              <w:jc w:val="left"/>
            </w:pPr>
            <w:r>
              <w:rPr>
                <w:sz w:val="17"/>
                <w:szCs w:val="17"/>
              </w:rPr>
              <w:t xml:space="preserve">★★★☆☆ Media (sujeta a datos presupuestarios)</w:t>
            </w:r>
          </w:p>
        </w:tc>
        <w:tc>
          <w:tcPr>
            <w:tcW w:type="dxa" w:w="1170"/>
            <w:tcMar>
              <w:top w:type="dxa" w:w="50"/>
              <w:left w:type="dxa" w:w="80"/>
              <w:bottom w:type="dxa" w:w="50"/>
              <w:right w:type="dxa" w:w="80"/>
            </w:tcMar>
            <w:vAlign w:val="center"/>
          </w:tcPr>
          <w:p>
            <w:pPr>
              <w:keepNext w:val="false"/>
              <w:spacing w:after="20" w:line="240"/>
              <w:jc w:val="center"/>
            </w:pPr>
            <w:r>
              <w:rPr>
                <w:sz w:val="17"/>
                <w:szCs w:val="17"/>
              </w:rPr>
              <w:t xml:space="preserve">Muy baja</w:t>
            </w:r>
          </w:p>
        </w:tc>
      </w:tr>
      <w:tr>
        <w:trPr>
          <w:cantSplit/>
        </w:trPr>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Fuentes de financiamiento</w:t>
            </w:r>
          </w:p>
        </w:tc>
        <w:tc>
          <w:tcPr>
            <w:tcW w:type="dxa" w:w="3780"/>
            <w:tcMar>
              <w:top w:type="dxa" w:w="50"/>
              <w:left w:type="dxa" w:w="80"/>
              <w:bottom w:type="dxa" w:w="50"/>
              <w:right w:type="dxa" w:w="80"/>
            </w:tcMar>
            <w:vAlign w:val="center"/>
          </w:tcPr>
          <w:p>
            <w:pPr>
              <w:keepNext w:val="false"/>
              <w:spacing w:after="20" w:line="240"/>
              <w:jc w:val="left"/>
            </w:pPr>
            <w:r>
              <w:rPr>
                <w:sz w:val="17"/>
                <w:szCs w:val="17"/>
              </w:rPr>
              <w:t xml:space="preserve">Presupuesto de Defensa, fondos CORE, APP aún incipiente. Sin cifras oficiales disponibles.</w:t>
            </w:r>
          </w:p>
        </w:tc>
        <w:tc>
          <w:tcPr>
            <w:tcW w:type="dxa" w:w="2520"/>
            <w:tcMar>
              <w:top w:type="dxa" w:w="50"/>
              <w:left w:type="dxa" w:w="80"/>
              <w:bottom w:type="dxa" w:w="50"/>
              <w:right w:type="dxa" w:w="80"/>
            </w:tcMar>
            <w:vAlign w:val="center"/>
          </w:tcPr>
          <w:p>
            <w:pPr>
              <w:keepNext w:val="false"/>
              <w:spacing w:after="20" w:line="240"/>
              <w:jc w:val="left"/>
            </w:pPr>
            <w:r>
              <w:rPr>
                <w:sz w:val="17"/>
                <w:szCs w:val="17"/>
              </w:rPr>
              <w:t xml:space="preserve">★★☆☆☆ Baja (sujeta a datos presupuestarios)</w:t>
            </w:r>
          </w:p>
        </w:tc>
        <w:tc>
          <w:tcPr>
            <w:tcW w:type="dxa" w:w="1170"/>
            <w:tcMar>
              <w:top w:type="dxa" w:w="50"/>
              <w:left w:type="dxa" w:w="80"/>
              <w:bottom w:type="dxa" w:w="50"/>
              <w:right w:type="dxa" w:w="80"/>
            </w:tcMar>
            <w:vAlign w:val="center"/>
          </w:tcPr>
          <w:p>
            <w:pPr>
              <w:keepNext w:val="false"/>
              <w:spacing w:after="20" w:line="240"/>
              <w:jc w:val="center"/>
            </w:pPr>
            <w:r>
              <w:rPr>
                <w:sz w:val="17"/>
                <w:szCs w:val="17"/>
              </w:rPr>
              <w:t xml:space="preserve">Baja</w:t>
            </w:r>
          </w:p>
        </w:tc>
      </w:tr>
    </w:tbl>
    <w:p>
      <w:pPr>
        <w:spacing w:after="200" w:before="60"/>
        <w:jc w:val="center"/>
      </w:pPr>
      <w:r>
        <w:rPr>
          <w:i/>
          <w:iCs/>
          <w:sz w:val="17"/>
          <w:szCs w:val="17"/>
        </w:rPr>
        <w:t xml:space="preserve">Fuente: Elaboración propia con base en Osterwalder y Pigneur (2010).</w:t>
      </w:r>
    </w:p>
    <w:p>
      <w:pPr>
        <w:spacing w:after="140" w:line="300"/>
        <w:jc w:val="both"/>
      </w:pPr>
      <w:r>
        <w:t xml:space="preserve">El indicador de fortaleza es una valoración cualitativa del autor: 1-2 estrellas indican un bloque débil o no formalizado; 3, que existe pero con respaldo parcial o declarado; 4-5, respaldo verificado, nivel que hoy ningún bloque alcanza. Las cifras de inversión, dotación y presupuesto se incorporarán cuando existan datos oficiales.</w:t>
      </w:r>
    </w:p>
    <w:p>
      <w:pPr>
        <w:spacing w:after="140" w:line="300"/>
        <w:jc w:val="both"/>
      </w:pPr>
      <w:r>
        <w:t xml:space="preserve">El Canvas deja ver la tensión del modelo con más claridad que un listado plano. La propuesta de valor está claramente formulada y los recursos de infraestructura son relevantes, aunque con respaldo aún declarado (valoración media); en cambio, los bloques de canales, relación con usuarios y fuentes de financiamiento aparecen débiles o apenas insinuados. Dicho de otro modo, el CEN sabe qué puede ofrecer, pero no tiene resuelto cómo entregar esa oferta a un ecosistema productivo que todavía no está articulado.</w:t>
      </w:r>
    </w:p>
    <w:p>
      <w:pPr>
        <w:pStyle w:val="Heading2"/>
      </w:pPr>
      <w:r>
        <w:t xml:space="preserve">3.6 Niveles de utilización: análisis de madurez de las capacidades</w:t>
      </w:r>
    </w:p>
    <w:p>
      <w:pPr>
        <w:spacing w:after="140" w:line="300"/>
        <w:jc w:val="both"/>
      </w:pPr>
      <w:r>
        <w:t xml:space="preserve">Para ir más allá de la descripción se propone una escala de madurez que distingue entre una capacidad que existe en el papel y una que genera resultados transferibles; mide, por tanto, el nivel de utilización. La escala está inspirada en la lógica de progresión de los modelos de madurez de capacidades (Paulk et al., 1993), pero no replica sus niveles: los niveles 1 a 3 describen el grado de consolidación interna y los niveles 4 y 5, la interacción con terceros y la transferencia. La Tabla 12 define los niveles y la Tabla 13 los aplica al CEN con criterio estricto, e incorpora la confianza y el potencial de transferencia desarrollado en la sección 3.7.</w:t>
      </w:r>
    </w:p>
    <w:p>
      <w:pPr>
        <w:pStyle w:val="Caption"/>
        <w:keepNext/>
        <w:spacing w:after="80" w:before="200"/>
        <w:jc w:val="center"/>
      </w:pPr>
      <w:r>
        <w:rPr>
          <w:b/>
          <w:bCs/>
        </w:rPr>
        <w:t xml:space="preserve">Tabla </w:t>
      </w:r>
      <w:fldSimple w:instr="SEQ Tabla \* ARABIC">
        <w:r>
          <w:t xml:space="preserve">12</w:t>
        </w:r>
      </w:fldSimple>
      <w:r>
        <w:rPr>
          <w:b/>
          <w:bCs/>
        </w:rPr>
        <w:t xml:space="preserve">. Escala de madurez propuesta para las capacidades del CEN</w:t>
      </w:r>
    </w:p>
    <w:tbl>
      <w:tblPr>
        <w:tblW w:type="dxa" w:w="9000"/>
        <w:tblBorders>
          <w:top w:val="single" w:color="A6A6A6" w:sz="4"/>
          <w:left w:val="single" w:color="A6A6A6" w:sz="4"/>
          <w:bottom w:val="single" w:color="A6A6A6" w:sz="4"/>
          <w:right w:val="single" w:color="A6A6A6" w:sz="4"/>
          <w:insideH w:val="single" w:color="A6A6A6" w:sz="4"/>
          <w:insideV w:val="single" w:color="A6A6A6" w:sz="4"/>
        </w:tblBorders>
      </w:tblPr>
      <w:tblGrid>
        <w:gridCol w:w="720"/>
        <w:gridCol w:w="1530"/>
        <w:gridCol w:w="4050"/>
        <w:gridCol w:w="2700"/>
      </w:tblGrid>
      <w:tr>
        <w:trPr>
          <w:cantSplit/>
          <w:tblHeader/>
        </w:trPr>
        <w:tc>
          <w:tcPr>
            <w:tcW w:type="dxa" w:w="72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Nivel</w:t>
            </w:r>
          </w:p>
        </w:tc>
        <w:tc>
          <w:tcPr>
            <w:tcW w:type="dxa" w:w="153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Denominación</w:t>
            </w:r>
          </w:p>
        </w:tc>
        <w:tc>
          <w:tcPr>
            <w:tcW w:type="dxa" w:w="405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Descripción</w:t>
            </w:r>
          </w:p>
        </w:tc>
        <w:tc>
          <w:tcPr>
            <w:tcW w:type="dxa" w:w="270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Evidencia típica</w:t>
            </w:r>
          </w:p>
        </w:tc>
      </w:tr>
      <w:tr>
        <w:trPr>
          <w:cantSplit/>
        </w:trPr>
        <w:tc>
          <w:tcPr>
            <w:tcW w:type="dxa" w:w="720"/>
            <w:tcMar>
              <w:top w:type="dxa" w:w="50"/>
              <w:left w:type="dxa" w:w="80"/>
              <w:bottom w:type="dxa" w:w="50"/>
              <w:right w:type="dxa" w:w="80"/>
            </w:tcMar>
            <w:vAlign w:val="center"/>
          </w:tcPr>
          <w:p>
            <w:pPr>
              <w:keepNext w:val="false"/>
              <w:spacing w:after="20" w:line="240"/>
              <w:jc w:val="center"/>
            </w:pPr>
            <w:r>
              <w:rPr>
                <w:sz w:val="17"/>
                <w:szCs w:val="17"/>
              </w:rPr>
              <w:t xml:space="preserve">1</w:t>
            </w:r>
          </w:p>
        </w:tc>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Existente</w:t>
            </w:r>
          </w:p>
        </w:tc>
        <w:tc>
          <w:tcPr>
            <w:tcW w:type="dxa" w:w="4050"/>
            <w:tcMar>
              <w:top w:type="dxa" w:w="50"/>
              <w:left w:type="dxa" w:w="80"/>
              <w:bottom w:type="dxa" w:w="50"/>
              <w:right w:type="dxa" w:w="80"/>
            </w:tcMar>
            <w:vAlign w:val="center"/>
          </w:tcPr>
          <w:p>
            <w:pPr>
              <w:keepNext w:val="false"/>
              <w:spacing w:after="20" w:line="240"/>
              <w:jc w:val="left"/>
            </w:pPr>
            <w:r>
              <w:rPr>
                <w:sz w:val="17"/>
                <w:szCs w:val="17"/>
              </w:rPr>
              <w:t xml:space="preserve">Existe la infraestructura o el recurso, pero no se ha operado de manera regular.</w:t>
            </w:r>
          </w:p>
        </w:tc>
        <w:tc>
          <w:tcPr>
            <w:tcW w:type="dxa" w:w="2700"/>
            <w:tcMar>
              <w:top w:type="dxa" w:w="50"/>
              <w:left w:type="dxa" w:w="80"/>
              <w:bottom w:type="dxa" w:w="50"/>
              <w:right w:type="dxa" w:w="80"/>
            </w:tcMar>
            <w:vAlign w:val="center"/>
          </w:tcPr>
          <w:p>
            <w:pPr>
              <w:keepNext w:val="false"/>
              <w:spacing w:after="20" w:line="240"/>
              <w:jc w:val="left"/>
            </w:pPr>
            <w:r>
              <w:rPr>
                <w:sz w:val="17"/>
                <w:szCs w:val="17"/>
              </w:rPr>
              <w:t xml:space="preserve">Ficha técnica, documento institucional.</w:t>
            </w:r>
          </w:p>
        </w:tc>
      </w:tr>
      <w:tr>
        <w:trPr>
          <w:cantSplit/>
        </w:trPr>
        <w:tc>
          <w:tcPr>
            <w:tcW w:type="dxa" w:w="720"/>
            <w:tcMar>
              <w:top w:type="dxa" w:w="50"/>
              <w:left w:type="dxa" w:w="80"/>
              <w:bottom w:type="dxa" w:w="50"/>
              <w:right w:type="dxa" w:w="80"/>
            </w:tcMar>
            <w:vAlign w:val="center"/>
          </w:tcPr>
          <w:p>
            <w:pPr>
              <w:keepNext w:val="false"/>
              <w:spacing w:after="20" w:line="240"/>
              <w:jc w:val="center"/>
            </w:pPr>
            <w:r>
              <w:rPr>
                <w:sz w:val="17"/>
                <w:szCs w:val="17"/>
              </w:rPr>
              <w:t xml:space="preserve">2</w:t>
            </w:r>
          </w:p>
        </w:tc>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Operativa</w:t>
            </w:r>
          </w:p>
        </w:tc>
        <w:tc>
          <w:tcPr>
            <w:tcW w:type="dxa" w:w="4050"/>
            <w:tcMar>
              <w:top w:type="dxa" w:w="50"/>
              <w:left w:type="dxa" w:w="80"/>
              <w:bottom w:type="dxa" w:w="50"/>
              <w:right w:type="dxa" w:w="80"/>
            </w:tcMar>
            <w:vAlign w:val="center"/>
          </w:tcPr>
          <w:p>
            <w:pPr>
              <w:keepNext w:val="false"/>
              <w:spacing w:after="20" w:line="240"/>
              <w:jc w:val="left"/>
            </w:pPr>
            <w:r>
              <w:rPr>
                <w:sz w:val="17"/>
                <w:szCs w:val="17"/>
              </w:rPr>
              <w:t xml:space="preserve">La capacidad se ha utilizado en al menos una actividad real documentada.</w:t>
            </w:r>
          </w:p>
        </w:tc>
        <w:tc>
          <w:tcPr>
            <w:tcW w:type="dxa" w:w="2700"/>
            <w:tcMar>
              <w:top w:type="dxa" w:w="50"/>
              <w:left w:type="dxa" w:w="80"/>
              <w:bottom w:type="dxa" w:w="50"/>
              <w:right w:type="dxa" w:w="80"/>
            </w:tcMar>
            <w:vAlign w:val="center"/>
          </w:tcPr>
          <w:p>
            <w:pPr>
              <w:keepNext w:val="false"/>
              <w:spacing w:after="20" w:line="240"/>
              <w:jc w:val="left"/>
            </w:pPr>
            <w:r>
              <w:rPr>
                <w:sz w:val="17"/>
                <w:szCs w:val="17"/>
              </w:rPr>
              <w:t xml:space="preserve">Registros de uso, ejercicios, actividades documentadas.</w:t>
            </w:r>
          </w:p>
        </w:tc>
      </w:tr>
      <w:tr>
        <w:trPr>
          <w:cantSplit/>
        </w:trPr>
        <w:tc>
          <w:tcPr>
            <w:tcW w:type="dxa" w:w="720"/>
            <w:tcMar>
              <w:top w:type="dxa" w:w="50"/>
              <w:left w:type="dxa" w:w="80"/>
              <w:bottom w:type="dxa" w:w="50"/>
              <w:right w:type="dxa" w:w="80"/>
            </w:tcMar>
            <w:vAlign w:val="center"/>
          </w:tcPr>
          <w:p>
            <w:pPr>
              <w:keepNext w:val="false"/>
              <w:spacing w:after="20" w:line="240"/>
              <w:jc w:val="center"/>
            </w:pPr>
            <w:r>
              <w:rPr>
                <w:sz w:val="17"/>
                <w:szCs w:val="17"/>
              </w:rPr>
              <w:t xml:space="preserve">3</w:t>
            </w:r>
          </w:p>
        </w:tc>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Repetible</w:t>
            </w:r>
          </w:p>
        </w:tc>
        <w:tc>
          <w:tcPr>
            <w:tcW w:type="dxa" w:w="4050"/>
            <w:tcMar>
              <w:top w:type="dxa" w:w="50"/>
              <w:left w:type="dxa" w:w="80"/>
              <w:bottom w:type="dxa" w:w="50"/>
              <w:right w:type="dxa" w:w="80"/>
            </w:tcMar>
            <w:vAlign w:val="center"/>
          </w:tcPr>
          <w:p>
            <w:pPr>
              <w:keepNext w:val="false"/>
              <w:spacing w:after="20" w:line="240"/>
              <w:jc w:val="left"/>
            </w:pPr>
            <w:r>
              <w:rPr>
                <w:sz w:val="17"/>
                <w:szCs w:val="17"/>
              </w:rPr>
              <w:t xml:space="preserve">La actividad se ejecuta de manera recurrente, sistemática y con estándares.</w:t>
            </w:r>
          </w:p>
        </w:tc>
        <w:tc>
          <w:tcPr>
            <w:tcW w:type="dxa" w:w="2700"/>
            <w:tcMar>
              <w:top w:type="dxa" w:w="50"/>
              <w:left w:type="dxa" w:w="80"/>
              <w:bottom w:type="dxa" w:w="50"/>
              <w:right w:type="dxa" w:w="80"/>
            </w:tcMar>
            <w:vAlign w:val="center"/>
          </w:tcPr>
          <w:p>
            <w:pPr>
              <w:keepNext w:val="false"/>
              <w:spacing w:after="20" w:line="240"/>
              <w:jc w:val="left"/>
            </w:pPr>
            <w:r>
              <w:rPr>
                <w:sz w:val="17"/>
                <w:szCs w:val="17"/>
              </w:rPr>
              <w:t xml:space="preserve">Procesos documentados, indicadores de gestión.</w:t>
            </w:r>
          </w:p>
        </w:tc>
      </w:tr>
      <w:tr>
        <w:trPr>
          <w:cantSplit/>
        </w:trPr>
        <w:tc>
          <w:tcPr>
            <w:tcW w:type="dxa" w:w="720"/>
            <w:tcMar>
              <w:top w:type="dxa" w:w="50"/>
              <w:left w:type="dxa" w:w="80"/>
              <w:bottom w:type="dxa" w:w="50"/>
              <w:right w:type="dxa" w:w="80"/>
            </w:tcMar>
            <w:vAlign w:val="center"/>
          </w:tcPr>
          <w:p>
            <w:pPr>
              <w:keepNext w:val="false"/>
              <w:spacing w:after="20" w:line="240"/>
              <w:jc w:val="center"/>
            </w:pPr>
            <w:r>
              <w:rPr>
                <w:sz w:val="17"/>
                <w:szCs w:val="17"/>
              </w:rPr>
              <w:t xml:space="preserve">4</w:t>
            </w:r>
          </w:p>
        </w:tc>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Integrada</w:t>
            </w:r>
          </w:p>
        </w:tc>
        <w:tc>
          <w:tcPr>
            <w:tcW w:type="dxa" w:w="4050"/>
            <w:tcMar>
              <w:top w:type="dxa" w:w="50"/>
              <w:left w:type="dxa" w:w="80"/>
              <w:bottom w:type="dxa" w:w="50"/>
              <w:right w:type="dxa" w:w="80"/>
            </w:tcMar>
            <w:vAlign w:val="center"/>
          </w:tcPr>
          <w:p>
            <w:pPr>
              <w:keepNext w:val="false"/>
              <w:spacing w:after="20" w:line="240"/>
              <w:jc w:val="left"/>
            </w:pPr>
            <w:r>
              <w:rPr>
                <w:sz w:val="17"/>
                <w:szCs w:val="17"/>
              </w:rPr>
              <w:t xml:space="preserve">Existe interacción estructurada con terceros (academia, industria, otros organismos).</w:t>
            </w:r>
          </w:p>
        </w:tc>
        <w:tc>
          <w:tcPr>
            <w:tcW w:type="dxa" w:w="2700"/>
            <w:tcMar>
              <w:top w:type="dxa" w:w="50"/>
              <w:left w:type="dxa" w:w="80"/>
              <w:bottom w:type="dxa" w:w="50"/>
              <w:right w:type="dxa" w:w="80"/>
            </w:tcMar>
            <w:vAlign w:val="center"/>
          </w:tcPr>
          <w:p>
            <w:pPr>
              <w:keepNext w:val="false"/>
              <w:spacing w:after="20" w:line="240"/>
              <w:jc w:val="left"/>
            </w:pPr>
            <w:r>
              <w:rPr>
                <w:sz w:val="17"/>
                <w:szCs w:val="17"/>
              </w:rPr>
              <w:t xml:space="preserve">Convenios activos, proyectos colaborativos.</w:t>
            </w:r>
          </w:p>
        </w:tc>
      </w:tr>
      <w:tr>
        <w:trPr>
          <w:cantSplit/>
        </w:trPr>
        <w:tc>
          <w:tcPr>
            <w:tcW w:type="dxa" w:w="720"/>
            <w:tcMar>
              <w:top w:type="dxa" w:w="50"/>
              <w:left w:type="dxa" w:w="80"/>
              <w:bottom w:type="dxa" w:w="50"/>
              <w:right w:type="dxa" w:w="80"/>
            </w:tcMar>
            <w:vAlign w:val="center"/>
          </w:tcPr>
          <w:p>
            <w:pPr>
              <w:keepNext w:val="false"/>
              <w:spacing w:after="20" w:line="240"/>
              <w:jc w:val="center"/>
            </w:pPr>
            <w:r>
              <w:rPr>
                <w:sz w:val="17"/>
                <w:szCs w:val="17"/>
              </w:rPr>
              <w:t xml:space="preserve">5</w:t>
            </w:r>
          </w:p>
        </w:tc>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Transferible</w:t>
            </w:r>
          </w:p>
        </w:tc>
        <w:tc>
          <w:tcPr>
            <w:tcW w:type="dxa" w:w="4050"/>
            <w:tcMar>
              <w:top w:type="dxa" w:w="50"/>
              <w:left w:type="dxa" w:w="80"/>
              <w:bottom w:type="dxa" w:w="50"/>
              <w:right w:type="dxa" w:w="80"/>
            </w:tcMar>
            <w:vAlign w:val="center"/>
          </w:tcPr>
          <w:p>
            <w:pPr>
              <w:keepNext w:val="false"/>
              <w:spacing w:after="20" w:line="240"/>
              <w:jc w:val="left"/>
            </w:pPr>
            <w:r>
              <w:rPr>
                <w:sz w:val="17"/>
                <w:szCs w:val="17"/>
              </w:rPr>
              <w:t xml:space="preserve">La capacidad genera conocimiento, tecnología o soluciones que se aplican fuera del CEN.</w:t>
            </w:r>
          </w:p>
        </w:tc>
        <w:tc>
          <w:tcPr>
            <w:tcW w:type="dxa" w:w="2700"/>
            <w:tcMar>
              <w:top w:type="dxa" w:w="50"/>
              <w:left w:type="dxa" w:w="80"/>
              <w:bottom w:type="dxa" w:w="50"/>
              <w:right w:type="dxa" w:w="80"/>
            </w:tcMar>
            <w:vAlign w:val="center"/>
          </w:tcPr>
          <w:p>
            <w:pPr>
              <w:keepNext w:val="false"/>
              <w:spacing w:after="20" w:line="240"/>
              <w:jc w:val="left"/>
            </w:pPr>
            <w:r>
              <w:rPr>
                <w:sz w:val="17"/>
                <w:szCs w:val="17"/>
              </w:rPr>
              <w:t xml:space="preserve">Casos de transferencia, derivaciones empresariales.</w:t>
            </w:r>
          </w:p>
        </w:tc>
      </w:tr>
    </w:tbl>
    <w:p>
      <w:pPr>
        <w:spacing w:after="200" w:before="60"/>
        <w:jc w:val="center"/>
      </w:pPr>
      <w:r>
        <w:rPr>
          <w:i/>
          <w:iCs/>
          <w:sz w:val="17"/>
          <w:szCs w:val="17"/>
        </w:rPr>
        <w:t xml:space="preserve">Fuente: Elaboración propia, inspirada en el Capability Maturity Model (Paulk et al., 1993) y adaptada a un centro tecnológico público.</w:t>
      </w:r>
    </w:p>
    <w:p>
      <w:pPr>
        <w:pStyle w:val="Caption"/>
        <w:keepNext/>
        <w:spacing w:after="80" w:before="200"/>
        <w:jc w:val="center"/>
      </w:pPr>
      <w:r>
        <w:rPr>
          <w:b/>
          <w:bCs/>
        </w:rPr>
        <w:t xml:space="preserve">Tabla </w:t>
      </w:r>
      <w:fldSimple w:instr="SEQ Tabla \* ARABIC">
        <w:r>
          <w:t xml:space="preserve">13</w:t>
        </w:r>
      </w:fldSimple>
      <w:r>
        <w:rPr>
          <w:b/>
          <w:bCs/>
        </w:rPr>
        <w:t xml:space="preserve">. Evaluación preliminar de madurez de las capacidades del CEN</w:t>
      </w:r>
    </w:p>
    <w:tbl>
      <w:tblPr>
        <w:tblW w:type="dxa" w:w="9000"/>
        <w:tblBorders>
          <w:top w:val="single" w:color="A6A6A6" w:sz="4"/>
          <w:left w:val="single" w:color="A6A6A6" w:sz="4"/>
          <w:bottom w:val="single" w:color="A6A6A6" w:sz="4"/>
          <w:right w:val="single" w:color="A6A6A6" w:sz="4"/>
          <w:insideH w:val="single" w:color="A6A6A6" w:sz="4"/>
          <w:insideV w:val="single" w:color="A6A6A6" w:sz="4"/>
        </w:tblBorders>
      </w:tblPr>
      <w:tblGrid>
        <w:gridCol w:w="1080"/>
        <w:gridCol w:w="990"/>
        <w:gridCol w:w="2430"/>
        <w:gridCol w:w="720"/>
        <w:gridCol w:w="1260"/>
        <w:gridCol w:w="2520"/>
      </w:tblGrid>
      <w:tr>
        <w:trPr>
          <w:cantSplit/>
          <w:tblHeader/>
        </w:trPr>
        <w:tc>
          <w:tcPr>
            <w:tcW w:type="dxa" w:w="108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Capacidad</w:t>
            </w:r>
          </w:p>
        </w:tc>
        <w:tc>
          <w:tcPr>
            <w:tcW w:type="dxa" w:w="99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Nivel</w:t>
            </w:r>
          </w:p>
        </w:tc>
        <w:tc>
          <w:tcPr>
            <w:tcW w:type="dxa" w:w="243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Evidencia y justificación</w:t>
            </w:r>
          </w:p>
        </w:tc>
        <w:tc>
          <w:tcPr>
            <w:tcW w:type="dxa" w:w="72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Conf.</w:t>
            </w:r>
          </w:p>
        </w:tc>
        <w:tc>
          <w:tcPr>
            <w:tcW w:type="dxa" w:w="126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Potencial transf.</w:t>
            </w:r>
          </w:p>
        </w:tc>
        <w:tc>
          <w:tcPr>
            <w:tcW w:type="dxa" w:w="252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Brecha hacia nivel 5</w:t>
            </w:r>
          </w:p>
        </w:tc>
      </w:tr>
      <w:tr>
        <w:trPr>
          <w:cantSplit/>
        </w:trPr>
        <w:tc>
          <w:tcPr>
            <w:tcW w:type="dxa" w:w="1080"/>
            <w:tcMar>
              <w:top w:type="dxa" w:w="50"/>
              <w:left w:type="dxa" w:w="80"/>
              <w:bottom w:type="dxa" w:w="50"/>
              <w:right w:type="dxa" w:w="80"/>
            </w:tcMar>
            <w:vAlign w:val="center"/>
          </w:tcPr>
          <w:p>
            <w:pPr>
              <w:keepNext w:val="false"/>
              <w:spacing w:after="20" w:line="240"/>
              <w:jc w:val="left"/>
            </w:pPr>
            <w:r>
              <w:rPr>
                <w:sz w:val="17"/>
                <w:szCs w:val="17"/>
              </w:rPr>
              <w:t xml:space="preserve">Control de misión</w:t>
            </w:r>
          </w:p>
        </w:tc>
        <w:tc>
          <w:tcPr>
            <w:tcW w:type="dxa" w:w="990"/>
            <w:shd w:fill="E2EFDA" w:color="auto" w:val="clear"/>
            <w:tcMar>
              <w:top w:type="dxa" w:w="50"/>
              <w:left w:type="dxa" w:w="80"/>
              <w:bottom w:type="dxa" w:w="50"/>
              <w:right w:type="dxa" w:w="80"/>
            </w:tcMar>
            <w:vAlign w:val="center"/>
          </w:tcPr>
          <w:p>
            <w:pPr>
              <w:keepNext w:val="false"/>
              <w:spacing w:after="20" w:line="240"/>
              <w:jc w:val="center"/>
            </w:pPr>
            <w:r>
              <w:rPr>
                <w:sz w:val="17"/>
                <w:szCs w:val="17"/>
              </w:rPr>
              <w:t xml:space="preserve">2 – Operativa</w:t>
            </w:r>
          </w:p>
        </w:tc>
        <w:tc>
          <w:tcPr>
            <w:tcW w:type="dxa" w:w="2430"/>
            <w:tcMar>
              <w:top w:type="dxa" w:w="50"/>
              <w:left w:type="dxa" w:w="80"/>
              <w:bottom w:type="dxa" w:w="50"/>
              <w:right w:type="dxa" w:w="80"/>
            </w:tcMar>
            <w:vAlign w:val="center"/>
          </w:tcPr>
          <w:p>
            <w:pPr>
              <w:keepNext w:val="false"/>
              <w:spacing w:after="20" w:line="240"/>
              <w:jc w:val="left"/>
            </w:pPr>
            <w:r>
              <w:rPr>
                <w:sz w:val="17"/>
                <w:szCs w:val="17"/>
              </w:rPr>
              <w:t xml:space="preserve">Operación demostrada en el ejercicio Salitre 2026 (FACh, 2026). Un ejercicio acredita uso real, pero no procesos documentados ni indicadores.</w:t>
            </w:r>
          </w:p>
        </w:tc>
        <w:tc>
          <w:tcPr>
            <w:tcW w:type="dxa" w:w="720"/>
            <w:tcMar>
              <w:top w:type="dxa" w:w="50"/>
              <w:left w:type="dxa" w:w="80"/>
              <w:bottom w:type="dxa" w:w="50"/>
              <w:right w:type="dxa" w:w="80"/>
            </w:tcMar>
            <w:vAlign w:val="center"/>
          </w:tcPr>
          <w:p>
            <w:pPr>
              <w:keepNext w:val="false"/>
              <w:spacing w:after="20" w:line="240"/>
              <w:jc w:val="center"/>
            </w:pPr>
            <w:r>
              <w:rPr>
                <w:sz w:val="17"/>
                <w:szCs w:val="17"/>
              </w:rPr>
              <w:t xml:space="preserve">Media</w:t>
            </w:r>
          </w:p>
        </w:tc>
        <w:tc>
          <w:tcPr>
            <w:tcW w:type="dxa" w:w="1260"/>
            <w:tcMar>
              <w:top w:type="dxa" w:w="50"/>
              <w:left w:type="dxa" w:w="80"/>
              <w:bottom w:type="dxa" w:w="50"/>
              <w:right w:type="dxa" w:w="80"/>
            </w:tcMar>
            <w:vAlign w:val="center"/>
          </w:tcPr>
          <w:p>
            <w:pPr>
              <w:keepNext w:val="false"/>
              <w:spacing w:after="20" w:line="240"/>
              <w:jc w:val="center"/>
            </w:pPr>
            <w:r>
              <w:rPr>
                <w:sz w:val="17"/>
                <w:szCs w:val="17"/>
              </w:rPr>
              <w:t xml:space="preserve">Medio</w:t>
            </w:r>
          </w:p>
        </w:tc>
        <w:tc>
          <w:tcPr>
            <w:tcW w:type="dxa" w:w="2520"/>
            <w:tcMar>
              <w:top w:type="dxa" w:w="50"/>
              <w:left w:type="dxa" w:w="80"/>
              <w:bottom w:type="dxa" w:w="50"/>
              <w:right w:type="dxa" w:w="80"/>
            </w:tcMar>
            <w:vAlign w:val="center"/>
          </w:tcPr>
          <w:p>
            <w:pPr>
              <w:keepNext w:val="false"/>
              <w:spacing w:after="20" w:line="240"/>
              <w:jc w:val="left"/>
            </w:pPr>
            <w:r>
              <w:rPr>
                <w:sz w:val="17"/>
                <w:szCs w:val="17"/>
              </w:rPr>
              <w:t xml:space="preserve">Falta documentación de procesos, integración con usuarios civiles y transferencia.</w:t>
            </w:r>
          </w:p>
        </w:tc>
      </w:tr>
      <w:tr>
        <w:trPr>
          <w:cantSplit/>
        </w:trPr>
        <w:tc>
          <w:tcPr>
            <w:tcW w:type="dxa" w:w="1080"/>
            <w:tcMar>
              <w:top w:type="dxa" w:w="50"/>
              <w:left w:type="dxa" w:w="80"/>
              <w:bottom w:type="dxa" w:w="50"/>
              <w:right w:type="dxa" w:w="80"/>
            </w:tcMar>
            <w:vAlign w:val="center"/>
          </w:tcPr>
          <w:p>
            <w:pPr>
              <w:keepNext w:val="false"/>
              <w:spacing w:after="20" w:line="240"/>
              <w:jc w:val="left"/>
            </w:pPr>
            <w:r>
              <w:rPr>
                <w:sz w:val="17"/>
                <w:szCs w:val="17"/>
              </w:rPr>
              <w:t xml:space="preserve">Ensamblaje e integración</w:t>
            </w:r>
          </w:p>
        </w:tc>
        <w:tc>
          <w:tcPr>
            <w:tcW w:type="dxa" w:w="990"/>
            <w:shd w:fill="FFF2CC" w:color="auto" w:val="clear"/>
            <w:tcMar>
              <w:top w:type="dxa" w:w="50"/>
              <w:left w:type="dxa" w:w="80"/>
              <w:bottom w:type="dxa" w:w="50"/>
              <w:right w:type="dxa" w:w="80"/>
            </w:tcMar>
            <w:vAlign w:val="center"/>
          </w:tcPr>
          <w:p>
            <w:pPr>
              <w:keepNext w:val="false"/>
              <w:spacing w:after="20" w:line="240"/>
              <w:jc w:val="center"/>
            </w:pPr>
            <w:r>
              <w:rPr>
                <w:sz w:val="17"/>
                <w:szCs w:val="17"/>
              </w:rPr>
              <w:t xml:space="preserve">1 – Existente</w:t>
            </w:r>
          </w:p>
        </w:tc>
        <w:tc>
          <w:tcPr>
            <w:tcW w:type="dxa" w:w="2430"/>
            <w:tcMar>
              <w:top w:type="dxa" w:w="50"/>
              <w:left w:type="dxa" w:w="80"/>
              <w:bottom w:type="dxa" w:w="50"/>
              <w:right w:type="dxa" w:w="80"/>
            </w:tcMar>
            <w:vAlign w:val="center"/>
          </w:tcPr>
          <w:p>
            <w:pPr>
              <w:keepNext w:val="false"/>
              <w:spacing w:after="20" w:line="240"/>
              <w:jc w:val="left"/>
            </w:pPr>
            <w:r>
              <w:rPr>
                <w:sz w:val="17"/>
                <w:szCs w:val="17"/>
              </w:rPr>
              <w:t xml:space="preserve">Sala limpia existente y capacitación iniciada (FACh, 2025d), sin evidencia de uso recurrente.</w:t>
            </w:r>
          </w:p>
        </w:tc>
        <w:tc>
          <w:tcPr>
            <w:tcW w:type="dxa" w:w="720"/>
            <w:tcMar>
              <w:top w:type="dxa" w:w="50"/>
              <w:left w:type="dxa" w:w="80"/>
              <w:bottom w:type="dxa" w:w="50"/>
              <w:right w:type="dxa" w:w="80"/>
            </w:tcMar>
            <w:vAlign w:val="center"/>
          </w:tcPr>
          <w:p>
            <w:pPr>
              <w:keepNext w:val="false"/>
              <w:spacing w:after="20" w:line="240"/>
              <w:jc w:val="center"/>
            </w:pPr>
            <w:r>
              <w:rPr>
                <w:sz w:val="17"/>
                <w:szCs w:val="17"/>
              </w:rPr>
              <w:t xml:space="preserve">Media</w:t>
            </w:r>
          </w:p>
        </w:tc>
        <w:tc>
          <w:tcPr>
            <w:tcW w:type="dxa" w:w="1260"/>
            <w:tcMar>
              <w:top w:type="dxa" w:w="50"/>
              <w:left w:type="dxa" w:w="80"/>
              <w:bottom w:type="dxa" w:w="50"/>
              <w:right w:type="dxa" w:w="80"/>
            </w:tcMar>
            <w:vAlign w:val="center"/>
          </w:tcPr>
          <w:p>
            <w:pPr>
              <w:keepNext w:val="false"/>
              <w:spacing w:after="20" w:line="240"/>
              <w:jc w:val="center"/>
            </w:pPr>
            <w:r>
              <w:rPr>
                <w:sz w:val="17"/>
                <w:szCs w:val="17"/>
              </w:rPr>
              <w:t xml:space="preserve">Medio</w:t>
            </w:r>
          </w:p>
        </w:tc>
        <w:tc>
          <w:tcPr>
            <w:tcW w:type="dxa" w:w="2520"/>
            <w:tcMar>
              <w:top w:type="dxa" w:w="50"/>
              <w:left w:type="dxa" w:w="80"/>
              <w:bottom w:type="dxa" w:w="50"/>
              <w:right w:type="dxa" w:w="80"/>
            </w:tcMar>
            <w:vAlign w:val="center"/>
          </w:tcPr>
          <w:p>
            <w:pPr>
              <w:keepNext w:val="false"/>
              <w:spacing w:after="20" w:line="240"/>
              <w:jc w:val="left"/>
            </w:pPr>
            <w:r>
              <w:rPr>
                <w:sz w:val="17"/>
                <w:szCs w:val="17"/>
              </w:rPr>
              <w:t xml:space="preserve">Falta operación regular, sistematización, integración y transferencia.</w:t>
            </w:r>
          </w:p>
        </w:tc>
      </w:tr>
      <w:tr>
        <w:trPr>
          <w:cantSplit/>
        </w:trPr>
        <w:tc>
          <w:tcPr>
            <w:tcW w:type="dxa" w:w="1080"/>
            <w:tcMar>
              <w:top w:type="dxa" w:w="50"/>
              <w:left w:type="dxa" w:w="80"/>
              <w:bottom w:type="dxa" w:w="50"/>
              <w:right w:type="dxa" w:w="80"/>
            </w:tcMar>
            <w:vAlign w:val="center"/>
          </w:tcPr>
          <w:p>
            <w:pPr>
              <w:keepNext w:val="false"/>
              <w:spacing w:after="20" w:line="240"/>
              <w:jc w:val="left"/>
            </w:pPr>
            <w:r>
              <w:rPr>
                <w:sz w:val="17"/>
                <w:szCs w:val="17"/>
              </w:rPr>
              <w:t xml:space="preserve">Simulación ambiental</w:t>
            </w:r>
          </w:p>
        </w:tc>
        <w:tc>
          <w:tcPr>
            <w:tcW w:type="dxa" w:w="990"/>
            <w:shd w:fill="FFF2CC" w:color="auto" w:val="clear"/>
            <w:tcMar>
              <w:top w:type="dxa" w:w="50"/>
              <w:left w:type="dxa" w:w="80"/>
              <w:bottom w:type="dxa" w:w="50"/>
              <w:right w:type="dxa" w:w="80"/>
            </w:tcMar>
            <w:vAlign w:val="center"/>
          </w:tcPr>
          <w:p>
            <w:pPr>
              <w:keepNext w:val="false"/>
              <w:spacing w:after="20" w:line="240"/>
              <w:jc w:val="center"/>
            </w:pPr>
            <w:r>
              <w:rPr>
                <w:sz w:val="17"/>
                <w:szCs w:val="17"/>
              </w:rPr>
              <w:t xml:space="preserve">1 – Existente</w:t>
            </w:r>
          </w:p>
        </w:tc>
        <w:tc>
          <w:tcPr>
            <w:tcW w:type="dxa" w:w="2430"/>
            <w:tcMar>
              <w:top w:type="dxa" w:w="50"/>
              <w:left w:type="dxa" w:w="80"/>
              <w:bottom w:type="dxa" w:w="50"/>
              <w:right w:type="dxa" w:w="80"/>
            </w:tcMar>
            <w:vAlign w:val="center"/>
          </w:tcPr>
          <w:p>
            <w:pPr>
              <w:keepNext w:val="false"/>
              <w:spacing w:after="20" w:line="240"/>
              <w:jc w:val="left"/>
            </w:pPr>
            <w:r>
              <w:rPr>
                <w:sz w:val="17"/>
                <w:szCs w:val="17"/>
              </w:rPr>
              <w:t xml:space="preserve">Cámara descrita en fuentes, sin registros de pruebas recurrentes ni de acceso de terceros.</w:t>
            </w:r>
          </w:p>
        </w:tc>
        <w:tc>
          <w:tcPr>
            <w:tcW w:type="dxa" w:w="720"/>
            <w:tcMar>
              <w:top w:type="dxa" w:w="50"/>
              <w:left w:type="dxa" w:w="80"/>
              <w:bottom w:type="dxa" w:w="50"/>
              <w:right w:type="dxa" w:w="80"/>
            </w:tcMar>
            <w:vAlign w:val="center"/>
          </w:tcPr>
          <w:p>
            <w:pPr>
              <w:keepNext w:val="false"/>
              <w:spacing w:after="20" w:line="240"/>
              <w:jc w:val="center"/>
            </w:pPr>
            <w:r>
              <w:rPr>
                <w:sz w:val="17"/>
                <w:szCs w:val="17"/>
              </w:rPr>
              <w:t xml:space="preserve">Baja</w:t>
            </w:r>
          </w:p>
        </w:tc>
        <w:tc>
          <w:tcPr>
            <w:tcW w:type="dxa" w:w="1260"/>
            <w:tcMar>
              <w:top w:type="dxa" w:w="50"/>
              <w:left w:type="dxa" w:w="80"/>
              <w:bottom w:type="dxa" w:w="50"/>
              <w:right w:type="dxa" w:w="80"/>
            </w:tcMar>
            <w:vAlign w:val="center"/>
          </w:tcPr>
          <w:p>
            <w:pPr>
              <w:keepNext w:val="false"/>
              <w:spacing w:after="20" w:line="240"/>
              <w:jc w:val="center"/>
            </w:pPr>
            <w:r>
              <w:rPr>
                <w:sz w:val="17"/>
                <w:szCs w:val="17"/>
              </w:rPr>
              <w:t xml:space="preserve">Alto</w:t>
            </w:r>
          </w:p>
        </w:tc>
        <w:tc>
          <w:tcPr>
            <w:tcW w:type="dxa" w:w="2520"/>
            <w:tcMar>
              <w:top w:type="dxa" w:w="50"/>
              <w:left w:type="dxa" w:w="80"/>
              <w:bottom w:type="dxa" w:w="50"/>
              <w:right w:type="dxa" w:w="80"/>
            </w:tcMar>
            <w:vAlign w:val="center"/>
          </w:tcPr>
          <w:p>
            <w:pPr>
              <w:keepNext w:val="false"/>
              <w:spacing w:after="20" w:line="240"/>
              <w:jc w:val="left"/>
            </w:pPr>
            <w:r>
              <w:rPr>
                <w:sz w:val="17"/>
                <w:szCs w:val="17"/>
              </w:rPr>
              <w:t xml:space="preserve">Falta evidencia de uso y de servicios a terceros.</w:t>
            </w:r>
          </w:p>
        </w:tc>
      </w:tr>
      <w:tr>
        <w:trPr>
          <w:cantSplit/>
        </w:trPr>
        <w:tc>
          <w:tcPr>
            <w:tcW w:type="dxa" w:w="1080"/>
            <w:tcMar>
              <w:top w:type="dxa" w:w="50"/>
              <w:left w:type="dxa" w:w="80"/>
              <w:bottom w:type="dxa" w:w="50"/>
              <w:right w:type="dxa" w:w="80"/>
            </w:tcMar>
            <w:vAlign w:val="center"/>
          </w:tcPr>
          <w:p>
            <w:pPr>
              <w:keepNext w:val="false"/>
              <w:spacing w:after="20" w:line="240"/>
              <w:jc w:val="left"/>
            </w:pPr>
            <w:r>
              <w:rPr>
                <w:sz w:val="17"/>
                <w:szCs w:val="17"/>
              </w:rPr>
              <w:t xml:space="preserve">Cómputo HPC y datos</w:t>
            </w:r>
          </w:p>
        </w:tc>
        <w:tc>
          <w:tcPr>
            <w:tcW w:type="dxa" w:w="990"/>
            <w:shd w:fill="FFF2CC" w:color="auto" w:val="clear"/>
            <w:tcMar>
              <w:top w:type="dxa" w:w="50"/>
              <w:left w:type="dxa" w:w="80"/>
              <w:bottom w:type="dxa" w:w="50"/>
              <w:right w:type="dxa" w:w="80"/>
            </w:tcMar>
            <w:vAlign w:val="center"/>
          </w:tcPr>
          <w:p>
            <w:pPr>
              <w:keepNext w:val="false"/>
              <w:spacing w:after="20" w:line="240"/>
              <w:jc w:val="center"/>
            </w:pPr>
            <w:r>
              <w:rPr>
                <w:sz w:val="17"/>
                <w:szCs w:val="17"/>
              </w:rPr>
              <w:t xml:space="preserve">1 – Existente</w:t>
            </w:r>
          </w:p>
        </w:tc>
        <w:tc>
          <w:tcPr>
            <w:tcW w:type="dxa" w:w="2430"/>
            <w:tcMar>
              <w:top w:type="dxa" w:w="50"/>
              <w:left w:type="dxa" w:w="80"/>
              <w:bottom w:type="dxa" w:w="50"/>
              <w:right w:type="dxa" w:w="80"/>
            </w:tcMar>
            <w:vAlign w:val="center"/>
          </w:tcPr>
          <w:p>
            <w:pPr>
              <w:keepNext w:val="false"/>
              <w:spacing w:after="20" w:line="240"/>
              <w:jc w:val="left"/>
            </w:pPr>
            <w:r>
              <w:rPr>
                <w:sz w:val="17"/>
                <w:szCs w:val="17"/>
              </w:rPr>
              <w:t xml:space="preserve">Capacidad declarada en fuente única, sin evidencia de uso regular ni de acceso externo.</w:t>
            </w:r>
          </w:p>
        </w:tc>
        <w:tc>
          <w:tcPr>
            <w:tcW w:type="dxa" w:w="720"/>
            <w:tcMar>
              <w:top w:type="dxa" w:w="50"/>
              <w:left w:type="dxa" w:w="80"/>
              <w:bottom w:type="dxa" w:w="50"/>
              <w:right w:type="dxa" w:w="80"/>
            </w:tcMar>
            <w:vAlign w:val="center"/>
          </w:tcPr>
          <w:p>
            <w:pPr>
              <w:keepNext w:val="false"/>
              <w:spacing w:after="20" w:line="240"/>
              <w:jc w:val="center"/>
            </w:pPr>
            <w:r>
              <w:rPr>
                <w:sz w:val="17"/>
                <w:szCs w:val="17"/>
              </w:rPr>
              <w:t xml:space="preserve">Baja</w:t>
            </w:r>
          </w:p>
        </w:tc>
        <w:tc>
          <w:tcPr>
            <w:tcW w:type="dxa" w:w="1260"/>
            <w:tcMar>
              <w:top w:type="dxa" w:w="50"/>
              <w:left w:type="dxa" w:w="80"/>
              <w:bottom w:type="dxa" w:w="50"/>
              <w:right w:type="dxa" w:w="80"/>
            </w:tcMar>
            <w:vAlign w:val="center"/>
          </w:tcPr>
          <w:p>
            <w:pPr>
              <w:keepNext w:val="false"/>
              <w:spacing w:after="20" w:line="240"/>
              <w:jc w:val="center"/>
            </w:pPr>
            <w:r>
              <w:rPr>
                <w:sz w:val="17"/>
                <w:szCs w:val="17"/>
              </w:rPr>
              <w:t xml:space="preserve">Alto (condicional)</w:t>
            </w:r>
          </w:p>
        </w:tc>
        <w:tc>
          <w:tcPr>
            <w:tcW w:type="dxa" w:w="2520"/>
            <w:tcMar>
              <w:top w:type="dxa" w:w="50"/>
              <w:left w:type="dxa" w:w="80"/>
              <w:bottom w:type="dxa" w:w="50"/>
              <w:right w:type="dxa" w:w="80"/>
            </w:tcMar>
            <w:vAlign w:val="center"/>
          </w:tcPr>
          <w:p>
            <w:pPr>
              <w:keepNext w:val="false"/>
              <w:spacing w:after="20" w:line="240"/>
              <w:jc w:val="left"/>
            </w:pPr>
            <w:r>
              <w:rPr>
                <w:sz w:val="17"/>
                <w:szCs w:val="17"/>
              </w:rPr>
              <w:t xml:space="preserve">Gran brecha: sin acceso de terceros ni aplicaciones civiles documentadas.</w:t>
            </w:r>
          </w:p>
        </w:tc>
      </w:tr>
      <w:tr>
        <w:trPr>
          <w:cantSplit/>
        </w:trPr>
        <w:tc>
          <w:tcPr>
            <w:tcW w:type="dxa" w:w="1080"/>
            <w:tcMar>
              <w:top w:type="dxa" w:w="50"/>
              <w:left w:type="dxa" w:w="80"/>
              <w:bottom w:type="dxa" w:w="50"/>
              <w:right w:type="dxa" w:w="80"/>
            </w:tcMar>
            <w:vAlign w:val="center"/>
          </w:tcPr>
          <w:p>
            <w:pPr>
              <w:keepNext w:val="false"/>
              <w:spacing w:after="20" w:line="240"/>
              <w:jc w:val="left"/>
            </w:pPr>
            <w:r>
              <w:rPr>
                <w:sz w:val="17"/>
                <w:szCs w:val="17"/>
              </w:rPr>
              <w:t xml:space="preserve">Formación de personal</w:t>
            </w:r>
          </w:p>
        </w:tc>
        <w:tc>
          <w:tcPr>
            <w:tcW w:type="dxa" w:w="990"/>
            <w:shd w:fill="FFF2CC" w:color="auto" w:val="clear"/>
            <w:tcMar>
              <w:top w:type="dxa" w:w="50"/>
              <w:left w:type="dxa" w:w="80"/>
              <w:bottom w:type="dxa" w:w="50"/>
              <w:right w:type="dxa" w:w="80"/>
            </w:tcMar>
            <w:vAlign w:val="center"/>
          </w:tcPr>
          <w:p>
            <w:pPr>
              <w:keepNext w:val="false"/>
              <w:spacing w:after="20" w:line="240"/>
              <w:jc w:val="center"/>
            </w:pPr>
            <w:r>
              <w:rPr>
                <w:sz w:val="17"/>
                <w:szCs w:val="17"/>
              </w:rPr>
              <w:t xml:space="preserve">1 – Existente</w:t>
            </w:r>
          </w:p>
        </w:tc>
        <w:tc>
          <w:tcPr>
            <w:tcW w:type="dxa" w:w="2430"/>
            <w:tcMar>
              <w:top w:type="dxa" w:w="50"/>
              <w:left w:type="dxa" w:w="80"/>
              <w:bottom w:type="dxa" w:w="50"/>
              <w:right w:type="dxa" w:w="80"/>
            </w:tcMar>
            <w:vAlign w:val="center"/>
          </w:tcPr>
          <w:p>
            <w:pPr>
              <w:keepNext w:val="false"/>
              <w:spacing w:after="20" w:line="240"/>
              <w:jc w:val="left"/>
            </w:pPr>
            <w:r>
              <w:rPr>
                <w:sz w:val="17"/>
                <w:szCs w:val="17"/>
              </w:rPr>
              <w:t xml:space="preserve">Procesos de capacitación iniciados (FACh, 2025d), sin programa formal abierto.</w:t>
            </w:r>
          </w:p>
        </w:tc>
        <w:tc>
          <w:tcPr>
            <w:tcW w:type="dxa" w:w="720"/>
            <w:tcMar>
              <w:top w:type="dxa" w:w="50"/>
              <w:left w:type="dxa" w:w="80"/>
              <w:bottom w:type="dxa" w:w="50"/>
              <w:right w:type="dxa" w:w="80"/>
            </w:tcMar>
            <w:vAlign w:val="center"/>
          </w:tcPr>
          <w:p>
            <w:pPr>
              <w:keepNext w:val="false"/>
              <w:spacing w:after="20" w:line="240"/>
              <w:jc w:val="center"/>
            </w:pPr>
            <w:r>
              <w:rPr>
                <w:sz w:val="17"/>
                <w:szCs w:val="17"/>
              </w:rPr>
              <w:t xml:space="preserve">Media</w:t>
            </w:r>
          </w:p>
        </w:tc>
        <w:tc>
          <w:tcPr>
            <w:tcW w:type="dxa" w:w="1260"/>
            <w:tcMar>
              <w:top w:type="dxa" w:w="50"/>
              <w:left w:type="dxa" w:w="80"/>
              <w:bottom w:type="dxa" w:w="50"/>
              <w:right w:type="dxa" w:w="80"/>
            </w:tcMar>
            <w:vAlign w:val="center"/>
          </w:tcPr>
          <w:p>
            <w:pPr>
              <w:keepNext w:val="false"/>
              <w:spacing w:after="20" w:line="240"/>
              <w:jc w:val="center"/>
            </w:pPr>
            <w:r>
              <w:rPr>
                <w:sz w:val="17"/>
                <w:szCs w:val="17"/>
              </w:rPr>
              <w:t xml:space="preserve">Medio</w:t>
            </w:r>
          </w:p>
        </w:tc>
        <w:tc>
          <w:tcPr>
            <w:tcW w:type="dxa" w:w="2520"/>
            <w:tcMar>
              <w:top w:type="dxa" w:w="50"/>
              <w:left w:type="dxa" w:w="80"/>
              <w:bottom w:type="dxa" w:w="50"/>
              <w:right w:type="dxa" w:w="80"/>
            </w:tcMar>
            <w:vAlign w:val="center"/>
          </w:tcPr>
          <w:p>
            <w:pPr>
              <w:keepNext w:val="false"/>
              <w:spacing w:after="20" w:line="240"/>
              <w:jc w:val="left"/>
            </w:pPr>
            <w:r>
              <w:rPr>
                <w:sz w:val="17"/>
                <w:szCs w:val="17"/>
              </w:rPr>
              <w:t xml:space="preserve">Falta vinculación con universidades y programa estructurado.</w:t>
            </w:r>
          </w:p>
        </w:tc>
      </w:tr>
    </w:tbl>
    <w:p>
      <w:pPr>
        <w:spacing w:after="200" w:before="60"/>
        <w:jc w:val="center"/>
      </w:pPr>
      <w:r>
        <w:rPr>
          <w:i/>
          <w:iCs/>
          <w:sz w:val="17"/>
          <w:szCs w:val="17"/>
        </w:rPr>
        <w:t xml:space="preserve">Fuente: Elaboración propia.</w:t>
      </w:r>
    </w:p>
    <w:p>
      <w:pPr>
        <w:spacing w:after="140" w:line="260"/>
        <w:jc w:val="both"/>
      </w:pPr>
      <w:r>
        <w:rPr>
          <w:i/>
          <w:iCs/>
          <w:sz w:val="19"/>
          <w:szCs w:val="19"/>
        </w:rPr>
        <w:t xml:space="preserve">Evaluación preliminar basada en evidencia secundaria, aplicando las definiciones de la escala. El nivel 2 exige al menos un uso real documentado: el ejercicio Salitre 2026 lo cumple para el control de misión, pero no alcanza el nivel 3, que requiere ejecución recurrente, procesos documentados e indicadores. El nivel 1 indica ausencia de evidencia pública de uso regular, no necesariamente ausencia de uso (H3); la clasificación podrá revisarse al contrastarla con fuentes primarias.</w:t>
      </w:r>
    </w:p>
    <w:p>
      <w:pPr>
        <w:spacing w:after="140" w:line="300"/>
        <w:jc w:val="both"/>
      </w:pPr>
      <w:r>
        <w:t xml:space="preserve">La aplicación estricta de la escala arroja un resultado más conservador que una lectura intuitiva: solo el control de misión alcanza el nivel 2 y las demás capacidades permanecen en el nivel 1. Ninguna capacidad supera el nivel 2. Esto significa que el CEN, recién inaugurado, está en una fase de puesta en marcha y que la distancia hacia la transferencia (nivel 5) es amplia. La brecha más significativa está en el HPC y los datos: por su potencial de aplicaciones sectoriales deberían aspirar a niveles de integración y transferencia, pero hoy carecen de evidencia de uso y de vías de acceso.</w:t>
      </w:r>
    </w:p>
    <w:p>
      <w:pPr>
        <w:pStyle w:val="Heading2"/>
      </w:pPr>
      <w:r>
        <w:t xml:space="preserve">3.7 Potencial de transferencia tecnológica</w:t>
      </w:r>
    </w:p>
    <w:p>
      <w:pPr>
        <w:spacing w:after="140" w:line="300"/>
        <w:jc w:val="both"/>
      </w:pPr>
      <w:r>
        <w:t xml:space="preserve">La cuarta dimensión de la caracterización identifica, para cada capacidad, quiénes podrían recibir conocimiento, servicios o tecnología, de qué forma y bajo qué condiciones. La valoración es cualitativa (alto, medio o bajo) según el número de receptores potenciales identificados, la ausencia de alternativas nacionales conocidas y el grado de dependencia de decisiones externas al CEN. Se trata de la hipótesis H4 (Tabla 14).</w:t>
      </w:r>
    </w:p>
    <w:p>
      <w:pPr>
        <w:pStyle w:val="Caption"/>
        <w:keepNext/>
        <w:spacing w:after="80" w:before="200"/>
        <w:jc w:val="center"/>
      </w:pPr>
      <w:r>
        <w:rPr>
          <w:b/>
          <w:bCs/>
        </w:rPr>
        <w:t xml:space="preserve">Tabla </w:t>
      </w:r>
      <w:fldSimple w:instr="SEQ Tabla \* ARABIC">
        <w:r>
          <w:t xml:space="preserve">14</w:t>
        </w:r>
      </w:fldSimple>
      <w:r>
        <w:rPr>
          <w:b/>
          <w:bCs/>
        </w:rPr>
        <w:t xml:space="preserve">. Potencial de transferencia tecnológica por capacidad del CEN</w:t>
      </w:r>
    </w:p>
    <w:tbl>
      <w:tblPr>
        <w:tblW w:type="dxa" w:w="9000"/>
        <w:tblBorders>
          <w:top w:val="single" w:color="A6A6A6" w:sz="4"/>
          <w:left w:val="single" w:color="A6A6A6" w:sz="4"/>
          <w:bottom w:val="single" w:color="A6A6A6" w:sz="4"/>
          <w:right w:val="single" w:color="A6A6A6" w:sz="4"/>
          <w:insideH w:val="single" w:color="A6A6A6" w:sz="4"/>
          <w:insideV w:val="single" w:color="A6A6A6" w:sz="4"/>
        </w:tblBorders>
      </w:tblPr>
      <w:tblGrid>
        <w:gridCol w:w="1350"/>
        <w:gridCol w:w="990"/>
        <w:gridCol w:w="2070"/>
        <w:gridCol w:w="1890"/>
        <w:gridCol w:w="2070"/>
        <w:gridCol w:w="630"/>
      </w:tblGrid>
      <w:tr>
        <w:trPr>
          <w:cantSplit/>
          <w:tblHeader/>
        </w:trPr>
        <w:tc>
          <w:tcPr>
            <w:tcW w:type="dxa" w:w="135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Capacidad</w:t>
            </w:r>
          </w:p>
        </w:tc>
        <w:tc>
          <w:tcPr>
            <w:tcW w:type="dxa" w:w="99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Potencial</w:t>
            </w:r>
          </w:p>
        </w:tc>
        <w:tc>
          <w:tcPr>
            <w:tcW w:type="dxa" w:w="207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Receptores potenciales</w:t>
            </w:r>
          </w:p>
        </w:tc>
        <w:tc>
          <w:tcPr>
            <w:tcW w:type="dxa" w:w="189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Forma de transferencia</w:t>
            </w:r>
          </w:p>
        </w:tc>
        <w:tc>
          <w:tcPr>
            <w:tcW w:type="dxa" w:w="207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Condición habilitante</w:t>
            </w:r>
          </w:p>
        </w:tc>
        <w:tc>
          <w:tcPr>
            <w:tcW w:type="dxa" w:w="63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Conf.</w:t>
            </w:r>
          </w:p>
        </w:tc>
      </w:tr>
      <w:tr>
        <w:trPr>
          <w:cantSplit/>
        </w:trPr>
        <w:tc>
          <w:tcPr>
            <w:tcW w:type="dxa" w:w="1350"/>
            <w:tcMar>
              <w:top w:type="dxa" w:w="50"/>
              <w:left w:type="dxa" w:w="80"/>
              <w:bottom w:type="dxa" w:w="50"/>
              <w:right w:type="dxa" w:w="80"/>
            </w:tcMar>
            <w:vAlign w:val="center"/>
          </w:tcPr>
          <w:p>
            <w:pPr>
              <w:keepNext w:val="false"/>
              <w:spacing w:after="20" w:line="240"/>
              <w:jc w:val="left"/>
            </w:pPr>
            <w:r>
              <w:rPr>
                <w:sz w:val="17"/>
                <w:szCs w:val="17"/>
              </w:rPr>
              <w:t xml:space="preserve">Ensamblaje e integración (sala limpia)</w:t>
            </w:r>
          </w:p>
        </w:tc>
        <w:tc>
          <w:tcPr>
            <w:tcW w:type="dxa" w:w="990"/>
            <w:shd w:fill="FFF2CC" w:color="auto" w:val="clear"/>
            <w:tcMar>
              <w:top w:type="dxa" w:w="50"/>
              <w:left w:type="dxa" w:w="80"/>
              <w:bottom w:type="dxa" w:w="50"/>
              <w:right w:type="dxa" w:w="80"/>
            </w:tcMar>
            <w:vAlign w:val="center"/>
          </w:tcPr>
          <w:p>
            <w:pPr>
              <w:keepNext w:val="false"/>
              <w:spacing w:after="20" w:line="240"/>
              <w:jc w:val="center"/>
            </w:pPr>
            <w:r>
              <w:rPr>
                <w:sz w:val="17"/>
                <w:szCs w:val="17"/>
              </w:rPr>
              <w:t xml:space="preserve">Medio</w:t>
            </w:r>
          </w:p>
        </w:tc>
        <w:tc>
          <w:tcPr>
            <w:tcW w:type="dxa" w:w="2070"/>
            <w:tcMar>
              <w:top w:type="dxa" w:w="50"/>
              <w:left w:type="dxa" w:w="80"/>
              <w:bottom w:type="dxa" w:w="50"/>
              <w:right w:type="dxa" w:w="80"/>
            </w:tcMar>
            <w:vAlign w:val="center"/>
          </w:tcPr>
          <w:p>
            <w:pPr>
              <w:keepNext w:val="false"/>
              <w:spacing w:after="20" w:line="240"/>
              <w:jc w:val="left"/>
            </w:pPr>
            <w:r>
              <w:rPr>
                <w:sz w:val="17"/>
                <w:szCs w:val="17"/>
              </w:rPr>
              <w:t xml:space="preserve">Proveedores nacionales (por ejemplo, ENAER y pymes); programas universitarios de nanosatélites.</w:t>
            </w:r>
          </w:p>
        </w:tc>
        <w:tc>
          <w:tcPr>
            <w:tcW w:type="dxa" w:w="1890"/>
            <w:tcMar>
              <w:top w:type="dxa" w:w="50"/>
              <w:left w:type="dxa" w:w="80"/>
              <w:bottom w:type="dxa" w:w="50"/>
              <w:right w:type="dxa" w:w="80"/>
            </w:tcMar>
            <w:vAlign w:val="center"/>
          </w:tcPr>
          <w:p>
            <w:pPr>
              <w:keepNext w:val="false"/>
              <w:spacing w:after="20" w:line="240"/>
              <w:jc w:val="left"/>
            </w:pPr>
            <w:r>
              <w:rPr>
                <w:sz w:val="17"/>
                <w:szCs w:val="17"/>
              </w:rPr>
              <w:t xml:space="preserve">Servicios de integración y pruebas; subcontratación de subsistemas.</w:t>
            </w:r>
          </w:p>
        </w:tc>
        <w:tc>
          <w:tcPr>
            <w:tcW w:type="dxa" w:w="2070"/>
            <w:tcMar>
              <w:top w:type="dxa" w:w="50"/>
              <w:left w:type="dxa" w:w="80"/>
              <w:bottom w:type="dxa" w:w="50"/>
              <w:right w:type="dxa" w:w="80"/>
            </w:tcMar>
            <w:vAlign w:val="center"/>
          </w:tcPr>
          <w:p>
            <w:pPr>
              <w:keepNext w:val="false"/>
              <w:spacing w:after="20" w:line="240"/>
              <w:jc w:val="left"/>
            </w:pPr>
            <w:r>
              <w:rPr>
                <w:sz w:val="17"/>
                <w:szCs w:val="17"/>
              </w:rPr>
              <w:t xml:space="preserve">Reglamento de acceso; compras públicas; demanda sostenida del SNSat.</w:t>
            </w:r>
          </w:p>
        </w:tc>
        <w:tc>
          <w:tcPr>
            <w:tcW w:type="dxa" w:w="630"/>
            <w:tcMar>
              <w:top w:type="dxa" w:w="50"/>
              <w:left w:type="dxa" w:w="80"/>
              <w:bottom w:type="dxa" w:w="50"/>
              <w:right w:type="dxa" w:w="80"/>
            </w:tcMar>
            <w:vAlign w:val="center"/>
          </w:tcPr>
          <w:p>
            <w:pPr>
              <w:keepNext w:val="false"/>
              <w:spacing w:after="20" w:line="240"/>
              <w:jc w:val="center"/>
            </w:pPr>
            <w:r>
              <w:rPr>
                <w:sz w:val="17"/>
                <w:szCs w:val="17"/>
              </w:rPr>
              <w:t xml:space="preserve">Baja</w:t>
            </w:r>
          </w:p>
        </w:tc>
      </w:tr>
      <w:tr>
        <w:trPr>
          <w:cantSplit/>
        </w:trPr>
        <w:tc>
          <w:tcPr>
            <w:tcW w:type="dxa" w:w="1350"/>
            <w:tcMar>
              <w:top w:type="dxa" w:w="50"/>
              <w:left w:type="dxa" w:w="80"/>
              <w:bottom w:type="dxa" w:w="50"/>
              <w:right w:type="dxa" w:w="80"/>
            </w:tcMar>
            <w:vAlign w:val="center"/>
          </w:tcPr>
          <w:p>
            <w:pPr>
              <w:keepNext w:val="false"/>
              <w:spacing w:after="20" w:line="240"/>
              <w:jc w:val="left"/>
            </w:pPr>
            <w:r>
              <w:rPr>
                <w:sz w:val="17"/>
                <w:szCs w:val="17"/>
              </w:rPr>
              <w:t xml:space="preserve">Simulación ambiental</w:t>
            </w:r>
          </w:p>
        </w:tc>
        <w:tc>
          <w:tcPr>
            <w:tcW w:type="dxa" w:w="990"/>
            <w:shd w:fill="E2EFDA" w:color="auto" w:val="clear"/>
            <w:tcMar>
              <w:top w:type="dxa" w:w="50"/>
              <w:left w:type="dxa" w:w="80"/>
              <w:bottom w:type="dxa" w:w="50"/>
              <w:right w:type="dxa" w:w="80"/>
            </w:tcMar>
            <w:vAlign w:val="center"/>
          </w:tcPr>
          <w:p>
            <w:pPr>
              <w:keepNext w:val="false"/>
              <w:spacing w:after="20" w:line="240"/>
              <w:jc w:val="center"/>
            </w:pPr>
            <w:r>
              <w:rPr>
                <w:sz w:val="17"/>
                <w:szCs w:val="17"/>
              </w:rPr>
              <w:t xml:space="preserve">Alto</w:t>
            </w:r>
          </w:p>
        </w:tc>
        <w:tc>
          <w:tcPr>
            <w:tcW w:type="dxa" w:w="2070"/>
            <w:tcMar>
              <w:top w:type="dxa" w:w="50"/>
              <w:left w:type="dxa" w:w="80"/>
              <w:bottom w:type="dxa" w:w="50"/>
              <w:right w:type="dxa" w:w="80"/>
            </w:tcMar>
            <w:vAlign w:val="center"/>
          </w:tcPr>
          <w:p>
            <w:pPr>
              <w:keepNext w:val="false"/>
              <w:spacing w:after="20" w:line="240"/>
              <w:jc w:val="left"/>
            </w:pPr>
            <w:r>
              <w:rPr>
                <w:sz w:val="17"/>
                <w:szCs w:val="17"/>
              </w:rPr>
              <w:t xml:space="preserve">Programas universitarios; instrumentación astronómica; empresas de base tecnológica.</w:t>
            </w:r>
          </w:p>
        </w:tc>
        <w:tc>
          <w:tcPr>
            <w:tcW w:type="dxa" w:w="1890"/>
            <w:tcMar>
              <w:top w:type="dxa" w:w="50"/>
              <w:left w:type="dxa" w:w="80"/>
              <w:bottom w:type="dxa" w:w="50"/>
              <w:right w:type="dxa" w:w="80"/>
            </w:tcMar>
            <w:vAlign w:val="center"/>
          </w:tcPr>
          <w:p>
            <w:pPr>
              <w:keepNext w:val="false"/>
              <w:spacing w:after="20" w:line="240"/>
              <w:jc w:val="left"/>
            </w:pPr>
            <w:r>
              <w:rPr>
                <w:sz w:val="17"/>
                <w:szCs w:val="17"/>
              </w:rPr>
              <w:t xml:space="preserve">Servicio de ensayos ambientales a terceros.</w:t>
            </w:r>
          </w:p>
        </w:tc>
        <w:tc>
          <w:tcPr>
            <w:tcW w:type="dxa" w:w="2070"/>
            <w:tcMar>
              <w:top w:type="dxa" w:w="50"/>
              <w:left w:type="dxa" w:w="80"/>
              <w:bottom w:type="dxa" w:w="50"/>
              <w:right w:type="dxa" w:w="80"/>
            </w:tcMar>
            <w:vAlign w:val="center"/>
          </w:tcPr>
          <w:p>
            <w:pPr>
              <w:keepNext w:val="false"/>
              <w:spacing w:after="20" w:line="240"/>
              <w:jc w:val="left"/>
            </w:pPr>
            <w:r>
              <w:rPr>
                <w:sz w:val="17"/>
                <w:szCs w:val="17"/>
              </w:rPr>
              <w:t xml:space="preserve">Reglamento y tarifas de acceso; protocolo de seguridad; sin alternativa nacional conocida (por verificar).</w:t>
            </w:r>
          </w:p>
        </w:tc>
        <w:tc>
          <w:tcPr>
            <w:tcW w:type="dxa" w:w="630"/>
            <w:tcMar>
              <w:top w:type="dxa" w:w="50"/>
              <w:left w:type="dxa" w:w="80"/>
              <w:bottom w:type="dxa" w:w="50"/>
              <w:right w:type="dxa" w:w="80"/>
            </w:tcMar>
            <w:vAlign w:val="center"/>
          </w:tcPr>
          <w:p>
            <w:pPr>
              <w:keepNext w:val="false"/>
              <w:spacing w:after="20" w:line="240"/>
              <w:jc w:val="center"/>
            </w:pPr>
            <w:r>
              <w:rPr>
                <w:sz w:val="17"/>
                <w:szCs w:val="17"/>
              </w:rPr>
              <w:t xml:space="preserve">Baja</w:t>
            </w:r>
          </w:p>
        </w:tc>
      </w:tr>
      <w:tr>
        <w:trPr>
          <w:cantSplit/>
        </w:trPr>
        <w:tc>
          <w:tcPr>
            <w:tcW w:type="dxa" w:w="1350"/>
            <w:tcMar>
              <w:top w:type="dxa" w:w="50"/>
              <w:left w:type="dxa" w:w="80"/>
              <w:bottom w:type="dxa" w:w="50"/>
              <w:right w:type="dxa" w:w="80"/>
            </w:tcMar>
            <w:vAlign w:val="center"/>
          </w:tcPr>
          <w:p>
            <w:pPr>
              <w:keepNext w:val="false"/>
              <w:spacing w:after="20" w:line="240"/>
              <w:jc w:val="left"/>
            </w:pPr>
            <w:r>
              <w:rPr>
                <w:sz w:val="17"/>
                <w:szCs w:val="17"/>
              </w:rPr>
              <w:t xml:space="preserve">Control de misión</w:t>
            </w:r>
          </w:p>
        </w:tc>
        <w:tc>
          <w:tcPr>
            <w:tcW w:type="dxa" w:w="990"/>
            <w:shd w:fill="FFF2CC" w:color="auto" w:val="clear"/>
            <w:tcMar>
              <w:top w:type="dxa" w:w="50"/>
              <w:left w:type="dxa" w:w="80"/>
              <w:bottom w:type="dxa" w:w="50"/>
              <w:right w:type="dxa" w:w="80"/>
            </w:tcMar>
            <w:vAlign w:val="center"/>
          </w:tcPr>
          <w:p>
            <w:pPr>
              <w:keepNext w:val="false"/>
              <w:spacing w:after="20" w:line="240"/>
              <w:jc w:val="center"/>
            </w:pPr>
            <w:r>
              <w:rPr>
                <w:sz w:val="17"/>
                <w:szCs w:val="17"/>
              </w:rPr>
              <w:t xml:space="preserve">Medio</w:t>
            </w:r>
          </w:p>
        </w:tc>
        <w:tc>
          <w:tcPr>
            <w:tcW w:type="dxa" w:w="2070"/>
            <w:tcMar>
              <w:top w:type="dxa" w:w="50"/>
              <w:left w:type="dxa" w:w="80"/>
              <w:bottom w:type="dxa" w:w="50"/>
              <w:right w:type="dxa" w:w="80"/>
            </w:tcMar>
            <w:vAlign w:val="center"/>
          </w:tcPr>
          <w:p>
            <w:pPr>
              <w:keepNext w:val="false"/>
              <w:spacing w:after="20" w:line="240"/>
              <w:jc w:val="left"/>
            </w:pPr>
            <w:r>
              <w:rPr>
                <w:sz w:val="17"/>
                <w:szCs w:val="17"/>
              </w:rPr>
              <w:t xml:space="preserve">Organismos sectoriales; cooperación internacional.</w:t>
            </w:r>
          </w:p>
        </w:tc>
        <w:tc>
          <w:tcPr>
            <w:tcW w:type="dxa" w:w="1890"/>
            <w:tcMar>
              <w:top w:type="dxa" w:w="50"/>
              <w:left w:type="dxa" w:w="80"/>
              <w:bottom w:type="dxa" w:w="50"/>
              <w:right w:type="dxa" w:w="80"/>
            </w:tcMar>
            <w:vAlign w:val="center"/>
          </w:tcPr>
          <w:p>
            <w:pPr>
              <w:keepNext w:val="false"/>
              <w:spacing w:after="20" w:line="240"/>
              <w:jc w:val="left"/>
            </w:pPr>
            <w:r>
              <w:rPr>
                <w:sz w:val="17"/>
                <w:szCs w:val="17"/>
              </w:rPr>
              <w:t xml:space="preserve">Servicio de operación y de entrega de imágenes.</w:t>
            </w:r>
          </w:p>
        </w:tc>
        <w:tc>
          <w:tcPr>
            <w:tcW w:type="dxa" w:w="2070"/>
            <w:tcMar>
              <w:top w:type="dxa" w:w="50"/>
              <w:left w:type="dxa" w:w="80"/>
              <w:bottom w:type="dxa" w:w="50"/>
              <w:right w:type="dxa" w:w="80"/>
            </w:tcMar>
            <w:vAlign w:val="center"/>
          </w:tcPr>
          <w:p>
            <w:pPr>
              <w:keepNext w:val="false"/>
              <w:spacing w:after="20" w:line="240"/>
              <w:jc w:val="left"/>
            </w:pPr>
            <w:r>
              <w:rPr>
                <w:sz w:val="17"/>
                <w:szCs w:val="17"/>
              </w:rPr>
              <w:t xml:space="preserve">Gobernanza interinstitucional; definición de usuarios.</w:t>
            </w:r>
          </w:p>
        </w:tc>
        <w:tc>
          <w:tcPr>
            <w:tcW w:type="dxa" w:w="630"/>
            <w:tcMar>
              <w:top w:type="dxa" w:w="50"/>
              <w:left w:type="dxa" w:w="80"/>
              <w:bottom w:type="dxa" w:w="50"/>
              <w:right w:type="dxa" w:w="80"/>
            </w:tcMar>
            <w:vAlign w:val="center"/>
          </w:tcPr>
          <w:p>
            <w:pPr>
              <w:keepNext w:val="false"/>
              <w:spacing w:after="20" w:line="240"/>
              <w:jc w:val="center"/>
            </w:pPr>
            <w:r>
              <w:rPr>
                <w:sz w:val="17"/>
                <w:szCs w:val="17"/>
              </w:rPr>
              <w:t xml:space="preserve">Media</w:t>
            </w:r>
          </w:p>
        </w:tc>
      </w:tr>
      <w:tr>
        <w:trPr>
          <w:cantSplit/>
        </w:trPr>
        <w:tc>
          <w:tcPr>
            <w:tcW w:type="dxa" w:w="1350"/>
            <w:tcMar>
              <w:top w:type="dxa" w:w="50"/>
              <w:left w:type="dxa" w:w="80"/>
              <w:bottom w:type="dxa" w:w="50"/>
              <w:right w:type="dxa" w:w="80"/>
            </w:tcMar>
            <w:vAlign w:val="center"/>
          </w:tcPr>
          <w:p>
            <w:pPr>
              <w:keepNext w:val="false"/>
              <w:spacing w:after="20" w:line="240"/>
              <w:jc w:val="left"/>
            </w:pPr>
            <w:r>
              <w:rPr>
                <w:sz w:val="17"/>
                <w:szCs w:val="17"/>
              </w:rPr>
              <w:t xml:space="preserve">HPC y datos satelitales</w:t>
            </w:r>
          </w:p>
        </w:tc>
        <w:tc>
          <w:tcPr>
            <w:tcW w:type="dxa" w:w="990"/>
            <w:shd w:fill="E2EFDA" w:color="auto" w:val="clear"/>
            <w:tcMar>
              <w:top w:type="dxa" w:w="50"/>
              <w:left w:type="dxa" w:w="80"/>
              <w:bottom w:type="dxa" w:w="50"/>
              <w:right w:type="dxa" w:w="80"/>
            </w:tcMar>
            <w:vAlign w:val="center"/>
          </w:tcPr>
          <w:p>
            <w:pPr>
              <w:keepNext w:val="false"/>
              <w:spacing w:after="20" w:line="240"/>
              <w:jc w:val="center"/>
            </w:pPr>
            <w:r>
              <w:rPr>
                <w:sz w:val="17"/>
                <w:szCs w:val="17"/>
              </w:rPr>
              <w:t xml:space="preserve">Alto (condicional)</w:t>
            </w:r>
          </w:p>
        </w:tc>
        <w:tc>
          <w:tcPr>
            <w:tcW w:type="dxa" w:w="2070"/>
            <w:tcMar>
              <w:top w:type="dxa" w:w="50"/>
              <w:left w:type="dxa" w:w="80"/>
              <w:bottom w:type="dxa" w:w="50"/>
              <w:right w:type="dxa" w:w="80"/>
            </w:tcMar>
            <w:vAlign w:val="center"/>
          </w:tcPr>
          <w:p>
            <w:pPr>
              <w:keepNext w:val="false"/>
              <w:spacing w:after="20" w:line="240"/>
              <w:jc w:val="left"/>
            </w:pPr>
            <w:r>
              <w:rPr>
                <w:sz w:val="17"/>
                <w:szCs w:val="17"/>
              </w:rPr>
              <w:t xml:space="preserve">Sernageomin, DGA, SENAPRED, academia, empresas de datos.</w:t>
            </w:r>
          </w:p>
        </w:tc>
        <w:tc>
          <w:tcPr>
            <w:tcW w:type="dxa" w:w="1890"/>
            <w:tcMar>
              <w:top w:type="dxa" w:w="50"/>
              <w:left w:type="dxa" w:w="80"/>
              <w:bottom w:type="dxa" w:w="50"/>
              <w:right w:type="dxa" w:w="80"/>
            </w:tcMar>
            <w:vAlign w:val="center"/>
          </w:tcPr>
          <w:p>
            <w:pPr>
              <w:keepNext w:val="false"/>
              <w:spacing w:after="20" w:line="240"/>
              <w:jc w:val="left"/>
            </w:pPr>
            <w:r>
              <w:rPr>
                <w:sz w:val="17"/>
                <w:szCs w:val="17"/>
              </w:rPr>
              <w:t xml:space="preserve">Acceso regulado a datos y procesamiento; productos derivados.</w:t>
            </w:r>
          </w:p>
        </w:tc>
        <w:tc>
          <w:tcPr>
            <w:tcW w:type="dxa" w:w="2070"/>
            <w:tcMar>
              <w:top w:type="dxa" w:w="50"/>
              <w:left w:type="dxa" w:w="80"/>
              <w:bottom w:type="dxa" w:w="50"/>
              <w:right w:type="dxa" w:w="80"/>
            </w:tcMar>
            <w:vAlign w:val="center"/>
          </w:tcPr>
          <w:p>
            <w:pPr>
              <w:keepNext w:val="false"/>
              <w:spacing w:after="20" w:line="240"/>
              <w:jc w:val="left"/>
            </w:pPr>
            <w:r>
              <w:rPr>
                <w:sz w:val="17"/>
                <w:szCs w:val="17"/>
              </w:rPr>
              <w:t xml:space="preserve">Origen de datos verificado; protocolo de uso dual; demanda efectiva.</w:t>
            </w:r>
          </w:p>
        </w:tc>
        <w:tc>
          <w:tcPr>
            <w:tcW w:type="dxa" w:w="630"/>
            <w:tcMar>
              <w:top w:type="dxa" w:w="50"/>
              <w:left w:type="dxa" w:w="80"/>
              <w:bottom w:type="dxa" w:w="50"/>
              <w:right w:type="dxa" w:w="80"/>
            </w:tcMar>
            <w:vAlign w:val="center"/>
          </w:tcPr>
          <w:p>
            <w:pPr>
              <w:keepNext w:val="false"/>
              <w:spacing w:after="20" w:line="240"/>
              <w:jc w:val="center"/>
            </w:pPr>
            <w:r>
              <w:rPr>
                <w:sz w:val="17"/>
                <w:szCs w:val="17"/>
              </w:rPr>
              <w:t xml:space="preserve">Baja</w:t>
            </w:r>
          </w:p>
        </w:tc>
      </w:tr>
      <w:tr>
        <w:trPr>
          <w:cantSplit/>
        </w:trPr>
        <w:tc>
          <w:tcPr>
            <w:tcW w:type="dxa" w:w="1350"/>
            <w:tcMar>
              <w:top w:type="dxa" w:w="50"/>
              <w:left w:type="dxa" w:w="80"/>
              <w:bottom w:type="dxa" w:w="50"/>
              <w:right w:type="dxa" w:w="80"/>
            </w:tcMar>
            <w:vAlign w:val="center"/>
          </w:tcPr>
          <w:p>
            <w:pPr>
              <w:keepNext w:val="false"/>
              <w:spacing w:after="20" w:line="240"/>
              <w:jc w:val="left"/>
            </w:pPr>
            <w:r>
              <w:rPr>
                <w:sz w:val="17"/>
                <w:szCs w:val="17"/>
              </w:rPr>
              <w:t xml:space="preserve">Formación de personal</w:t>
            </w:r>
          </w:p>
        </w:tc>
        <w:tc>
          <w:tcPr>
            <w:tcW w:type="dxa" w:w="990"/>
            <w:shd w:fill="FFF2CC" w:color="auto" w:val="clear"/>
            <w:tcMar>
              <w:top w:type="dxa" w:w="50"/>
              <w:left w:type="dxa" w:w="80"/>
              <w:bottom w:type="dxa" w:w="50"/>
              <w:right w:type="dxa" w:w="80"/>
            </w:tcMar>
            <w:vAlign w:val="center"/>
          </w:tcPr>
          <w:p>
            <w:pPr>
              <w:keepNext w:val="false"/>
              <w:spacing w:after="20" w:line="240"/>
              <w:jc w:val="center"/>
            </w:pPr>
            <w:r>
              <w:rPr>
                <w:sz w:val="17"/>
                <w:szCs w:val="17"/>
              </w:rPr>
              <w:t xml:space="preserve">Medio</w:t>
            </w:r>
          </w:p>
        </w:tc>
        <w:tc>
          <w:tcPr>
            <w:tcW w:type="dxa" w:w="2070"/>
            <w:tcMar>
              <w:top w:type="dxa" w:w="50"/>
              <w:left w:type="dxa" w:w="80"/>
              <w:bottom w:type="dxa" w:w="50"/>
              <w:right w:type="dxa" w:w="80"/>
            </w:tcMar>
            <w:vAlign w:val="center"/>
          </w:tcPr>
          <w:p>
            <w:pPr>
              <w:keepNext w:val="false"/>
              <w:spacing w:after="20" w:line="240"/>
              <w:jc w:val="left"/>
            </w:pPr>
            <w:r>
              <w:rPr>
                <w:sz w:val="17"/>
                <w:szCs w:val="17"/>
              </w:rPr>
              <w:t xml:space="preserve">Universidades; FACh; industria.</w:t>
            </w:r>
          </w:p>
        </w:tc>
        <w:tc>
          <w:tcPr>
            <w:tcW w:type="dxa" w:w="1890"/>
            <w:tcMar>
              <w:top w:type="dxa" w:w="50"/>
              <w:left w:type="dxa" w:w="80"/>
              <w:bottom w:type="dxa" w:w="50"/>
              <w:right w:type="dxa" w:w="80"/>
            </w:tcMar>
            <w:vAlign w:val="center"/>
          </w:tcPr>
          <w:p>
            <w:pPr>
              <w:keepNext w:val="false"/>
              <w:spacing w:after="20" w:line="240"/>
              <w:jc w:val="left"/>
            </w:pPr>
            <w:r>
              <w:rPr>
                <w:sz w:val="17"/>
                <w:szCs w:val="17"/>
              </w:rPr>
              <w:t xml:space="preserve">Pasantías, tesis, cursos y programas conjuntos.</w:t>
            </w:r>
          </w:p>
        </w:tc>
        <w:tc>
          <w:tcPr>
            <w:tcW w:type="dxa" w:w="2070"/>
            <w:tcMar>
              <w:top w:type="dxa" w:w="50"/>
              <w:left w:type="dxa" w:w="80"/>
              <w:bottom w:type="dxa" w:w="50"/>
              <w:right w:type="dxa" w:w="80"/>
            </w:tcMar>
            <w:vAlign w:val="center"/>
          </w:tcPr>
          <w:p>
            <w:pPr>
              <w:keepNext w:val="false"/>
              <w:spacing w:after="20" w:line="240"/>
              <w:jc w:val="left"/>
            </w:pPr>
            <w:r>
              <w:rPr>
                <w:sz w:val="17"/>
                <w:szCs w:val="17"/>
              </w:rPr>
              <w:t xml:space="preserve">Convenios con academia; programa estructurado.</w:t>
            </w:r>
          </w:p>
        </w:tc>
        <w:tc>
          <w:tcPr>
            <w:tcW w:type="dxa" w:w="630"/>
            <w:tcMar>
              <w:top w:type="dxa" w:w="50"/>
              <w:left w:type="dxa" w:w="80"/>
              <w:bottom w:type="dxa" w:w="50"/>
              <w:right w:type="dxa" w:w="80"/>
            </w:tcMar>
            <w:vAlign w:val="center"/>
          </w:tcPr>
          <w:p>
            <w:pPr>
              <w:keepNext w:val="false"/>
              <w:spacing w:after="20" w:line="240"/>
              <w:jc w:val="center"/>
            </w:pPr>
            <w:r>
              <w:rPr>
                <w:sz w:val="17"/>
                <w:szCs w:val="17"/>
              </w:rPr>
              <w:t xml:space="preserve">Media</w:t>
            </w:r>
          </w:p>
        </w:tc>
      </w:tr>
    </w:tbl>
    <w:p>
      <w:pPr>
        <w:spacing w:after="200" w:before="60"/>
        <w:jc w:val="center"/>
      </w:pPr>
      <w:r>
        <w:rPr>
          <w:i/>
          <w:iCs/>
          <w:sz w:val="17"/>
          <w:szCs w:val="17"/>
        </w:rPr>
        <w:t xml:space="preserve">Fuente: Elaboración propia.</w:t>
      </w:r>
    </w:p>
    <w:p>
      <w:pPr>
        <w:pStyle w:val="Heading2"/>
      </w:pPr>
      <w:r>
        <w:t xml:space="preserve">3.8 Línea base preliminar del ecosistema espacial chileno</w:t>
      </w:r>
    </w:p>
    <w:p>
      <w:pPr>
        <w:spacing w:after="140" w:line="300"/>
        <w:jc w:val="both"/>
      </w:pPr>
      <w:r>
        <w:t xml:space="preserve">Las capacidades del CEN se insertan en un ecosistema que no parte de cero. Existe un conjunto de actores previos al CEN, dispersos y poco articulados entre sí (H8), que se agrupan en tres núcleos. Esta línea base, elaborada con fuentes secundarias públicas, es preliminar y deberá contrastarse con fuentes primarias.</w:t>
      </w:r>
    </w:p>
    <w:p>
      <w:pPr>
        <w:spacing w:after="140" w:line="300"/>
        <w:jc w:val="both"/>
      </w:pPr>
      <w:r>
        <w:rPr>
          <w:b/>
          <w:bCs/>
        </w:rPr>
        <w:t xml:space="preserve">Industria aeronáutica estatal (ENAER).</w:t>
      </w:r>
      <w:r>
        <w:t xml:space="preserve"> La Empresa Nacional de Aeronáutica de Chile, creada en 1984 y dependiente de la FACh, se define como el centro de fabricación metalmecánica más avanzado del país y es reconocida en la fabricación de aviones y aeroestructuras, además del mantenimiento y modernización de aeronaves civiles y militares (ENAER, s.f.-a, s.f.-b). Su entrenador T-35 Pillán supera las 300.000 horas de vuelo de instrucción (ENAER, s.f.-c) y en 2024 firmó un acuerdo marco con la Fuerza Aérea Ecuatoriana en el marco de FIDAE (ENAER, 2024). Aporta manufactura de precisión y una cadena de proveedores potencialmente vinculables a la demanda de componentes satelitales (FCE 2).</w:t>
      </w:r>
    </w:p>
    <w:p>
      <w:pPr>
        <w:spacing w:after="140" w:line="300"/>
        <w:jc w:val="both"/>
      </w:pPr>
      <w:r>
        <w:rPr>
          <w:b/>
          <w:bCs/>
        </w:rPr>
        <w:t xml:space="preserve">Programas universitarios de nanosatélites.</w:t>
      </w:r>
      <w:r>
        <w:t xml:space="preserve"> El Programa Espacial de la Universidad de Chile (SPEL, FCFM) desarrolló el SUCHAI-1 (2017), primer nanosatélite construido en el país, que operó 457 días (Universidad de Chile, 2019); le siguieron SUCHAI-2, SUCHAI-3 y PlantSat (en órbita desde 2022) y el SUCHAI-4, lanzado en 2026 con cerca de 60 experimentos (Universidad de Chile, 2022, 2026). La Universidad de Santiago de Chile (USACH) también participa en el desarrollo de nanosatélites (USACH, 2026). Estos programas forman capital humano fuera de la dotación militar (FCE 5) y son usuarios y socios naturales de las instalaciones y los datos del CEN (FCE 6).</w:t>
      </w:r>
    </w:p>
    <w:p>
      <w:pPr>
        <w:spacing w:after="140" w:line="300"/>
        <w:jc w:val="both"/>
      </w:pPr>
      <w:r>
        <w:rPr>
          <w:b/>
          <w:bCs/>
        </w:rPr>
        <w:t xml:space="preserve">Astroingeniería e instrumentación.</w:t>
      </w:r>
      <w:r>
        <w:t xml:space="preserve"> El Centro de Astro-Ingeniería UC (AIUC) desarrolló FIDEOS, el primer instrumento astronómico 100 % chileno instalado en un observatorio (2016), con I+D en detectores, opto-mecánica, electrónica y software (Universidad Católica [UC], 2016; AIUC, s.f.). El consorcio AURA opera observatorios en Chile (AURA, s.f.) y ESO/ALMA articulan actores mediante el Taller de Astroingeniería de Chile (ESO, 2015). Aportan ingeniería de instrumentos de precisión y una cultura de colaboración público-académica-internacional (FCE 2 y 6).</w:t>
      </w:r>
    </w:p>
    <w:p>
      <w:pPr>
        <w:pStyle w:val="Caption"/>
        <w:keepNext/>
        <w:spacing w:after="80" w:before="200"/>
        <w:jc w:val="center"/>
      </w:pPr>
      <w:r>
        <w:rPr>
          <w:b/>
          <w:bCs/>
        </w:rPr>
        <w:t xml:space="preserve">Tabla </w:t>
      </w:r>
      <w:fldSimple w:instr="SEQ Tabla \* ARABIC">
        <w:r>
          <w:t xml:space="preserve">15</w:t>
        </w:r>
      </w:fldSimple>
      <w:r>
        <w:rPr>
          <w:b/>
          <w:bCs/>
        </w:rPr>
        <w:t xml:space="preserve">. Línea base preliminar del ecosistema espacial chileno</w:t>
      </w:r>
    </w:p>
    <w:tbl>
      <w:tblPr>
        <w:tblW w:type="dxa" w:w="9000"/>
        <w:tblBorders>
          <w:top w:val="single" w:color="A6A6A6" w:sz="4"/>
          <w:left w:val="single" w:color="A6A6A6" w:sz="4"/>
          <w:bottom w:val="single" w:color="A6A6A6" w:sz="4"/>
          <w:right w:val="single" w:color="A6A6A6" w:sz="4"/>
          <w:insideH w:val="single" w:color="A6A6A6" w:sz="4"/>
          <w:insideV w:val="single" w:color="A6A6A6" w:sz="4"/>
        </w:tblBorders>
      </w:tblPr>
      <w:tblGrid>
        <w:gridCol w:w="1530"/>
        <w:gridCol w:w="1350"/>
        <w:gridCol w:w="2970"/>
        <w:gridCol w:w="2430"/>
        <w:gridCol w:w="720"/>
      </w:tblGrid>
      <w:tr>
        <w:trPr>
          <w:cantSplit/>
          <w:tblHeader/>
        </w:trPr>
        <w:tc>
          <w:tcPr>
            <w:tcW w:type="dxa" w:w="153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Actor / núcleo</w:t>
            </w:r>
          </w:p>
        </w:tc>
        <w:tc>
          <w:tcPr>
            <w:tcW w:type="dxa" w:w="135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Tipo</w:t>
            </w:r>
          </w:p>
        </w:tc>
        <w:tc>
          <w:tcPr>
            <w:tcW w:type="dxa" w:w="297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Capacidad principal</w:t>
            </w:r>
          </w:p>
        </w:tc>
        <w:tc>
          <w:tcPr>
            <w:tcW w:type="dxa" w:w="243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Vínculo potencial con el CEN (FCE)</w:t>
            </w:r>
          </w:p>
        </w:tc>
        <w:tc>
          <w:tcPr>
            <w:tcW w:type="dxa" w:w="72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Conf.</w:t>
            </w:r>
          </w:p>
        </w:tc>
      </w:tr>
      <w:tr>
        <w:trPr>
          <w:cantSplit/>
        </w:trPr>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ENAER</w:t>
            </w:r>
          </w:p>
        </w:tc>
        <w:tc>
          <w:tcPr>
            <w:tcW w:type="dxa" w:w="1350"/>
            <w:tcMar>
              <w:top w:type="dxa" w:w="50"/>
              <w:left w:type="dxa" w:w="80"/>
              <w:bottom w:type="dxa" w:w="50"/>
              <w:right w:type="dxa" w:w="80"/>
            </w:tcMar>
            <w:vAlign w:val="center"/>
          </w:tcPr>
          <w:p>
            <w:pPr>
              <w:keepNext w:val="false"/>
              <w:spacing w:after="20" w:line="240"/>
              <w:jc w:val="left"/>
            </w:pPr>
            <w:r>
              <w:rPr>
                <w:sz w:val="17"/>
                <w:szCs w:val="17"/>
              </w:rPr>
              <w:t xml:space="preserve">Industria estatal (FACh)</w:t>
            </w:r>
          </w:p>
        </w:tc>
        <w:tc>
          <w:tcPr>
            <w:tcW w:type="dxa" w:w="2970"/>
            <w:tcMar>
              <w:top w:type="dxa" w:w="50"/>
              <w:left w:type="dxa" w:w="80"/>
              <w:bottom w:type="dxa" w:w="50"/>
              <w:right w:type="dxa" w:w="80"/>
            </w:tcMar>
            <w:vAlign w:val="center"/>
          </w:tcPr>
          <w:p>
            <w:pPr>
              <w:keepNext w:val="false"/>
              <w:spacing w:after="20" w:line="240"/>
              <w:jc w:val="left"/>
            </w:pPr>
            <w:r>
              <w:rPr>
                <w:sz w:val="17"/>
                <w:szCs w:val="17"/>
              </w:rPr>
              <w:t xml:space="preserve">Manufactura aeronáutica, aeroestructuras, MRO, exportación.</w:t>
            </w:r>
          </w:p>
        </w:tc>
        <w:tc>
          <w:tcPr>
            <w:tcW w:type="dxa" w:w="2430"/>
            <w:tcMar>
              <w:top w:type="dxa" w:w="50"/>
              <w:left w:type="dxa" w:w="80"/>
              <w:bottom w:type="dxa" w:w="50"/>
              <w:right w:type="dxa" w:w="80"/>
            </w:tcMar>
            <w:vAlign w:val="center"/>
          </w:tcPr>
          <w:p>
            <w:pPr>
              <w:keepNext w:val="false"/>
              <w:spacing w:after="20" w:line="240"/>
              <w:jc w:val="left"/>
            </w:pPr>
            <w:r>
              <w:rPr>
                <w:sz w:val="17"/>
                <w:szCs w:val="17"/>
              </w:rPr>
              <w:t xml:space="preserve">Proveedor de componentes y subsistemas (FCE 2).</w:t>
            </w:r>
          </w:p>
        </w:tc>
        <w:tc>
          <w:tcPr>
            <w:tcW w:type="dxa" w:w="720"/>
            <w:tcMar>
              <w:top w:type="dxa" w:w="50"/>
              <w:left w:type="dxa" w:w="80"/>
              <w:bottom w:type="dxa" w:w="50"/>
              <w:right w:type="dxa" w:w="80"/>
            </w:tcMar>
            <w:vAlign w:val="center"/>
          </w:tcPr>
          <w:p>
            <w:pPr>
              <w:keepNext w:val="false"/>
              <w:spacing w:after="20" w:line="240"/>
              <w:jc w:val="center"/>
            </w:pPr>
            <w:r>
              <w:rPr>
                <w:sz w:val="17"/>
                <w:szCs w:val="17"/>
              </w:rPr>
              <w:t xml:space="preserve">Media</w:t>
            </w:r>
          </w:p>
        </w:tc>
      </w:tr>
      <w:tr>
        <w:trPr>
          <w:cantSplit/>
        </w:trPr>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SPEL — Universidad de Chile</w:t>
            </w:r>
          </w:p>
        </w:tc>
        <w:tc>
          <w:tcPr>
            <w:tcW w:type="dxa" w:w="1350"/>
            <w:tcMar>
              <w:top w:type="dxa" w:w="50"/>
              <w:left w:type="dxa" w:w="80"/>
              <w:bottom w:type="dxa" w:w="50"/>
              <w:right w:type="dxa" w:w="80"/>
            </w:tcMar>
            <w:vAlign w:val="center"/>
          </w:tcPr>
          <w:p>
            <w:pPr>
              <w:keepNext w:val="false"/>
              <w:spacing w:after="20" w:line="240"/>
              <w:jc w:val="left"/>
            </w:pPr>
            <w:r>
              <w:rPr>
                <w:sz w:val="17"/>
                <w:szCs w:val="17"/>
              </w:rPr>
              <w:t xml:space="preserve">Academia</w:t>
            </w:r>
          </w:p>
        </w:tc>
        <w:tc>
          <w:tcPr>
            <w:tcW w:type="dxa" w:w="2970"/>
            <w:tcMar>
              <w:top w:type="dxa" w:w="50"/>
              <w:left w:type="dxa" w:w="80"/>
              <w:bottom w:type="dxa" w:w="50"/>
              <w:right w:type="dxa" w:w="80"/>
            </w:tcMar>
            <w:vAlign w:val="center"/>
          </w:tcPr>
          <w:p>
            <w:pPr>
              <w:keepNext w:val="false"/>
              <w:spacing w:after="20" w:line="240"/>
              <w:jc w:val="left"/>
            </w:pPr>
            <w:r>
              <w:rPr>
                <w:sz w:val="17"/>
                <w:szCs w:val="17"/>
              </w:rPr>
              <w:t xml:space="preserve">Diseño y operación de nanosatélites (SUCHAI 1-4, PlantSat).</w:t>
            </w:r>
          </w:p>
        </w:tc>
        <w:tc>
          <w:tcPr>
            <w:tcW w:type="dxa" w:w="2430"/>
            <w:tcMar>
              <w:top w:type="dxa" w:w="50"/>
              <w:left w:type="dxa" w:w="80"/>
              <w:bottom w:type="dxa" w:w="50"/>
              <w:right w:type="dxa" w:w="80"/>
            </w:tcMar>
            <w:vAlign w:val="center"/>
          </w:tcPr>
          <w:p>
            <w:pPr>
              <w:keepNext w:val="false"/>
              <w:spacing w:after="20" w:line="240"/>
              <w:jc w:val="left"/>
            </w:pPr>
            <w:r>
              <w:rPr>
                <w:sz w:val="17"/>
                <w:szCs w:val="17"/>
              </w:rPr>
              <w:t xml:space="preserve">Talento y usuario de datos e instalaciones (FCE 5, 6).</w:t>
            </w:r>
          </w:p>
        </w:tc>
        <w:tc>
          <w:tcPr>
            <w:tcW w:type="dxa" w:w="720"/>
            <w:tcMar>
              <w:top w:type="dxa" w:w="50"/>
              <w:left w:type="dxa" w:w="80"/>
              <w:bottom w:type="dxa" w:w="50"/>
              <w:right w:type="dxa" w:w="80"/>
            </w:tcMar>
            <w:vAlign w:val="center"/>
          </w:tcPr>
          <w:p>
            <w:pPr>
              <w:keepNext w:val="false"/>
              <w:spacing w:after="20" w:line="240"/>
              <w:jc w:val="center"/>
            </w:pPr>
            <w:r>
              <w:rPr>
                <w:sz w:val="17"/>
                <w:szCs w:val="17"/>
              </w:rPr>
              <w:t xml:space="preserve">Media</w:t>
            </w:r>
          </w:p>
        </w:tc>
      </w:tr>
      <w:tr>
        <w:trPr>
          <w:cantSplit/>
        </w:trPr>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USACH y otras universidades</w:t>
            </w:r>
          </w:p>
        </w:tc>
        <w:tc>
          <w:tcPr>
            <w:tcW w:type="dxa" w:w="1350"/>
            <w:tcMar>
              <w:top w:type="dxa" w:w="50"/>
              <w:left w:type="dxa" w:w="80"/>
              <w:bottom w:type="dxa" w:w="50"/>
              <w:right w:type="dxa" w:w="80"/>
            </w:tcMar>
            <w:vAlign w:val="center"/>
          </w:tcPr>
          <w:p>
            <w:pPr>
              <w:keepNext w:val="false"/>
              <w:spacing w:after="20" w:line="240"/>
              <w:jc w:val="left"/>
            </w:pPr>
            <w:r>
              <w:rPr>
                <w:sz w:val="17"/>
                <w:szCs w:val="17"/>
              </w:rPr>
              <w:t xml:space="preserve">Academia</w:t>
            </w:r>
          </w:p>
        </w:tc>
        <w:tc>
          <w:tcPr>
            <w:tcW w:type="dxa" w:w="2970"/>
            <w:tcMar>
              <w:top w:type="dxa" w:w="50"/>
              <w:left w:type="dxa" w:w="80"/>
              <w:bottom w:type="dxa" w:w="50"/>
              <w:right w:type="dxa" w:w="80"/>
            </w:tcMar>
            <w:vAlign w:val="center"/>
          </w:tcPr>
          <w:p>
            <w:pPr>
              <w:keepNext w:val="false"/>
              <w:spacing w:after="20" w:line="240"/>
              <w:jc w:val="left"/>
            </w:pPr>
            <w:r>
              <w:rPr>
                <w:sz w:val="17"/>
                <w:szCs w:val="17"/>
              </w:rPr>
              <w:t xml:space="preserve">Participación en nanosatélites y subsistemas.</w:t>
            </w:r>
          </w:p>
        </w:tc>
        <w:tc>
          <w:tcPr>
            <w:tcW w:type="dxa" w:w="2430"/>
            <w:tcMar>
              <w:top w:type="dxa" w:w="50"/>
              <w:left w:type="dxa" w:w="80"/>
              <w:bottom w:type="dxa" w:w="50"/>
              <w:right w:type="dxa" w:w="80"/>
            </w:tcMar>
            <w:vAlign w:val="center"/>
          </w:tcPr>
          <w:p>
            <w:pPr>
              <w:keepNext w:val="false"/>
              <w:spacing w:after="20" w:line="240"/>
              <w:jc w:val="left"/>
            </w:pPr>
            <w:r>
              <w:rPr>
                <w:sz w:val="17"/>
                <w:szCs w:val="17"/>
              </w:rPr>
              <w:t xml:space="preserve">Talento y proyectos colaborativos (FCE 2, 5).</w:t>
            </w:r>
          </w:p>
        </w:tc>
        <w:tc>
          <w:tcPr>
            <w:tcW w:type="dxa" w:w="720"/>
            <w:tcMar>
              <w:top w:type="dxa" w:w="50"/>
              <w:left w:type="dxa" w:w="80"/>
              <w:bottom w:type="dxa" w:w="50"/>
              <w:right w:type="dxa" w:w="80"/>
            </w:tcMar>
            <w:vAlign w:val="center"/>
          </w:tcPr>
          <w:p>
            <w:pPr>
              <w:keepNext w:val="false"/>
              <w:spacing w:after="20" w:line="240"/>
              <w:jc w:val="center"/>
            </w:pPr>
            <w:r>
              <w:rPr>
                <w:sz w:val="17"/>
                <w:szCs w:val="17"/>
              </w:rPr>
              <w:t xml:space="preserve">Baja</w:t>
            </w:r>
          </w:p>
        </w:tc>
      </w:tr>
      <w:tr>
        <w:trPr>
          <w:cantSplit/>
        </w:trPr>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AIUC — UC</w:t>
            </w:r>
          </w:p>
        </w:tc>
        <w:tc>
          <w:tcPr>
            <w:tcW w:type="dxa" w:w="1350"/>
            <w:tcMar>
              <w:top w:type="dxa" w:w="50"/>
              <w:left w:type="dxa" w:w="80"/>
              <w:bottom w:type="dxa" w:w="50"/>
              <w:right w:type="dxa" w:w="80"/>
            </w:tcMar>
            <w:vAlign w:val="center"/>
          </w:tcPr>
          <w:p>
            <w:pPr>
              <w:keepNext w:val="false"/>
              <w:spacing w:after="20" w:line="240"/>
              <w:jc w:val="left"/>
            </w:pPr>
            <w:r>
              <w:rPr>
                <w:sz w:val="17"/>
                <w:szCs w:val="17"/>
              </w:rPr>
              <w:t xml:space="preserve">Academia / I+D</w:t>
            </w:r>
          </w:p>
        </w:tc>
        <w:tc>
          <w:tcPr>
            <w:tcW w:type="dxa" w:w="2970"/>
            <w:tcMar>
              <w:top w:type="dxa" w:w="50"/>
              <w:left w:type="dxa" w:w="80"/>
              <w:bottom w:type="dxa" w:w="50"/>
              <w:right w:type="dxa" w:w="80"/>
            </w:tcMar>
            <w:vAlign w:val="center"/>
          </w:tcPr>
          <w:p>
            <w:pPr>
              <w:keepNext w:val="false"/>
              <w:spacing w:after="20" w:line="240"/>
              <w:jc w:val="left"/>
            </w:pPr>
            <w:r>
              <w:rPr>
                <w:sz w:val="17"/>
                <w:szCs w:val="17"/>
              </w:rPr>
              <w:t xml:space="preserve">Instrumentación astronómica de precisión (FIDEOS).</w:t>
            </w:r>
          </w:p>
        </w:tc>
        <w:tc>
          <w:tcPr>
            <w:tcW w:type="dxa" w:w="2430"/>
            <w:tcMar>
              <w:top w:type="dxa" w:w="50"/>
              <w:left w:type="dxa" w:w="80"/>
              <w:bottom w:type="dxa" w:w="50"/>
              <w:right w:type="dxa" w:w="80"/>
            </w:tcMar>
            <w:vAlign w:val="center"/>
          </w:tcPr>
          <w:p>
            <w:pPr>
              <w:keepNext w:val="false"/>
              <w:spacing w:after="20" w:line="240"/>
              <w:jc w:val="left"/>
            </w:pPr>
            <w:r>
              <w:rPr>
                <w:sz w:val="17"/>
                <w:szCs w:val="17"/>
              </w:rPr>
              <w:t xml:space="preserve">Transferencia e ingeniería de instrumentos (FCE 2).</w:t>
            </w:r>
          </w:p>
        </w:tc>
        <w:tc>
          <w:tcPr>
            <w:tcW w:type="dxa" w:w="720"/>
            <w:tcMar>
              <w:top w:type="dxa" w:w="50"/>
              <w:left w:type="dxa" w:w="80"/>
              <w:bottom w:type="dxa" w:w="50"/>
              <w:right w:type="dxa" w:w="80"/>
            </w:tcMar>
            <w:vAlign w:val="center"/>
          </w:tcPr>
          <w:p>
            <w:pPr>
              <w:keepNext w:val="false"/>
              <w:spacing w:after="20" w:line="240"/>
              <w:jc w:val="center"/>
            </w:pPr>
            <w:r>
              <w:rPr>
                <w:sz w:val="17"/>
                <w:szCs w:val="17"/>
              </w:rPr>
              <w:t xml:space="preserve">Media</w:t>
            </w:r>
          </w:p>
        </w:tc>
      </w:tr>
      <w:tr>
        <w:trPr>
          <w:cantSplit/>
        </w:trPr>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AURA / ESO / ALMA</w:t>
            </w:r>
          </w:p>
        </w:tc>
        <w:tc>
          <w:tcPr>
            <w:tcW w:type="dxa" w:w="1350"/>
            <w:tcMar>
              <w:top w:type="dxa" w:w="50"/>
              <w:left w:type="dxa" w:w="80"/>
              <w:bottom w:type="dxa" w:w="50"/>
              <w:right w:type="dxa" w:w="80"/>
            </w:tcMar>
            <w:vAlign w:val="center"/>
          </w:tcPr>
          <w:p>
            <w:pPr>
              <w:keepNext w:val="false"/>
              <w:spacing w:after="20" w:line="240"/>
              <w:jc w:val="left"/>
            </w:pPr>
            <w:r>
              <w:rPr>
                <w:sz w:val="17"/>
                <w:szCs w:val="17"/>
              </w:rPr>
              <w:t xml:space="preserve">Internacional</w:t>
            </w:r>
          </w:p>
        </w:tc>
        <w:tc>
          <w:tcPr>
            <w:tcW w:type="dxa" w:w="2970"/>
            <w:tcMar>
              <w:top w:type="dxa" w:w="50"/>
              <w:left w:type="dxa" w:w="80"/>
              <w:bottom w:type="dxa" w:w="50"/>
              <w:right w:type="dxa" w:w="80"/>
            </w:tcMar>
            <w:vAlign w:val="center"/>
          </w:tcPr>
          <w:p>
            <w:pPr>
              <w:keepNext w:val="false"/>
              <w:spacing w:after="20" w:line="240"/>
              <w:jc w:val="left"/>
            </w:pPr>
            <w:r>
              <w:rPr>
                <w:sz w:val="17"/>
                <w:szCs w:val="17"/>
              </w:rPr>
              <w:t xml:space="preserve">Operación de observatorios; articulación de actores.</w:t>
            </w:r>
          </w:p>
        </w:tc>
        <w:tc>
          <w:tcPr>
            <w:tcW w:type="dxa" w:w="2430"/>
            <w:tcMar>
              <w:top w:type="dxa" w:w="50"/>
              <w:left w:type="dxa" w:w="80"/>
              <w:bottom w:type="dxa" w:w="50"/>
              <w:right w:type="dxa" w:w="80"/>
            </w:tcMar>
            <w:vAlign w:val="center"/>
          </w:tcPr>
          <w:p>
            <w:pPr>
              <w:keepNext w:val="false"/>
              <w:spacing w:after="20" w:line="240"/>
              <w:jc w:val="left"/>
            </w:pPr>
            <w:r>
              <w:rPr>
                <w:sz w:val="17"/>
                <w:szCs w:val="17"/>
              </w:rPr>
              <w:t xml:space="preserve">Cooperación internacional (FCE 6).</w:t>
            </w:r>
          </w:p>
        </w:tc>
        <w:tc>
          <w:tcPr>
            <w:tcW w:type="dxa" w:w="720"/>
            <w:tcMar>
              <w:top w:type="dxa" w:w="50"/>
              <w:left w:type="dxa" w:w="80"/>
              <w:bottom w:type="dxa" w:w="50"/>
              <w:right w:type="dxa" w:w="80"/>
            </w:tcMar>
            <w:vAlign w:val="center"/>
          </w:tcPr>
          <w:p>
            <w:pPr>
              <w:keepNext w:val="false"/>
              <w:spacing w:after="20" w:line="240"/>
              <w:jc w:val="center"/>
            </w:pPr>
            <w:r>
              <w:rPr>
                <w:sz w:val="17"/>
                <w:szCs w:val="17"/>
              </w:rPr>
              <w:t xml:space="preserve">Media</w:t>
            </w:r>
          </w:p>
        </w:tc>
      </w:tr>
    </w:tbl>
    <w:p>
      <w:pPr>
        <w:spacing w:after="200" w:before="60"/>
        <w:jc w:val="center"/>
      </w:pPr>
      <w:r>
        <w:rPr>
          <w:i/>
          <w:iCs/>
          <w:sz w:val="17"/>
          <w:szCs w:val="17"/>
        </w:rPr>
        <w:t xml:space="preserve">Fuente: Elaboración propia a partir de ENAER (s.f.-a, s.f.-b, 2024), Universidad de Chile (2019, 2022, 2026), USACH (2026), UC (2016), AIUC (s.f.), AURA (s.f.) y ESO (2015). Línea base preliminar, a validar con fuentes primarias.</w:t>
      </w:r>
    </w:p>
    <w:p>
      <w:pPr>
        <w:spacing w:after="140" w:line="300"/>
        <w:jc w:val="both"/>
      </w:pPr>
      <w:r>
        <w:t xml:space="preserve">Esta línea base matiza la formulación del problema: el desafío no es crear un ecosistema desde cero, sino conectar actores con capacidades relevantes con una infraestructura que hoy opera de manera cerrada. También orienta la selección de receptores en el plan de contraste (sección 2.11).</w:t>
      </w:r>
    </w:p>
    <w:p>
      <w:pPr>
        <w:pStyle w:val="Heading2"/>
      </w:pPr>
      <w:r>
        <w:t xml:space="preserve">3.9 Plan de verificación de la evidencia</w:t>
      </w:r>
    </w:p>
    <w:p>
      <w:pPr>
        <w:spacing w:after="140" w:line="300"/>
        <w:jc w:val="both"/>
      </w:pPr>
      <w:r>
        <w:t xml:space="preserve">Como las capacidades se acreditaron con fuentes secundarias, la Tabla 16 explicita para cada una la evidencia actual, la evidencia requerida para considerarla verificada y el procedimiento previsto. Las fichas técnicas se solicitarán a la Dirección Espacial de la FACh; las demás verificaciones se realizarán en la etapa de entrevistas.</w:t>
      </w:r>
    </w:p>
    <w:p>
      <w:pPr>
        <w:pStyle w:val="Caption"/>
        <w:keepNext/>
        <w:spacing w:after="80" w:before="200"/>
        <w:jc w:val="center"/>
      </w:pPr>
      <w:r>
        <w:rPr>
          <w:b/>
          <w:bCs/>
        </w:rPr>
        <w:t xml:space="preserve">Tabla </w:t>
      </w:r>
      <w:fldSimple w:instr="SEQ Tabla \* ARABIC">
        <w:r>
          <w:t xml:space="preserve">16</w:t>
        </w:r>
      </w:fldSimple>
      <w:r>
        <w:rPr>
          <w:b/>
          <w:bCs/>
        </w:rPr>
        <w:t xml:space="preserve">. Plan de verificación de evidencia por capacidad</w:t>
      </w:r>
    </w:p>
    <w:tbl>
      <w:tblPr>
        <w:tblW w:type="dxa" w:w="9000"/>
        <w:tblBorders>
          <w:top w:val="single" w:color="A6A6A6" w:sz="4"/>
          <w:left w:val="single" w:color="A6A6A6" w:sz="4"/>
          <w:bottom w:val="single" w:color="A6A6A6" w:sz="4"/>
          <w:right w:val="single" w:color="A6A6A6" w:sz="4"/>
          <w:insideH w:val="single" w:color="A6A6A6" w:sz="4"/>
          <w:insideV w:val="single" w:color="A6A6A6" w:sz="4"/>
        </w:tblBorders>
      </w:tblPr>
      <w:tblGrid>
        <w:gridCol w:w="1440"/>
        <w:gridCol w:w="1980"/>
        <w:gridCol w:w="2790"/>
        <w:gridCol w:w="2790"/>
      </w:tblGrid>
      <w:tr>
        <w:trPr>
          <w:cantSplit/>
          <w:tblHeader/>
        </w:trPr>
        <w:tc>
          <w:tcPr>
            <w:tcW w:type="dxa" w:w="144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Capacidad</w:t>
            </w:r>
          </w:p>
        </w:tc>
        <w:tc>
          <w:tcPr>
            <w:tcW w:type="dxa" w:w="198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Evidencia actual (tipo de fuente)</w:t>
            </w:r>
          </w:p>
        </w:tc>
        <w:tc>
          <w:tcPr>
            <w:tcW w:type="dxa" w:w="279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Evidencia requerida</w:t>
            </w:r>
          </w:p>
        </w:tc>
        <w:tc>
          <w:tcPr>
            <w:tcW w:type="dxa" w:w="279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Procedimiento de verificación</w:t>
            </w:r>
          </w:p>
        </w:tc>
      </w:tr>
      <w:tr>
        <w:trPr>
          <w:cantSplit/>
        </w:trPr>
        <w:tc>
          <w:tcPr>
            <w:tcW w:type="dxa" w:w="1440"/>
            <w:tcMar>
              <w:top w:type="dxa" w:w="50"/>
              <w:left w:type="dxa" w:w="80"/>
              <w:bottom w:type="dxa" w:w="50"/>
              <w:right w:type="dxa" w:w="80"/>
            </w:tcMar>
            <w:vAlign w:val="center"/>
          </w:tcPr>
          <w:p>
            <w:pPr>
              <w:keepNext w:val="false"/>
              <w:spacing w:after="20" w:line="240"/>
              <w:jc w:val="left"/>
            </w:pPr>
            <w:r>
              <w:rPr>
                <w:sz w:val="17"/>
                <w:szCs w:val="17"/>
              </w:rPr>
              <w:t xml:space="preserve">Sala limpia ISO 7</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Comunicados y prensa (B, C).</w:t>
            </w:r>
          </w:p>
        </w:tc>
        <w:tc>
          <w:tcPr>
            <w:tcW w:type="dxa" w:w="2790"/>
            <w:tcMar>
              <w:top w:type="dxa" w:w="50"/>
              <w:left w:type="dxa" w:w="80"/>
              <w:bottom w:type="dxa" w:w="50"/>
              <w:right w:type="dxa" w:w="80"/>
            </w:tcMar>
            <w:vAlign w:val="center"/>
          </w:tcPr>
          <w:p>
            <w:pPr>
              <w:keepNext w:val="false"/>
              <w:spacing w:after="20" w:line="240"/>
              <w:jc w:val="left"/>
            </w:pPr>
            <w:r>
              <w:rPr>
                <w:sz w:val="17"/>
                <w:szCs w:val="17"/>
              </w:rPr>
              <w:t xml:space="preserve">Certificación de clasificación de limpieza y registros de uso.</w:t>
            </w:r>
          </w:p>
        </w:tc>
        <w:tc>
          <w:tcPr>
            <w:tcW w:type="dxa" w:w="2790"/>
            <w:tcMar>
              <w:top w:type="dxa" w:w="50"/>
              <w:left w:type="dxa" w:w="80"/>
              <w:bottom w:type="dxa" w:w="50"/>
              <w:right w:type="dxa" w:w="80"/>
            </w:tcMar>
            <w:vAlign w:val="center"/>
          </w:tcPr>
          <w:p>
            <w:pPr>
              <w:keepNext w:val="false"/>
              <w:spacing w:after="20" w:line="240"/>
              <w:jc w:val="left"/>
            </w:pPr>
            <w:r>
              <w:rPr>
                <w:sz w:val="17"/>
                <w:szCs w:val="17"/>
              </w:rPr>
              <w:t xml:space="preserve">Solicitud de ficha técnica; visita; entrevista a la Dirección Espacial.</w:t>
            </w:r>
          </w:p>
        </w:tc>
      </w:tr>
      <w:tr>
        <w:trPr>
          <w:cantSplit/>
        </w:trPr>
        <w:tc>
          <w:tcPr>
            <w:tcW w:type="dxa" w:w="1440"/>
            <w:tcMar>
              <w:top w:type="dxa" w:w="50"/>
              <w:left w:type="dxa" w:w="80"/>
              <w:bottom w:type="dxa" w:w="50"/>
              <w:right w:type="dxa" w:w="80"/>
            </w:tcMar>
            <w:vAlign w:val="center"/>
          </w:tcPr>
          <w:p>
            <w:pPr>
              <w:keepNext w:val="false"/>
              <w:spacing w:after="20" w:line="240"/>
              <w:jc w:val="left"/>
            </w:pPr>
            <w:r>
              <w:rPr>
                <w:sz w:val="17"/>
                <w:szCs w:val="17"/>
              </w:rPr>
              <w:t xml:space="preserve">Cámara de simulación ambiental</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Descripción en fuentes institucionales y prensa (B, C).</w:t>
            </w:r>
          </w:p>
        </w:tc>
        <w:tc>
          <w:tcPr>
            <w:tcW w:type="dxa" w:w="2790"/>
            <w:tcMar>
              <w:top w:type="dxa" w:w="50"/>
              <w:left w:type="dxa" w:w="80"/>
              <w:bottom w:type="dxa" w:w="50"/>
              <w:right w:type="dxa" w:w="80"/>
            </w:tcMar>
            <w:vAlign w:val="center"/>
          </w:tcPr>
          <w:p>
            <w:pPr>
              <w:keepNext w:val="false"/>
              <w:spacing w:after="20" w:line="240"/>
              <w:jc w:val="left"/>
            </w:pPr>
            <w:r>
              <w:rPr>
                <w:sz w:val="17"/>
                <w:szCs w:val="17"/>
              </w:rPr>
              <w:t xml:space="preserve">Ficha técnica (volumen, rangos de vacío y temperatura) y registros de ensayos.</w:t>
            </w:r>
          </w:p>
        </w:tc>
        <w:tc>
          <w:tcPr>
            <w:tcW w:type="dxa" w:w="2790"/>
            <w:tcMar>
              <w:top w:type="dxa" w:w="50"/>
              <w:left w:type="dxa" w:w="80"/>
              <w:bottom w:type="dxa" w:w="50"/>
              <w:right w:type="dxa" w:w="80"/>
            </w:tcMar>
            <w:vAlign w:val="center"/>
          </w:tcPr>
          <w:p>
            <w:pPr>
              <w:keepNext w:val="false"/>
              <w:spacing w:after="20" w:line="240"/>
              <w:jc w:val="left"/>
            </w:pPr>
            <w:r>
              <w:rPr>
                <w:sz w:val="17"/>
                <w:szCs w:val="17"/>
              </w:rPr>
              <w:t xml:space="preserve">Solicitud de ficha; visita; entrevista.</w:t>
            </w:r>
          </w:p>
        </w:tc>
      </w:tr>
      <w:tr>
        <w:trPr>
          <w:cantSplit/>
        </w:trPr>
        <w:tc>
          <w:tcPr>
            <w:tcW w:type="dxa" w:w="1440"/>
            <w:tcMar>
              <w:top w:type="dxa" w:w="50"/>
              <w:left w:type="dxa" w:w="80"/>
              <w:bottom w:type="dxa" w:w="50"/>
              <w:right w:type="dxa" w:w="80"/>
            </w:tcMar>
            <w:vAlign w:val="center"/>
          </w:tcPr>
          <w:p>
            <w:pPr>
              <w:keepNext w:val="false"/>
              <w:spacing w:after="20" w:line="240"/>
              <w:jc w:val="left"/>
            </w:pPr>
            <w:r>
              <w:rPr>
                <w:sz w:val="17"/>
                <w:szCs w:val="17"/>
              </w:rPr>
              <w:t xml:space="preserve">Ensamblaje (≈ 8 satélites)</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Prensa (C).</w:t>
            </w:r>
          </w:p>
        </w:tc>
        <w:tc>
          <w:tcPr>
            <w:tcW w:type="dxa" w:w="2790"/>
            <w:tcMar>
              <w:top w:type="dxa" w:w="50"/>
              <w:left w:type="dxa" w:w="80"/>
              <w:bottom w:type="dxa" w:w="50"/>
              <w:right w:type="dxa" w:w="80"/>
            </w:tcMar>
            <w:vAlign w:val="center"/>
          </w:tcPr>
          <w:p>
            <w:pPr>
              <w:keepNext w:val="false"/>
              <w:spacing w:after="20" w:line="240"/>
              <w:jc w:val="left"/>
            </w:pPr>
            <w:r>
              <w:rPr>
                <w:sz w:val="17"/>
                <w:szCs w:val="17"/>
              </w:rPr>
              <w:t xml:space="preserve">Documento del programa SNSat con calendario y alcance.</w:t>
            </w:r>
          </w:p>
        </w:tc>
        <w:tc>
          <w:tcPr>
            <w:tcW w:type="dxa" w:w="2790"/>
            <w:tcMar>
              <w:top w:type="dxa" w:w="50"/>
              <w:left w:type="dxa" w:w="80"/>
              <w:bottom w:type="dxa" w:w="50"/>
              <w:right w:type="dxa" w:w="80"/>
            </w:tcMar>
            <w:vAlign w:val="center"/>
          </w:tcPr>
          <w:p>
            <w:pPr>
              <w:keepNext w:val="false"/>
              <w:spacing w:after="20" w:line="240"/>
              <w:jc w:val="left"/>
            </w:pPr>
            <w:r>
              <w:rPr>
                <w:sz w:val="17"/>
                <w:szCs w:val="17"/>
              </w:rPr>
              <w:t xml:space="preserve">Consulta a FACh y Minciencia; revisión del proyecto.</w:t>
            </w:r>
          </w:p>
        </w:tc>
      </w:tr>
      <w:tr>
        <w:trPr>
          <w:cantSplit/>
        </w:trPr>
        <w:tc>
          <w:tcPr>
            <w:tcW w:type="dxa" w:w="1440"/>
            <w:tcMar>
              <w:top w:type="dxa" w:w="50"/>
              <w:left w:type="dxa" w:w="80"/>
              <w:bottom w:type="dxa" w:w="50"/>
              <w:right w:type="dxa" w:w="80"/>
            </w:tcMar>
            <w:vAlign w:val="center"/>
          </w:tcPr>
          <w:p>
            <w:pPr>
              <w:keepNext w:val="false"/>
              <w:spacing w:after="20" w:line="240"/>
              <w:jc w:val="left"/>
            </w:pPr>
            <w:r>
              <w:rPr>
                <w:sz w:val="17"/>
                <w:szCs w:val="17"/>
              </w:rPr>
              <w:t xml:space="preserve">HPC (~193 TFlops)</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Fuente institucional única (B).</w:t>
            </w:r>
          </w:p>
        </w:tc>
        <w:tc>
          <w:tcPr>
            <w:tcW w:type="dxa" w:w="2790"/>
            <w:tcMar>
              <w:top w:type="dxa" w:w="50"/>
              <w:left w:type="dxa" w:w="80"/>
              <w:bottom w:type="dxa" w:w="50"/>
              <w:right w:type="dxa" w:w="80"/>
            </w:tcMar>
            <w:vAlign w:val="center"/>
          </w:tcPr>
          <w:p>
            <w:pPr>
              <w:keepNext w:val="false"/>
              <w:spacing w:after="20" w:line="240"/>
              <w:jc w:val="left"/>
            </w:pPr>
            <w:r>
              <w:rPr>
                <w:sz w:val="17"/>
                <w:szCs w:val="17"/>
              </w:rPr>
              <w:t xml:space="preserve">Especificación técnica (arquitectura, precisión) y registros de uso.</w:t>
            </w:r>
          </w:p>
        </w:tc>
        <w:tc>
          <w:tcPr>
            <w:tcW w:type="dxa" w:w="2790"/>
            <w:tcMar>
              <w:top w:type="dxa" w:w="50"/>
              <w:left w:type="dxa" w:w="80"/>
              <w:bottom w:type="dxa" w:w="50"/>
              <w:right w:type="dxa" w:w="80"/>
            </w:tcMar>
            <w:vAlign w:val="center"/>
          </w:tcPr>
          <w:p>
            <w:pPr>
              <w:keepNext w:val="false"/>
              <w:spacing w:after="20" w:line="240"/>
              <w:jc w:val="left"/>
            </w:pPr>
            <w:r>
              <w:rPr>
                <w:sz w:val="17"/>
                <w:szCs w:val="17"/>
              </w:rPr>
              <w:t xml:space="preserve">Ficha técnica; comparación con NLHPC; entrevista.</w:t>
            </w:r>
          </w:p>
        </w:tc>
      </w:tr>
      <w:tr>
        <w:trPr>
          <w:cantSplit/>
        </w:trPr>
        <w:tc>
          <w:tcPr>
            <w:tcW w:type="dxa" w:w="1440"/>
            <w:tcMar>
              <w:top w:type="dxa" w:w="50"/>
              <w:left w:type="dxa" w:w="80"/>
              <w:bottom w:type="dxa" w:w="50"/>
              <w:right w:type="dxa" w:w="80"/>
            </w:tcMar>
            <w:vAlign w:val="center"/>
          </w:tcPr>
          <w:p>
            <w:pPr>
              <w:keepNext w:val="false"/>
              <w:spacing w:after="20" w:line="240"/>
              <w:jc w:val="left"/>
            </w:pPr>
            <w:r>
              <w:rPr>
                <w:sz w:val="17"/>
                <w:szCs w:val="17"/>
              </w:rPr>
              <w:t xml:space="preserve">Control de misión</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Comunicado FACh (B).</w:t>
            </w:r>
          </w:p>
        </w:tc>
        <w:tc>
          <w:tcPr>
            <w:tcW w:type="dxa" w:w="2790"/>
            <w:tcMar>
              <w:top w:type="dxa" w:w="50"/>
              <w:left w:type="dxa" w:w="80"/>
              <w:bottom w:type="dxa" w:w="50"/>
              <w:right w:type="dxa" w:w="80"/>
            </w:tcMar>
            <w:vAlign w:val="center"/>
          </w:tcPr>
          <w:p>
            <w:pPr>
              <w:keepNext w:val="false"/>
              <w:spacing w:after="20" w:line="240"/>
              <w:jc w:val="left"/>
            </w:pPr>
            <w:r>
              <w:rPr>
                <w:sz w:val="17"/>
                <w:szCs w:val="17"/>
              </w:rPr>
              <w:t xml:space="preserve">Informe del ejercicio Salitre 2026 y procedimientos.</w:t>
            </w:r>
          </w:p>
        </w:tc>
        <w:tc>
          <w:tcPr>
            <w:tcW w:type="dxa" w:w="2790"/>
            <w:tcMar>
              <w:top w:type="dxa" w:w="50"/>
              <w:left w:type="dxa" w:w="80"/>
              <w:bottom w:type="dxa" w:w="50"/>
              <w:right w:type="dxa" w:w="80"/>
            </w:tcMar>
            <w:vAlign w:val="center"/>
          </w:tcPr>
          <w:p>
            <w:pPr>
              <w:keepNext w:val="false"/>
              <w:spacing w:after="20" w:line="240"/>
              <w:jc w:val="left"/>
            </w:pPr>
            <w:r>
              <w:rPr>
                <w:sz w:val="17"/>
                <w:szCs w:val="17"/>
              </w:rPr>
              <w:t xml:space="preserve">Entrevistas y revisión documental.</w:t>
            </w:r>
          </w:p>
        </w:tc>
      </w:tr>
      <w:tr>
        <w:trPr>
          <w:cantSplit/>
        </w:trPr>
        <w:tc>
          <w:tcPr>
            <w:tcW w:type="dxa" w:w="1440"/>
            <w:tcMar>
              <w:top w:type="dxa" w:w="50"/>
              <w:left w:type="dxa" w:w="80"/>
              <w:bottom w:type="dxa" w:w="50"/>
              <w:right w:type="dxa" w:w="80"/>
            </w:tcMar>
            <w:vAlign w:val="center"/>
          </w:tcPr>
          <w:p>
            <w:pPr>
              <w:keepNext w:val="false"/>
              <w:spacing w:after="20" w:line="240"/>
              <w:jc w:val="left"/>
            </w:pPr>
            <w:r>
              <w:rPr>
                <w:sz w:val="17"/>
                <w:szCs w:val="17"/>
              </w:rPr>
              <w:t xml:space="preserve">Formación de dotación</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Comunicado FACh (B).</w:t>
            </w:r>
          </w:p>
        </w:tc>
        <w:tc>
          <w:tcPr>
            <w:tcW w:type="dxa" w:w="2790"/>
            <w:tcMar>
              <w:top w:type="dxa" w:w="50"/>
              <w:left w:type="dxa" w:w="80"/>
              <w:bottom w:type="dxa" w:w="50"/>
              <w:right w:type="dxa" w:w="80"/>
            </w:tcMar>
            <w:vAlign w:val="center"/>
          </w:tcPr>
          <w:p>
            <w:pPr>
              <w:keepNext w:val="false"/>
              <w:spacing w:after="20" w:line="240"/>
              <w:jc w:val="left"/>
            </w:pPr>
            <w:r>
              <w:rPr>
                <w:sz w:val="17"/>
                <w:szCs w:val="17"/>
              </w:rPr>
              <w:t xml:space="preserve">Programa de capacitación y número de personas formadas.</w:t>
            </w:r>
          </w:p>
        </w:tc>
        <w:tc>
          <w:tcPr>
            <w:tcW w:type="dxa" w:w="2790"/>
            <w:tcMar>
              <w:top w:type="dxa" w:w="50"/>
              <w:left w:type="dxa" w:w="80"/>
              <w:bottom w:type="dxa" w:w="50"/>
              <w:right w:type="dxa" w:w="80"/>
            </w:tcMar>
            <w:vAlign w:val="center"/>
          </w:tcPr>
          <w:p>
            <w:pPr>
              <w:keepNext w:val="false"/>
              <w:spacing w:after="20" w:line="240"/>
              <w:jc w:val="left"/>
            </w:pPr>
            <w:r>
              <w:rPr>
                <w:sz w:val="17"/>
                <w:szCs w:val="17"/>
              </w:rPr>
              <w:t xml:space="preserve">Entrevista; documentos del programa.</w:t>
            </w:r>
          </w:p>
        </w:tc>
      </w:tr>
      <w:tr>
        <w:trPr>
          <w:cantSplit/>
        </w:trPr>
        <w:tc>
          <w:tcPr>
            <w:tcW w:type="dxa" w:w="1440"/>
            <w:tcMar>
              <w:top w:type="dxa" w:w="50"/>
              <w:left w:type="dxa" w:w="80"/>
              <w:bottom w:type="dxa" w:w="50"/>
              <w:right w:type="dxa" w:w="80"/>
            </w:tcMar>
            <w:vAlign w:val="center"/>
          </w:tcPr>
          <w:p>
            <w:pPr>
              <w:keepNext w:val="false"/>
              <w:spacing w:after="20" w:line="240"/>
              <w:jc w:val="left"/>
            </w:pPr>
            <w:r>
              <w:rPr>
                <w:sz w:val="17"/>
                <w:szCs w:val="17"/>
              </w:rPr>
              <w:t xml:space="preserve">Origen de los datos</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Sin evidencia pública.</w:t>
            </w:r>
          </w:p>
        </w:tc>
        <w:tc>
          <w:tcPr>
            <w:tcW w:type="dxa" w:w="2790"/>
            <w:tcMar>
              <w:top w:type="dxa" w:w="50"/>
              <w:left w:type="dxa" w:w="80"/>
              <w:bottom w:type="dxa" w:w="50"/>
              <w:right w:type="dxa" w:w="80"/>
            </w:tcMar>
            <w:vAlign w:val="center"/>
          </w:tcPr>
          <w:p>
            <w:pPr>
              <w:keepNext w:val="false"/>
              <w:spacing w:after="20" w:line="240"/>
              <w:jc w:val="left"/>
            </w:pPr>
            <w:r>
              <w:rPr>
                <w:sz w:val="17"/>
                <w:szCs w:val="17"/>
              </w:rPr>
              <w:t xml:space="preserve">Sensores, resolución, revisita y calendario de la constelación.</w:t>
            </w:r>
          </w:p>
        </w:tc>
        <w:tc>
          <w:tcPr>
            <w:tcW w:type="dxa" w:w="2790"/>
            <w:tcMar>
              <w:top w:type="dxa" w:w="50"/>
              <w:left w:type="dxa" w:w="80"/>
              <w:bottom w:type="dxa" w:w="50"/>
              <w:right w:type="dxa" w:w="80"/>
            </w:tcMar>
            <w:vAlign w:val="center"/>
          </w:tcPr>
          <w:p>
            <w:pPr>
              <w:keepNext w:val="false"/>
              <w:spacing w:after="20" w:line="240"/>
              <w:jc w:val="left"/>
            </w:pPr>
            <w:r>
              <w:rPr>
                <w:sz w:val="17"/>
                <w:szCs w:val="17"/>
              </w:rPr>
              <w:t xml:space="preserve">Solicitud oficial; entrevista a la Dirección Espacial.</w:t>
            </w:r>
          </w:p>
        </w:tc>
      </w:tr>
      <w:tr>
        <w:trPr>
          <w:cantSplit/>
        </w:trPr>
        <w:tc>
          <w:tcPr>
            <w:tcW w:type="dxa" w:w="1440"/>
            <w:tcMar>
              <w:top w:type="dxa" w:w="50"/>
              <w:left w:type="dxa" w:w="80"/>
              <w:bottom w:type="dxa" w:w="50"/>
              <w:right w:type="dxa" w:w="80"/>
            </w:tcMar>
            <w:vAlign w:val="center"/>
          </w:tcPr>
          <w:p>
            <w:pPr>
              <w:keepNext w:val="false"/>
              <w:spacing w:after="20" w:line="240"/>
              <w:jc w:val="left"/>
            </w:pPr>
            <w:r>
              <w:rPr>
                <w:sz w:val="17"/>
                <w:szCs w:val="17"/>
              </w:rPr>
              <w:t xml:space="preserve">Acceso de terceros</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Ausencia de reglamento en fuentes (inferencia).</w:t>
            </w:r>
          </w:p>
        </w:tc>
        <w:tc>
          <w:tcPr>
            <w:tcW w:type="dxa" w:w="2790"/>
            <w:tcMar>
              <w:top w:type="dxa" w:w="50"/>
              <w:left w:type="dxa" w:w="80"/>
              <w:bottom w:type="dxa" w:w="50"/>
              <w:right w:type="dxa" w:w="80"/>
            </w:tcMar>
            <w:vAlign w:val="center"/>
          </w:tcPr>
          <w:p>
            <w:pPr>
              <w:keepNext w:val="false"/>
              <w:spacing w:after="20" w:line="240"/>
              <w:jc w:val="left"/>
            </w:pPr>
            <w:r>
              <w:rPr>
                <w:sz w:val="17"/>
                <w:szCs w:val="17"/>
              </w:rPr>
              <w:t xml:space="preserve">Confirmación de normas y prácticas de acceso vigentes.</w:t>
            </w:r>
          </w:p>
        </w:tc>
        <w:tc>
          <w:tcPr>
            <w:tcW w:type="dxa" w:w="2790"/>
            <w:tcMar>
              <w:top w:type="dxa" w:w="50"/>
              <w:left w:type="dxa" w:w="80"/>
              <w:bottom w:type="dxa" w:w="50"/>
              <w:right w:type="dxa" w:w="80"/>
            </w:tcMar>
            <w:vAlign w:val="center"/>
          </w:tcPr>
          <w:p>
            <w:pPr>
              <w:keepNext w:val="false"/>
              <w:spacing w:after="20" w:line="240"/>
              <w:jc w:val="left"/>
            </w:pPr>
            <w:r>
              <w:rPr>
                <w:sz w:val="17"/>
                <w:szCs w:val="17"/>
              </w:rPr>
              <w:t xml:space="preserve">Consulta formal a Defensa y FACh.</w:t>
            </w:r>
          </w:p>
        </w:tc>
      </w:tr>
    </w:tbl>
    <w:p>
      <w:pPr>
        <w:spacing w:after="200" w:before="60"/>
        <w:jc w:val="center"/>
      </w:pPr>
      <w:r>
        <w:rPr>
          <w:i/>
          <w:iCs/>
          <w:sz w:val="17"/>
          <w:szCs w:val="17"/>
        </w:rPr>
        <w:t xml:space="preserve">Fuente: Elaboración propia.</w:t>
      </w:r>
    </w:p>
    <w:p>
      <w:pPr>
        <w:pStyle w:val="Heading2"/>
      </w:pPr>
      <w:r>
        <w:t xml:space="preserve">3.10 Síntesis del OE1</w:t>
      </w:r>
    </w:p>
    <w:p>
      <w:pPr>
        <w:spacing w:after="140" w:line="300"/>
        <w:jc w:val="both"/>
      </w:pPr>
      <w:r>
        <w:t xml:space="preserve">Con lo anterior, se destacan los siguientes puntos para el OE1:</w:t>
      </w:r>
    </w:p>
    <w:p>
      <w:pPr>
        <w:pStyle w:val="ListParagraph"/>
        <w:numPr>
          <w:ilvl w:val="0"/>
          <w:numId w:val="2"/>
        </w:numPr>
        <w:spacing w:after="80" w:line="290"/>
        <w:jc w:val="both"/>
      </w:pPr>
      <w:r>
        <w:rPr>
          <w:b/>
          <w:bCs/>
        </w:rPr>
        <w:t xml:space="preserve">Infraestructura:</w:t>
      </w:r>
      <w:r>
        <w:t xml:space="preserve"> el CEN es tecnológicamente robusto en lo declarado, con fortalezas claras en lo satelital y en el procesamiento de datos, aunque parte de las cifras clave depende de fuentes únicas.</w:t>
      </w:r>
    </w:p>
    <w:p>
      <w:pPr>
        <w:pStyle w:val="ListParagraph"/>
        <w:numPr>
          <w:ilvl w:val="0"/>
          <w:numId w:val="2"/>
        </w:numPr>
        <w:spacing w:after="80" w:line="290"/>
        <w:jc w:val="both"/>
      </w:pPr>
      <w:r>
        <w:rPr>
          <w:b/>
          <w:bCs/>
        </w:rPr>
        <w:t xml:space="preserve">Capacidades operativas y utilización:</w:t>
      </w:r>
      <w:r>
        <w:t xml:space="preserve"> están en fase de puesta en marcha; el control de misión está demostrado en un ejercicio (nivel 2) y la formación de personal ha comenzado, pero ninguna capacidad alcanza niveles de madurez que permitan integración con terceros.</w:t>
      </w:r>
    </w:p>
    <w:p>
      <w:pPr>
        <w:pStyle w:val="ListParagraph"/>
        <w:numPr>
          <w:ilvl w:val="0"/>
          <w:numId w:val="2"/>
        </w:numPr>
        <w:spacing w:after="80" w:line="290"/>
        <w:jc w:val="both"/>
      </w:pPr>
      <w:r>
        <w:rPr>
          <w:b/>
          <w:bCs/>
        </w:rPr>
        <w:t xml:space="preserve">Potencial de transferencia:</w:t>
      </w:r>
      <w:r>
        <w:t xml:space="preserve"> el mayor potencial está en la simulación ambiental y en los datos (H4), pero hoy no hay mecanismos de acceso para actores externos ni está especificado el origen de los datos que procesaría el HPC (H1, H2).</w:t>
      </w:r>
    </w:p>
    <w:p>
      <w:pPr>
        <w:pStyle w:val="ListParagraph"/>
        <w:numPr>
          <w:ilvl w:val="0"/>
          <w:numId w:val="2"/>
        </w:numPr>
        <w:spacing w:after="80" w:line="290"/>
        <w:jc w:val="both"/>
      </w:pPr>
      <w:r>
        <w:rPr>
          <w:b/>
          <w:bCs/>
        </w:rPr>
        <w:t xml:space="preserve">Ecosistema:</w:t>
      </w:r>
      <w:r>
        <w:t xml:space="preserve"> existen actores previos con capacidades vinculables (ENAER, programas universitarios, astroingeniería), dispersos y poco articulados (H8).</w:t>
      </w:r>
    </w:p>
    <w:p>
      <w:pPr>
        <w:pStyle w:val="ListParagraph"/>
        <w:numPr>
          <w:ilvl w:val="0"/>
          <w:numId w:val="2"/>
        </w:numPr>
        <w:spacing w:after="80" w:line="290"/>
        <w:jc w:val="both"/>
      </w:pPr>
      <w:r>
        <w:rPr>
          <w:b/>
          <w:bCs/>
        </w:rPr>
        <w:t xml:space="preserve">Vacíos principales:</w:t>
      </w:r>
      <w:r>
        <w:t xml:space="preserve"> no son técnicos sino de diseño institucional: canales, vínculos con usuarios, financiamiento y transferencia.</w:t>
      </w:r>
    </w:p>
    <w:p>
      <w:pPr>
        <w:pStyle w:val="ListParagraph"/>
        <w:numPr>
          <w:ilvl w:val="0"/>
          <w:numId w:val="2"/>
        </w:numPr>
        <w:spacing w:after="80" w:line="290"/>
        <w:jc w:val="both"/>
      </w:pPr>
      <w:r>
        <w:rPr>
          <w:b/>
          <w:bCs/>
        </w:rPr>
        <w:t xml:space="preserve">Alcance:</w:t>
      </w:r>
      <w:r>
        <w:t xml:space="preserve"> el OE1 se acredita para los ámbitos satelital y de datos. Drones y aeronáutica quedan fuera del ámbito de estudio (sección 1.2.4).</w:t>
      </w:r>
    </w:p>
    <w:p>
      <w:pPr>
        <w:pStyle w:val="Heading1"/>
        <w:pageBreakBefore/>
      </w:pPr>
      <w:r>
        <w:t xml:space="preserve">CAPÍTULO 4. DESARROLLO DEL OE2: BARRERAS Y FACTORES CRÍTICOS DE ÉXITO</w:t>
      </w:r>
    </w:p>
    <w:p>
      <w:pPr>
        <w:spacing w:after="140" w:line="300"/>
        <w:jc w:val="both"/>
      </w:pPr>
      <w:r>
        <w:t xml:space="preserve">El segundo objetivo busca identificar y priorizar las barreras y los factores críticos de éxito que condicionan el aprovechamiento de las capacidades del CEN, en referencia al horizonte de escalamiento definido en la sección 1.2.5. La secuencia es deliberada: primero se analiza el entorno con el PESTEL (4.1); luego se ordenan las barreras (4.2); se evalúan según relevancia, impacto y posibilidad de intervención (4.3); se derivan los factores críticos con el método de Rockart (4.4); y se construye un análisis de brechas que cruza OE1 con OE2 (4.5).</w:t>
      </w:r>
    </w:p>
    <w:p>
      <w:pPr>
        <w:pStyle w:val="Heading2"/>
      </w:pPr>
      <w:r>
        <w:t xml:space="preserve">4.1 Análisis PESTEL del entorno del CEN</w:t>
      </w:r>
    </w:p>
    <w:p>
      <w:pPr>
        <w:spacing w:after="140" w:line="300"/>
        <w:jc w:val="both"/>
      </w:pPr>
      <w:r>
        <w:t xml:space="preserve">El desempeño del centro está mediado por su entorno de política pública. A diferencia de una empresa en un mercado, el CEN vive dentro de una trama de decisiones gubernamentales, marcos normativos y asignaciones presupuestarias. La Tabla 17 presenta el análisis con un indicador del efecto habilitante, restrictivo o mixto que cada factor ejerce sobre el aprovechamiento de las capacidades, y su nivel de confianza.</w:t>
      </w:r>
    </w:p>
    <w:p>
      <w:pPr>
        <w:pStyle w:val="Caption"/>
        <w:keepNext/>
        <w:spacing w:after="80" w:before="200"/>
        <w:jc w:val="center"/>
      </w:pPr>
      <w:r>
        <w:rPr>
          <w:b/>
          <w:bCs/>
        </w:rPr>
        <w:t xml:space="preserve">Tabla </w:t>
      </w:r>
      <w:fldSimple w:instr="SEQ Tabla \* ARABIC">
        <w:r>
          <w:t xml:space="preserve">17</w:t>
        </w:r>
      </w:fldSimple>
      <w:r>
        <w:rPr>
          <w:b/>
          <w:bCs/>
        </w:rPr>
        <w:t xml:space="preserve">. Análisis PESTEL del entorno del CEN con indicador de efecto y confianza</w:t>
      </w:r>
    </w:p>
    <w:tbl>
      <w:tblPr>
        <w:tblW w:type="dxa" w:w="9000"/>
        <w:tblBorders>
          <w:top w:val="single" w:color="A6A6A6" w:sz="4"/>
          <w:left w:val="single" w:color="A6A6A6" w:sz="4"/>
          <w:bottom w:val="single" w:color="A6A6A6" w:sz="4"/>
          <w:right w:val="single" w:color="A6A6A6" w:sz="4"/>
          <w:insideH w:val="single" w:color="A6A6A6" w:sz="4"/>
          <w:insideV w:val="single" w:color="A6A6A6" w:sz="4"/>
        </w:tblBorders>
      </w:tblPr>
      <w:tblGrid>
        <w:gridCol w:w="1260"/>
        <w:gridCol w:w="2610"/>
        <w:gridCol w:w="2880"/>
        <w:gridCol w:w="1260"/>
        <w:gridCol w:w="990"/>
      </w:tblGrid>
      <w:tr>
        <w:trPr>
          <w:cantSplit/>
          <w:tblHeader/>
        </w:trPr>
        <w:tc>
          <w:tcPr>
            <w:tcW w:type="dxa" w:w="126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Dimensión</w:t>
            </w:r>
          </w:p>
        </w:tc>
        <w:tc>
          <w:tcPr>
            <w:tcW w:type="dxa" w:w="261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Factores relevantes</w:t>
            </w:r>
          </w:p>
        </w:tc>
        <w:tc>
          <w:tcPr>
            <w:tcW w:type="dxa" w:w="288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Implicancia</w:t>
            </w:r>
          </w:p>
        </w:tc>
        <w:tc>
          <w:tcPr>
            <w:tcW w:type="dxa" w:w="126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Efecto</w:t>
            </w:r>
          </w:p>
        </w:tc>
        <w:tc>
          <w:tcPr>
            <w:tcW w:type="dxa" w:w="99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Conf.</w:t>
            </w:r>
          </w:p>
        </w:tc>
      </w:tr>
      <w:tr>
        <w:trPr>
          <w:cantSplit/>
        </w:trPr>
        <w:tc>
          <w:tcPr>
            <w:tcW w:type="dxa" w:w="1260"/>
            <w:tcMar>
              <w:top w:type="dxa" w:w="50"/>
              <w:left w:type="dxa" w:w="80"/>
              <w:bottom w:type="dxa" w:w="50"/>
              <w:right w:type="dxa" w:w="80"/>
            </w:tcMar>
            <w:vAlign w:val="center"/>
          </w:tcPr>
          <w:p>
            <w:pPr>
              <w:keepNext w:val="false"/>
              <w:spacing w:after="20" w:line="240"/>
              <w:jc w:val="left"/>
            </w:pPr>
            <w:r>
              <w:rPr>
                <w:sz w:val="17"/>
                <w:szCs w:val="17"/>
              </w:rPr>
              <w:t xml:space="preserve">Político</w:t>
            </w:r>
          </w:p>
        </w:tc>
        <w:tc>
          <w:tcPr>
            <w:tcW w:type="dxa" w:w="2610"/>
            <w:tcMar>
              <w:top w:type="dxa" w:w="50"/>
              <w:left w:type="dxa" w:w="80"/>
              <w:bottom w:type="dxa" w:w="50"/>
              <w:right w:type="dxa" w:w="80"/>
            </w:tcMar>
            <w:vAlign w:val="center"/>
          </w:tcPr>
          <w:p>
            <w:pPr>
              <w:keepNext w:val="false"/>
              <w:spacing w:after="20" w:line="240"/>
              <w:jc w:val="left"/>
            </w:pPr>
            <w:r>
              <w:rPr>
                <w:sz w:val="17"/>
                <w:szCs w:val="17"/>
              </w:rPr>
              <w:t xml:space="preserve">Impulso desde Defensa; Política Nacional Espacial (julio 2025); Consejo de ministros para el Desarrollo Digital y Espacial; cambio de administración en marzo de 2026.</w:t>
            </w:r>
          </w:p>
        </w:tc>
        <w:tc>
          <w:tcPr>
            <w:tcW w:type="dxa" w:w="2880"/>
            <w:tcMar>
              <w:top w:type="dxa" w:w="50"/>
              <w:left w:type="dxa" w:w="80"/>
              <w:bottom w:type="dxa" w:w="50"/>
              <w:right w:type="dxa" w:w="80"/>
            </w:tcMar>
            <w:vAlign w:val="center"/>
          </w:tcPr>
          <w:p>
            <w:pPr>
              <w:keepNext w:val="false"/>
              <w:spacing w:after="20" w:line="240"/>
              <w:jc w:val="left"/>
            </w:pPr>
            <w:r>
              <w:rPr>
                <w:sz w:val="17"/>
                <w:szCs w:val="17"/>
              </w:rPr>
              <w:t xml:space="preserve">Respaldo de alto nivel, pero liderazgo radicado en Defensa y no en una institucionalidad civil. Con la nueva administración en funciones desde marzo de 2026, la continuidad de prioridades deberá evaluarse a partir de sus definiciones presupuestarias y de política, aún en despliegue.</w:t>
            </w:r>
          </w:p>
        </w:tc>
        <w:tc>
          <w:tcPr>
            <w:tcW w:type="dxa" w:w="1260"/>
            <w:shd w:fill="FFF2CC" w:color="auto" w:val="clear"/>
            <w:tcMar>
              <w:top w:type="dxa" w:w="50"/>
              <w:left w:type="dxa" w:w="80"/>
              <w:bottom w:type="dxa" w:w="50"/>
              <w:right w:type="dxa" w:w="80"/>
            </w:tcMar>
            <w:vAlign w:val="center"/>
          </w:tcPr>
          <w:p>
            <w:pPr>
              <w:keepNext w:val="false"/>
              <w:spacing w:after="20" w:line="240"/>
              <w:jc w:val="center"/>
            </w:pPr>
            <w:r>
              <w:rPr>
                <w:b/>
                <w:bCs/>
                <w:sz w:val="17"/>
                <w:szCs w:val="17"/>
              </w:rPr>
              <w:t xml:space="preserve">Mixto</w:t>
            </w:r>
          </w:p>
        </w:tc>
        <w:tc>
          <w:tcPr>
            <w:tcW w:type="dxa" w:w="990"/>
            <w:tcMar>
              <w:top w:type="dxa" w:w="50"/>
              <w:left w:type="dxa" w:w="80"/>
              <w:bottom w:type="dxa" w:w="50"/>
              <w:right w:type="dxa" w:w="80"/>
            </w:tcMar>
            <w:vAlign w:val="center"/>
          </w:tcPr>
          <w:p>
            <w:pPr>
              <w:keepNext w:val="false"/>
              <w:spacing w:after="20" w:line="240"/>
              <w:jc w:val="center"/>
            </w:pPr>
            <w:r>
              <w:rPr>
                <w:sz w:val="17"/>
                <w:szCs w:val="17"/>
              </w:rPr>
              <w:t xml:space="preserve">Media</w:t>
            </w:r>
          </w:p>
        </w:tc>
      </w:tr>
      <w:tr>
        <w:trPr>
          <w:cantSplit/>
        </w:trPr>
        <w:tc>
          <w:tcPr>
            <w:tcW w:type="dxa" w:w="1260"/>
            <w:tcMar>
              <w:top w:type="dxa" w:w="50"/>
              <w:left w:type="dxa" w:w="80"/>
              <w:bottom w:type="dxa" w:w="50"/>
              <w:right w:type="dxa" w:w="80"/>
            </w:tcMar>
            <w:vAlign w:val="center"/>
          </w:tcPr>
          <w:p>
            <w:pPr>
              <w:keepNext w:val="false"/>
              <w:spacing w:after="20" w:line="240"/>
              <w:jc w:val="left"/>
            </w:pPr>
            <w:r>
              <w:rPr>
                <w:sz w:val="17"/>
                <w:szCs w:val="17"/>
              </w:rPr>
              <w:t xml:space="preserve">Económico</w:t>
            </w:r>
          </w:p>
        </w:tc>
        <w:tc>
          <w:tcPr>
            <w:tcW w:type="dxa" w:w="2610"/>
            <w:tcMar>
              <w:top w:type="dxa" w:w="50"/>
              <w:left w:type="dxa" w:w="80"/>
              <w:bottom w:type="dxa" w:w="50"/>
              <w:right w:type="dxa" w:w="80"/>
            </w:tcMar>
            <w:vAlign w:val="center"/>
          </w:tcPr>
          <w:p>
            <w:pPr>
              <w:keepNext w:val="false"/>
              <w:spacing w:after="20" w:line="240"/>
              <w:jc w:val="left"/>
            </w:pPr>
            <w:r>
              <w:rPr>
                <w:sz w:val="17"/>
                <w:szCs w:val="17"/>
              </w:rPr>
              <w:t xml:space="preserve">Financiamiento dependiente de presupuesto fiscal y fondos CORE; mecanismos de APP incipientes; ciclos presupuestarios anuales.</w:t>
            </w:r>
          </w:p>
        </w:tc>
        <w:tc>
          <w:tcPr>
            <w:tcW w:type="dxa" w:w="2880"/>
            <w:tcMar>
              <w:top w:type="dxa" w:w="50"/>
              <w:left w:type="dxa" w:w="80"/>
              <w:bottom w:type="dxa" w:w="50"/>
              <w:right w:type="dxa" w:w="80"/>
            </w:tcMar>
            <w:vAlign w:val="center"/>
          </w:tcPr>
          <w:p>
            <w:pPr>
              <w:keepNext w:val="false"/>
              <w:spacing w:after="20" w:line="240"/>
              <w:jc w:val="left"/>
            </w:pPr>
            <w:r>
              <w:rPr>
                <w:sz w:val="17"/>
                <w:szCs w:val="17"/>
              </w:rPr>
              <w:t xml:space="preserve">Vulnerabilidad a recortes, poca diversificación, dificultad para planificar a largo plazo.</w:t>
            </w:r>
          </w:p>
        </w:tc>
        <w:tc>
          <w:tcPr>
            <w:tcW w:type="dxa" w:w="1260"/>
            <w:shd w:fill="F8CBAD" w:color="auto" w:val="clear"/>
            <w:tcMar>
              <w:top w:type="dxa" w:w="50"/>
              <w:left w:type="dxa" w:w="80"/>
              <w:bottom w:type="dxa" w:w="50"/>
              <w:right w:type="dxa" w:w="80"/>
            </w:tcMar>
            <w:vAlign w:val="center"/>
          </w:tcPr>
          <w:p>
            <w:pPr>
              <w:keepNext w:val="false"/>
              <w:spacing w:after="20" w:line="240"/>
              <w:jc w:val="center"/>
            </w:pPr>
            <w:r>
              <w:rPr>
                <w:b/>
                <w:bCs/>
                <w:sz w:val="17"/>
                <w:szCs w:val="17"/>
              </w:rPr>
              <w:t xml:space="preserve">Restrictivo</w:t>
            </w:r>
          </w:p>
        </w:tc>
        <w:tc>
          <w:tcPr>
            <w:tcW w:type="dxa" w:w="990"/>
            <w:tcMar>
              <w:top w:type="dxa" w:w="50"/>
              <w:left w:type="dxa" w:w="80"/>
              <w:bottom w:type="dxa" w:w="50"/>
              <w:right w:type="dxa" w:w="80"/>
            </w:tcMar>
            <w:vAlign w:val="center"/>
          </w:tcPr>
          <w:p>
            <w:pPr>
              <w:keepNext w:val="false"/>
              <w:spacing w:after="20" w:line="240"/>
              <w:jc w:val="center"/>
            </w:pPr>
            <w:r>
              <w:rPr>
                <w:sz w:val="17"/>
                <w:szCs w:val="17"/>
              </w:rPr>
              <w:t xml:space="preserve">Baja</w:t>
            </w:r>
          </w:p>
        </w:tc>
      </w:tr>
      <w:tr>
        <w:trPr>
          <w:cantSplit/>
        </w:trPr>
        <w:tc>
          <w:tcPr>
            <w:tcW w:type="dxa" w:w="1260"/>
            <w:tcMar>
              <w:top w:type="dxa" w:w="50"/>
              <w:left w:type="dxa" w:w="80"/>
              <w:bottom w:type="dxa" w:w="50"/>
              <w:right w:type="dxa" w:w="80"/>
            </w:tcMar>
            <w:vAlign w:val="center"/>
          </w:tcPr>
          <w:p>
            <w:pPr>
              <w:keepNext w:val="false"/>
              <w:spacing w:after="20" w:line="240"/>
              <w:jc w:val="left"/>
            </w:pPr>
            <w:r>
              <w:rPr>
                <w:sz w:val="17"/>
                <w:szCs w:val="17"/>
              </w:rPr>
              <w:t xml:space="preserve">Social</w:t>
            </w:r>
          </w:p>
        </w:tc>
        <w:tc>
          <w:tcPr>
            <w:tcW w:type="dxa" w:w="2610"/>
            <w:tcMar>
              <w:top w:type="dxa" w:w="50"/>
              <w:left w:type="dxa" w:w="80"/>
              <w:bottom w:type="dxa" w:w="50"/>
              <w:right w:type="dxa" w:w="80"/>
            </w:tcMar>
            <w:vAlign w:val="center"/>
          </w:tcPr>
          <w:p>
            <w:pPr>
              <w:keepNext w:val="false"/>
              <w:spacing w:after="20" w:line="240"/>
              <w:jc w:val="left"/>
            </w:pPr>
            <w:r>
              <w:rPr>
                <w:sz w:val="17"/>
                <w:szCs w:val="17"/>
              </w:rPr>
              <w:t xml:space="preserve">Cobertura de prensa e interés público tras la inauguración (The Clinic, 2025; El Desconcierto, 2025); expectativa de formación de talento y cooperación regional.</w:t>
            </w:r>
          </w:p>
        </w:tc>
        <w:tc>
          <w:tcPr>
            <w:tcW w:type="dxa" w:w="2880"/>
            <w:tcMar>
              <w:top w:type="dxa" w:w="50"/>
              <w:left w:type="dxa" w:w="80"/>
              <w:bottom w:type="dxa" w:w="50"/>
              <w:right w:type="dxa" w:w="80"/>
            </w:tcMar>
            <w:vAlign w:val="center"/>
          </w:tcPr>
          <w:p>
            <w:pPr>
              <w:keepNext w:val="false"/>
              <w:spacing w:after="20" w:line="240"/>
              <w:jc w:val="left"/>
            </w:pPr>
            <w:r>
              <w:rPr>
                <w:sz w:val="17"/>
                <w:szCs w:val="17"/>
              </w:rPr>
              <w:t xml:space="preserve">Legitimidad social, presión por resultados visibles, oportunidad educativa. La expectativa de talento se considera hipótesis.</w:t>
            </w:r>
          </w:p>
        </w:tc>
        <w:tc>
          <w:tcPr>
            <w:tcW w:type="dxa" w:w="1260"/>
            <w:shd w:fill="E2EFDA" w:color="auto" w:val="clear"/>
            <w:tcMar>
              <w:top w:type="dxa" w:w="50"/>
              <w:left w:type="dxa" w:w="80"/>
              <w:bottom w:type="dxa" w:w="50"/>
              <w:right w:type="dxa" w:w="80"/>
            </w:tcMar>
            <w:vAlign w:val="center"/>
          </w:tcPr>
          <w:p>
            <w:pPr>
              <w:keepNext w:val="false"/>
              <w:spacing w:after="20" w:line="240"/>
              <w:jc w:val="center"/>
            </w:pPr>
            <w:r>
              <w:rPr>
                <w:b/>
                <w:bCs/>
                <w:sz w:val="17"/>
                <w:szCs w:val="17"/>
              </w:rPr>
              <w:t xml:space="preserve">Habilitante (a validar)</w:t>
            </w:r>
          </w:p>
        </w:tc>
        <w:tc>
          <w:tcPr>
            <w:tcW w:type="dxa" w:w="990"/>
            <w:tcMar>
              <w:top w:type="dxa" w:w="50"/>
              <w:left w:type="dxa" w:w="80"/>
              <w:bottom w:type="dxa" w:w="50"/>
              <w:right w:type="dxa" w:w="80"/>
            </w:tcMar>
            <w:vAlign w:val="center"/>
          </w:tcPr>
          <w:p>
            <w:pPr>
              <w:keepNext w:val="false"/>
              <w:spacing w:after="20" w:line="240"/>
              <w:jc w:val="center"/>
            </w:pPr>
            <w:r>
              <w:rPr>
                <w:sz w:val="17"/>
                <w:szCs w:val="17"/>
              </w:rPr>
              <w:t xml:space="preserve">Baja</w:t>
            </w:r>
          </w:p>
        </w:tc>
      </w:tr>
      <w:tr>
        <w:trPr>
          <w:cantSplit/>
        </w:trPr>
        <w:tc>
          <w:tcPr>
            <w:tcW w:type="dxa" w:w="1260"/>
            <w:tcMar>
              <w:top w:type="dxa" w:w="50"/>
              <w:left w:type="dxa" w:w="80"/>
              <w:bottom w:type="dxa" w:w="50"/>
              <w:right w:type="dxa" w:w="80"/>
            </w:tcMar>
            <w:vAlign w:val="center"/>
          </w:tcPr>
          <w:p>
            <w:pPr>
              <w:keepNext w:val="false"/>
              <w:spacing w:after="20" w:line="240"/>
              <w:jc w:val="left"/>
            </w:pPr>
            <w:r>
              <w:rPr>
                <w:sz w:val="17"/>
                <w:szCs w:val="17"/>
              </w:rPr>
              <w:t xml:space="preserve">Tecnológico</w:t>
            </w:r>
          </w:p>
        </w:tc>
        <w:tc>
          <w:tcPr>
            <w:tcW w:type="dxa" w:w="2610"/>
            <w:tcMar>
              <w:top w:type="dxa" w:w="50"/>
              <w:left w:type="dxa" w:w="80"/>
              <w:bottom w:type="dxa" w:w="50"/>
              <w:right w:type="dxa" w:w="80"/>
            </w:tcMar>
            <w:vAlign w:val="center"/>
          </w:tcPr>
          <w:p>
            <w:pPr>
              <w:keepNext w:val="false"/>
              <w:spacing w:after="20" w:line="240"/>
              <w:jc w:val="left"/>
            </w:pPr>
            <w:r>
              <w:rPr>
                <w:sz w:val="17"/>
                <w:szCs w:val="17"/>
              </w:rPr>
              <w:t xml:space="preserve">Capacidades de frontera declaradas (HPC, sala limpia, simulación), sin capacidad de lanzamiento propia.</w:t>
            </w:r>
          </w:p>
        </w:tc>
        <w:tc>
          <w:tcPr>
            <w:tcW w:type="dxa" w:w="2880"/>
            <w:tcMar>
              <w:top w:type="dxa" w:w="50"/>
              <w:left w:type="dxa" w:w="80"/>
              <w:bottom w:type="dxa" w:w="50"/>
              <w:right w:type="dxa" w:w="80"/>
            </w:tcMar>
            <w:vAlign w:val="center"/>
          </w:tcPr>
          <w:p>
            <w:pPr>
              <w:keepNext w:val="false"/>
              <w:spacing w:after="20" w:line="240"/>
              <w:jc w:val="left"/>
            </w:pPr>
            <w:r>
              <w:rPr>
                <w:sz w:val="17"/>
                <w:szCs w:val="17"/>
              </w:rPr>
              <w:t xml:space="preserve">Base sólida para I+D; dependencia de terceros para el acceso al espacio.</w:t>
            </w:r>
          </w:p>
        </w:tc>
        <w:tc>
          <w:tcPr>
            <w:tcW w:type="dxa" w:w="1260"/>
            <w:shd w:fill="FFF2CC" w:color="auto" w:val="clear"/>
            <w:tcMar>
              <w:top w:type="dxa" w:w="50"/>
              <w:left w:type="dxa" w:w="80"/>
              <w:bottom w:type="dxa" w:w="50"/>
              <w:right w:type="dxa" w:w="80"/>
            </w:tcMar>
            <w:vAlign w:val="center"/>
          </w:tcPr>
          <w:p>
            <w:pPr>
              <w:keepNext w:val="false"/>
              <w:spacing w:after="20" w:line="240"/>
              <w:jc w:val="center"/>
            </w:pPr>
            <w:r>
              <w:rPr>
                <w:b/>
                <w:bCs/>
                <w:sz w:val="17"/>
                <w:szCs w:val="17"/>
              </w:rPr>
              <w:t xml:space="preserve">Mixto</w:t>
            </w:r>
          </w:p>
        </w:tc>
        <w:tc>
          <w:tcPr>
            <w:tcW w:type="dxa" w:w="990"/>
            <w:tcMar>
              <w:top w:type="dxa" w:w="50"/>
              <w:left w:type="dxa" w:w="80"/>
              <w:bottom w:type="dxa" w:w="50"/>
              <w:right w:type="dxa" w:w="80"/>
            </w:tcMar>
            <w:vAlign w:val="center"/>
          </w:tcPr>
          <w:p>
            <w:pPr>
              <w:keepNext w:val="false"/>
              <w:spacing w:after="20" w:line="240"/>
              <w:jc w:val="center"/>
            </w:pPr>
            <w:r>
              <w:rPr>
                <w:sz w:val="17"/>
                <w:szCs w:val="17"/>
              </w:rPr>
              <w:t xml:space="preserve">Baja</w:t>
            </w:r>
          </w:p>
        </w:tc>
      </w:tr>
      <w:tr>
        <w:trPr>
          <w:cantSplit/>
        </w:trPr>
        <w:tc>
          <w:tcPr>
            <w:tcW w:type="dxa" w:w="1260"/>
            <w:tcMar>
              <w:top w:type="dxa" w:w="50"/>
              <w:left w:type="dxa" w:w="80"/>
              <w:bottom w:type="dxa" w:w="50"/>
              <w:right w:type="dxa" w:w="80"/>
            </w:tcMar>
            <w:vAlign w:val="center"/>
          </w:tcPr>
          <w:p>
            <w:pPr>
              <w:keepNext w:val="false"/>
              <w:spacing w:after="20" w:line="240"/>
              <w:jc w:val="left"/>
            </w:pPr>
            <w:r>
              <w:rPr>
                <w:sz w:val="17"/>
                <w:szCs w:val="17"/>
              </w:rPr>
              <w:t xml:space="preserve">Ecológico</w:t>
            </w:r>
          </w:p>
        </w:tc>
        <w:tc>
          <w:tcPr>
            <w:tcW w:type="dxa" w:w="2610"/>
            <w:tcMar>
              <w:top w:type="dxa" w:w="50"/>
              <w:left w:type="dxa" w:w="80"/>
              <w:bottom w:type="dxa" w:w="50"/>
              <w:right w:type="dxa" w:w="80"/>
            </w:tcMar>
            <w:vAlign w:val="center"/>
          </w:tcPr>
          <w:p>
            <w:pPr>
              <w:keepNext w:val="false"/>
              <w:spacing w:after="20" w:line="240"/>
              <w:jc w:val="left"/>
            </w:pPr>
            <w:r>
              <w:rPr>
                <w:sz w:val="17"/>
                <w:szCs w:val="17"/>
              </w:rPr>
              <w:t xml:space="preserve">Demanda ambiental y territorial de información (recursos hídricos, glaciares, incendios, desastres).</w:t>
            </w:r>
          </w:p>
        </w:tc>
        <w:tc>
          <w:tcPr>
            <w:tcW w:type="dxa" w:w="2880"/>
            <w:tcMar>
              <w:top w:type="dxa" w:w="50"/>
              <w:left w:type="dxa" w:w="80"/>
              <w:bottom w:type="dxa" w:w="50"/>
              <w:right w:type="dxa" w:w="80"/>
            </w:tcMar>
            <w:vAlign w:val="center"/>
          </w:tcPr>
          <w:p>
            <w:pPr>
              <w:keepNext w:val="false"/>
              <w:spacing w:after="20" w:line="240"/>
              <w:jc w:val="left"/>
            </w:pPr>
            <w:r>
              <w:rPr>
                <w:sz w:val="17"/>
                <w:szCs w:val="17"/>
              </w:rPr>
              <w:t xml:space="preserve">Nicho de casos de uso de alto valor para servicios de datos; opera como habilitante por el lado de la demanda.</w:t>
            </w:r>
          </w:p>
        </w:tc>
        <w:tc>
          <w:tcPr>
            <w:tcW w:type="dxa" w:w="1260"/>
            <w:shd w:fill="E2EFDA" w:color="auto" w:val="clear"/>
            <w:tcMar>
              <w:top w:type="dxa" w:w="50"/>
              <w:left w:type="dxa" w:w="80"/>
              <w:bottom w:type="dxa" w:w="50"/>
              <w:right w:type="dxa" w:w="80"/>
            </w:tcMar>
            <w:vAlign w:val="center"/>
          </w:tcPr>
          <w:p>
            <w:pPr>
              <w:keepNext w:val="false"/>
              <w:spacing w:after="20" w:line="240"/>
              <w:jc w:val="center"/>
            </w:pPr>
            <w:r>
              <w:rPr>
                <w:b/>
                <w:bCs/>
                <w:sz w:val="17"/>
                <w:szCs w:val="17"/>
              </w:rPr>
              <w:t xml:space="preserve">Habilitante</w:t>
            </w:r>
          </w:p>
        </w:tc>
        <w:tc>
          <w:tcPr>
            <w:tcW w:type="dxa" w:w="990"/>
            <w:tcMar>
              <w:top w:type="dxa" w:w="50"/>
              <w:left w:type="dxa" w:w="80"/>
              <w:bottom w:type="dxa" w:w="50"/>
              <w:right w:type="dxa" w:w="80"/>
            </w:tcMar>
            <w:vAlign w:val="center"/>
          </w:tcPr>
          <w:p>
            <w:pPr>
              <w:keepNext w:val="false"/>
              <w:spacing w:after="20" w:line="240"/>
              <w:jc w:val="center"/>
            </w:pPr>
            <w:r>
              <w:rPr>
                <w:sz w:val="17"/>
                <w:szCs w:val="17"/>
              </w:rPr>
              <w:t xml:space="preserve">Baja</w:t>
            </w:r>
          </w:p>
        </w:tc>
      </w:tr>
      <w:tr>
        <w:trPr>
          <w:cantSplit/>
        </w:trPr>
        <w:tc>
          <w:tcPr>
            <w:tcW w:type="dxa" w:w="1260"/>
            <w:tcMar>
              <w:top w:type="dxa" w:w="50"/>
              <w:left w:type="dxa" w:w="80"/>
              <w:bottom w:type="dxa" w:w="50"/>
              <w:right w:type="dxa" w:w="80"/>
            </w:tcMar>
            <w:vAlign w:val="center"/>
          </w:tcPr>
          <w:p>
            <w:pPr>
              <w:keepNext w:val="false"/>
              <w:spacing w:after="20" w:line="240"/>
              <w:jc w:val="left"/>
            </w:pPr>
            <w:r>
              <w:rPr>
                <w:sz w:val="17"/>
                <w:szCs w:val="17"/>
              </w:rPr>
              <w:t xml:space="preserve">Legal</w:t>
            </w:r>
          </w:p>
        </w:tc>
        <w:tc>
          <w:tcPr>
            <w:tcW w:type="dxa" w:w="2610"/>
            <w:tcMar>
              <w:top w:type="dxa" w:w="50"/>
              <w:left w:type="dxa" w:w="80"/>
              <w:bottom w:type="dxa" w:w="50"/>
              <w:right w:type="dxa" w:w="80"/>
            </w:tcMar>
            <w:vAlign w:val="center"/>
          </w:tcPr>
          <w:p>
            <w:pPr>
              <w:keepNext w:val="false"/>
              <w:spacing w:after="20" w:line="240"/>
              <w:jc w:val="left"/>
            </w:pPr>
            <w:r>
              <w:rPr>
                <w:sz w:val="17"/>
                <w:szCs w:val="17"/>
              </w:rPr>
              <w:t xml:space="preserve">Agencia espacial civil sin consolidar (proyecto pendiente desde 2018); Ley 21.105 (2018), que crea el Ministerio de Ciencia y le asigna funciones de promoción de la actividad espacial; sin reglamento de acceso de terceros.</w:t>
            </w:r>
          </w:p>
        </w:tc>
        <w:tc>
          <w:tcPr>
            <w:tcW w:type="dxa" w:w="2880"/>
            <w:tcMar>
              <w:top w:type="dxa" w:w="50"/>
              <w:left w:type="dxa" w:w="80"/>
              <w:bottom w:type="dxa" w:w="50"/>
              <w:right w:type="dxa" w:w="80"/>
            </w:tcMar>
            <w:vAlign w:val="center"/>
          </w:tcPr>
          <w:p>
            <w:pPr>
              <w:keepNext w:val="false"/>
              <w:spacing w:after="20" w:line="240"/>
              <w:jc w:val="left"/>
            </w:pPr>
            <w:r>
              <w:rPr>
                <w:sz w:val="17"/>
                <w:szCs w:val="17"/>
              </w:rPr>
              <w:t xml:space="preserve">Vacío de institucionalidad civil; incertidumbre jurídica para actores que quieran colaborar.</w:t>
            </w:r>
          </w:p>
        </w:tc>
        <w:tc>
          <w:tcPr>
            <w:tcW w:type="dxa" w:w="1260"/>
            <w:shd w:fill="F8CBAD" w:color="auto" w:val="clear"/>
            <w:tcMar>
              <w:top w:type="dxa" w:w="50"/>
              <w:left w:type="dxa" w:w="80"/>
              <w:bottom w:type="dxa" w:w="50"/>
              <w:right w:type="dxa" w:w="80"/>
            </w:tcMar>
            <w:vAlign w:val="center"/>
          </w:tcPr>
          <w:p>
            <w:pPr>
              <w:keepNext w:val="false"/>
              <w:spacing w:after="20" w:line="240"/>
              <w:jc w:val="center"/>
            </w:pPr>
            <w:r>
              <w:rPr>
                <w:b/>
                <w:bCs/>
                <w:sz w:val="17"/>
                <w:szCs w:val="17"/>
              </w:rPr>
              <w:t xml:space="preserve">Restrictivo</w:t>
            </w:r>
          </w:p>
        </w:tc>
        <w:tc>
          <w:tcPr>
            <w:tcW w:type="dxa" w:w="990"/>
            <w:tcMar>
              <w:top w:type="dxa" w:w="50"/>
              <w:left w:type="dxa" w:w="80"/>
              <w:bottom w:type="dxa" w:w="50"/>
              <w:right w:type="dxa" w:w="80"/>
            </w:tcMar>
            <w:vAlign w:val="center"/>
          </w:tcPr>
          <w:p>
            <w:pPr>
              <w:keepNext w:val="false"/>
              <w:spacing w:after="20" w:line="240"/>
              <w:jc w:val="center"/>
            </w:pPr>
            <w:r>
              <w:rPr>
                <w:sz w:val="17"/>
                <w:szCs w:val="17"/>
              </w:rPr>
              <w:t xml:space="preserve">Media</w:t>
            </w:r>
          </w:p>
        </w:tc>
      </w:tr>
    </w:tbl>
    <w:p>
      <w:pPr>
        <w:spacing w:after="200" w:before="60"/>
        <w:jc w:val="center"/>
      </w:pPr>
      <w:r>
        <w:rPr>
          <w:i/>
          <w:iCs/>
          <w:sz w:val="17"/>
          <w:szCs w:val="17"/>
        </w:rPr>
        <w:t xml:space="preserve">Fuente: Elaboración propia a partir de FACh (2025a), Subtel (2024), Cooperativa (2026), El Mostrador (2025) y Ley 21.105 (2018).</w:t>
      </w:r>
    </w:p>
    <w:p>
      <w:pPr>
        <w:spacing w:after="140" w:line="300"/>
        <w:jc w:val="both"/>
      </w:pPr>
      <w:r>
        <w:t xml:space="preserve">El PESTEL permite una lectura rápida: dos dimensiones son habilitantes (social y ecológica), dos son restrictivas (económica y legal) y dos son mixtas (política y tecnológica). Las restricciones son de naturaleza institucional y financiera, no tecnológica: lo tecnológico es lo mejor resuelto, aunque en gran parte sobre la base de capacidades declaradas. La dimensión ecológica se interpreta aquí como entorno ambiental y territorial que genera demanda de información, y no como impacto ambiental propio del CEN, que no se evalúa en esta etapa; la calificación habilitante de lo social se apoya en cobertura de prensa, por lo que debe validarse con actores.</w:t>
      </w:r>
    </w:p>
    <w:p>
      <w:pPr>
        <w:pStyle w:val="Heading2"/>
      </w:pPr>
      <w:r>
        <w:t xml:space="preserve">4.2 Identificación y análisis de barreras</w:t>
      </w:r>
    </w:p>
    <w:p>
      <w:pPr>
        <w:spacing w:after="140" w:line="300"/>
        <w:jc w:val="both"/>
      </w:pPr>
      <w:r>
        <w:t xml:space="preserve">Con el PESTEL como telón de fondo se sistematizan las barreras en siete dimensiones (B1 a B7), representadas en la Figura 3. Para cada una se identifica la barrera principal, su manifestación concreta, su efecto y una hipótesis de línea de acción, que se presenta solo como insumo para las etapas posteriores (OE3 a OE5) y no como recomendación definitiva. La Tabla 18 presenta el detalle.</w:t>
      </w:r>
    </w:p>
    <w:p>
      <w:pPr>
        <w:pStyle w:val="Caption"/>
        <w:keepNext/>
        <w:spacing w:after="80" w:before="200"/>
        <w:jc w:val="center"/>
      </w:pPr>
      <w:r>
        <w:rPr>
          <w:b/>
          <w:bCs/>
        </w:rPr>
        <w:t xml:space="preserve">Figura </w:t>
      </w:r>
      <w:fldSimple w:instr="SEQ Figura \* ARABIC">
        <w:r>
          <w:t xml:space="preserve">3</w:t>
        </w:r>
      </w:fldSimple>
      <w:r>
        <w:rPr>
          <w:b/>
          <w:bCs/>
        </w:rPr>
        <w:t xml:space="preserve">. Diagrama causa-efecto de las barreras para el aprovechamiento de las capacidades del CEN</w:t>
      </w:r>
    </w:p>
    <w:tbl>
      <w:tblPr>
        <w:tblW w:type="dxa" w:w="9000"/>
        <w:tblBorders>
          <w:top w:val="single" w:color="A6A6A6" w:sz="4"/>
          <w:left w:val="single" w:color="A6A6A6" w:sz="4"/>
          <w:bottom w:val="single" w:color="A6A6A6" w:sz="4"/>
          <w:right w:val="single" w:color="A6A6A6" w:sz="4"/>
          <w:insideH w:val="single" w:color="A6A6A6" w:sz="4"/>
          <w:insideV w:val="single" w:color="A6A6A6" w:sz="4"/>
        </w:tblBorders>
      </w:tblPr>
      <w:tblGrid>
        <w:gridCol w:w="2250"/>
        <w:gridCol w:w="2250"/>
        <w:gridCol w:w="2250"/>
        <w:gridCol w:w="2250"/>
      </w:tblGrid>
      <w:tr>
        <w:trPr>
          <w:cantSplit/>
        </w:trPr>
        <w:tc>
          <w:tcPr>
            <w:tcW w:type="dxa" w:w="2250"/>
            <w:shd w:fill="DEEAF6" w:color="auto" w:val="clear"/>
            <w:tcMar>
              <w:top w:type="dxa" w:w="50"/>
              <w:left w:type="dxa" w:w="80"/>
              <w:bottom w:type="dxa" w:w="50"/>
              <w:right w:type="dxa" w:w="80"/>
            </w:tcMar>
            <w:vAlign w:val="center"/>
          </w:tcPr>
          <w:p>
            <w:pPr>
              <w:keepNext/>
              <w:spacing w:after="20" w:line="240"/>
              <w:jc w:val="center"/>
            </w:pPr>
            <w:r>
              <w:rPr>
                <w:b/>
                <w:bCs/>
                <w:sz w:val="16"/>
                <w:szCs w:val="16"/>
              </w:rPr>
              <w:t xml:space="preserve">B1 INSTITUCIONAL</w:t>
            </w:r>
          </w:p>
        </w:tc>
        <w:tc>
          <w:tcPr>
            <w:tcW w:type="dxa" w:w="2250"/>
            <w:shd w:fill="DEEAF6" w:color="auto" w:val="clear"/>
            <w:tcMar>
              <w:top w:type="dxa" w:w="50"/>
              <w:left w:type="dxa" w:w="80"/>
              <w:bottom w:type="dxa" w:w="50"/>
              <w:right w:type="dxa" w:w="80"/>
            </w:tcMar>
            <w:vAlign w:val="center"/>
          </w:tcPr>
          <w:p>
            <w:pPr>
              <w:keepNext/>
              <w:spacing w:after="20" w:line="240"/>
              <w:jc w:val="center"/>
            </w:pPr>
            <w:r>
              <w:rPr>
                <w:b/>
                <w:bCs/>
                <w:sz w:val="16"/>
                <w:szCs w:val="16"/>
              </w:rPr>
              <w:t xml:space="preserve">B2 NORMATIVA</w:t>
            </w:r>
          </w:p>
        </w:tc>
        <w:tc>
          <w:tcPr>
            <w:tcW w:type="dxa" w:w="2250"/>
            <w:shd w:fill="DEEAF6" w:color="auto" w:val="clear"/>
            <w:tcMar>
              <w:top w:type="dxa" w:w="50"/>
              <w:left w:type="dxa" w:w="80"/>
              <w:bottom w:type="dxa" w:w="50"/>
              <w:right w:type="dxa" w:w="80"/>
            </w:tcMar>
            <w:vAlign w:val="center"/>
          </w:tcPr>
          <w:p>
            <w:pPr>
              <w:keepNext/>
              <w:spacing w:after="20" w:line="240"/>
              <w:jc w:val="center"/>
            </w:pPr>
            <w:r>
              <w:rPr>
                <w:b/>
                <w:bCs/>
                <w:sz w:val="16"/>
                <w:szCs w:val="16"/>
              </w:rPr>
              <w:t xml:space="preserve">B3 CONOCIMIENTO</w:t>
            </w:r>
          </w:p>
        </w:tc>
        <w:tc>
          <w:tcPr>
            <w:tcW w:type="dxa" w:w="2250"/>
            <w:shd w:fill="DEEAF6" w:color="auto" w:val="clear"/>
            <w:tcMar>
              <w:top w:type="dxa" w:w="50"/>
              <w:left w:type="dxa" w:w="80"/>
              <w:bottom w:type="dxa" w:w="50"/>
              <w:right w:type="dxa" w:w="80"/>
            </w:tcMar>
            <w:vAlign w:val="center"/>
          </w:tcPr>
          <w:p>
            <w:pPr>
              <w:keepNext/>
              <w:spacing w:after="20" w:line="240"/>
              <w:jc w:val="center"/>
            </w:pPr>
            <w:r>
              <w:rPr>
                <w:b/>
                <w:bCs/>
                <w:sz w:val="16"/>
                <w:szCs w:val="16"/>
              </w:rPr>
              <w:t xml:space="preserve">B5 FINANCIAMIENTO</w:t>
            </w:r>
          </w:p>
        </w:tc>
      </w:tr>
      <w:tr>
        <w:trPr>
          <w:cantSplit/>
        </w:trPr>
        <w:tc>
          <w:tcPr>
            <w:tcW w:type="dxa" w:w="2250"/>
            <w:shd w:fill="FFF2CC" w:color="auto" w:val="clear"/>
            <w:tcMar>
              <w:top w:type="dxa" w:w="50"/>
              <w:left w:type="dxa" w:w="80"/>
              <w:bottom w:type="dxa" w:w="50"/>
              <w:right w:type="dxa" w:w="80"/>
            </w:tcMar>
            <w:vAlign w:val="center"/>
          </w:tcPr>
          <w:p>
            <w:pPr>
              <w:keepNext/>
              <w:spacing w:after="20" w:line="240"/>
              <w:jc w:val="center"/>
            </w:pPr>
            <w:r>
              <w:rPr>
                <w:b w:val="false"/>
                <w:bCs w:val="false"/>
                <w:sz w:val="16"/>
                <w:szCs w:val="16"/>
              </w:rPr>
              <w:t xml:space="preserve">Coordinación dispersa entre ministerios</w:t>
            </w:r>
          </w:p>
          <w:p>
            <w:pPr>
              <w:keepNext/>
              <w:spacing w:after="20" w:line="240"/>
              <w:jc w:val="center"/>
            </w:pPr>
            <w:r>
              <w:rPr>
                <w:b w:val="false"/>
                <w:bCs w:val="false"/>
                <w:sz w:val="16"/>
                <w:szCs w:val="16"/>
              </w:rPr>
              <w:t xml:space="preserve">Sin agencia civil consolidada</w:t>
            </w:r>
          </w:p>
          <w:p>
            <w:pPr>
              <w:keepNext/>
              <w:spacing w:after="20" w:line="240"/>
              <w:jc w:val="center"/>
            </w:pPr>
            <w:r>
              <w:rPr>
                <w:b w:val="false"/>
                <w:bCs w:val="false"/>
                <w:sz w:val="16"/>
                <w:szCs w:val="16"/>
              </w:rPr>
              <w:t xml:space="preserve">Decisiones fragmentadas</w:t>
            </w:r>
          </w:p>
        </w:tc>
        <w:tc>
          <w:tcPr>
            <w:tcW w:type="dxa" w:w="2250"/>
            <w:shd w:fill="FFF2CC" w:color="auto" w:val="clear"/>
            <w:tcMar>
              <w:top w:type="dxa" w:w="50"/>
              <w:left w:type="dxa" w:w="80"/>
              <w:bottom w:type="dxa" w:w="50"/>
              <w:right w:type="dxa" w:w="80"/>
            </w:tcMar>
            <w:vAlign w:val="center"/>
          </w:tcPr>
          <w:p>
            <w:pPr>
              <w:keepNext/>
              <w:spacing w:after="20" w:line="240"/>
              <w:jc w:val="center"/>
            </w:pPr>
            <w:r>
              <w:rPr>
                <w:b w:val="false"/>
                <w:bCs w:val="false"/>
                <w:sz w:val="16"/>
                <w:szCs w:val="16"/>
              </w:rPr>
              <w:t xml:space="preserve">Política Espacial en implementación</w:t>
            </w:r>
          </w:p>
          <w:p>
            <w:pPr>
              <w:keepNext/>
              <w:spacing w:after="20" w:line="240"/>
              <w:jc w:val="center"/>
            </w:pPr>
            <w:r>
              <w:rPr>
                <w:b w:val="false"/>
                <w:bCs w:val="false"/>
                <w:sz w:val="16"/>
                <w:szCs w:val="16"/>
              </w:rPr>
              <w:t xml:space="preserve">Reglamento de acceso pendiente</w:t>
            </w:r>
          </w:p>
          <w:p>
            <w:pPr>
              <w:keepNext/>
              <w:spacing w:after="20" w:line="240"/>
              <w:jc w:val="center"/>
            </w:pPr>
            <w:r>
              <w:rPr>
                <w:b w:val="false"/>
                <w:bCs w:val="false"/>
                <w:sz w:val="16"/>
                <w:szCs w:val="16"/>
              </w:rPr>
              <w:t xml:space="preserve">Ley de agencia sin tramitar</w:t>
            </w:r>
          </w:p>
        </w:tc>
        <w:tc>
          <w:tcPr>
            <w:tcW w:type="dxa" w:w="2250"/>
            <w:shd w:fill="FFF2CC" w:color="auto" w:val="clear"/>
            <w:tcMar>
              <w:top w:type="dxa" w:w="50"/>
              <w:left w:type="dxa" w:w="80"/>
              <w:bottom w:type="dxa" w:w="50"/>
              <w:right w:type="dxa" w:w="80"/>
            </w:tcMar>
            <w:vAlign w:val="center"/>
          </w:tcPr>
          <w:p>
            <w:pPr>
              <w:keepNext/>
              <w:spacing w:after="20" w:line="240"/>
              <w:jc w:val="center"/>
            </w:pPr>
            <w:r>
              <w:rPr>
                <w:b w:val="false"/>
                <w:bCs w:val="false"/>
                <w:sz w:val="16"/>
                <w:szCs w:val="16"/>
              </w:rPr>
              <w:t xml:space="preserve">Aprendizaje concentrado en la FACh</w:t>
            </w:r>
          </w:p>
          <w:p>
            <w:pPr>
              <w:keepNext/>
              <w:spacing w:after="20" w:line="240"/>
              <w:jc w:val="center"/>
            </w:pPr>
            <w:r>
              <w:rPr>
                <w:b w:val="false"/>
                <w:bCs w:val="false"/>
                <w:sz w:val="16"/>
                <w:szCs w:val="16"/>
              </w:rPr>
              <w:t xml:space="preserve">Sin estudios de transferencia</w:t>
            </w:r>
          </w:p>
          <w:p>
            <w:pPr>
              <w:keepNext/>
              <w:spacing w:after="20" w:line="240"/>
              <w:jc w:val="center"/>
            </w:pPr>
            <w:r>
              <w:rPr>
                <w:b w:val="false"/>
                <w:bCs w:val="false"/>
                <w:sz w:val="16"/>
                <w:szCs w:val="16"/>
              </w:rPr>
              <w:t xml:space="preserve">Dependencia de personas clave</w:t>
            </w:r>
          </w:p>
        </w:tc>
        <w:tc>
          <w:tcPr>
            <w:tcW w:type="dxa" w:w="2250"/>
            <w:shd w:fill="FFF2CC" w:color="auto" w:val="clear"/>
            <w:tcMar>
              <w:top w:type="dxa" w:w="50"/>
              <w:left w:type="dxa" w:w="80"/>
              <w:bottom w:type="dxa" w:w="50"/>
              <w:right w:type="dxa" w:w="80"/>
            </w:tcMar>
            <w:vAlign w:val="center"/>
          </w:tcPr>
          <w:p>
            <w:pPr>
              <w:keepNext/>
              <w:spacing w:after="20" w:line="240"/>
              <w:jc w:val="center"/>
            </w:pPr>
            <w:r>
              <w:rPr>
                <w:b w:val="false"/>
                <w:bCs w:val="false"/>
                <w:sz w:val="16"/>
                <w:szCs w:val="16"/>
              </w:rPr>
              <w:t xml:space="preserve">Dependencia de presupuesto fiscal</w:t>
            </w:r>
          </w:p>
          <w:p>
            <w:pPr>
              <w:keepNext/>
              <w:spacing w:after="20" w:line="240"/>
              <w:jc w:val="center"/>
            </w:pPr>
            <w:r>
              <w:rPr>
                <w:b w:val="false"/>
                <w:bCs w:val="false"/>
                <w:sz w:val="16"/>
                <w:szCs w:val="16"/>
              </w:rPr>
              <w:t xml:space="preserve">Fondos CORE anuales</w:t>
            </w:r>
          </w:p>
          <w:p>
            <w:pPr>
              <w:keepNext/>
              <w:spacing w:after="20" w:line="240"/>
              <w:jc w:val="center"/>
            </w:pPr>
            <w:r>
              <w:rPr>
                <w:b w:val="false"/>
                <w:bCs w:val="false"/>
                <w:sz w:val="16"/>
                <w:szCs w:val="16"/>
              </w:rPr>
              <w:t xml:space="preserve">APP incipientes</w:t>
            </w:r>
          </w:p>
        </w:tc>
      </w:tr>
      <w:tr>
        <w:trPr>
          <w:cantSplit/>
        </w:trPr>
        <w:tc>
          <w:tcPr>
            <w:tcW w:type="dxa" w:w="9000"/>
            <w:gridSpan w:val="4"/>
            <w:tcMar>
              <w:top w:type="dxa" w:w="50"/>
              <w:left w:type="dxa" w:w="80"/>
              <w:bottom w:type="dxa" w:w="50"/>
              <w:right w:type="dxa" w:w="80"/>
            </w:tcMar>
            <w:vAlign w:val="center"/>
          </w:tcPr>
          <w:p>
            <w:pPr>
              <w:keepNext/>
              <w:spacing w:after="20" w:line="240"/>
              <w:jc w:val="center"/>
            </w:pPr>
            <w:r>
              <w:rPr>
                <w:sz w:val="16"/>
                <w:szCs w:val="16"/>
              </w:rPr>
              <w:t xml:space="preserve">▼</w:t>
            </w:r>
          </w:p>
        </w:tc>
      </w:tr>
      <w:tr>
        <w:trPr>
          <w:cantSplit/>
        </w:trPr>
        <w:tc>
          <w:tcPr>
            <w:tcW w:type="dxa" w:w="9000"/>
            <w:gridSpan w:val="4"/>
            <w:shd w:fill="1F3864" w:color="auto" w:val="clear"/>
            <w:tcMar>
              <w:top w:type="dxa" w:w="50"/>
              <w:left w:type="dxa" w:w="80"/>
              <w:bottom w:type="dxa" w:w="50"/>
              <w:right w:type="dxa" w:w="80"/>
            </w:tcMar>
            <w:vAlign w:val="center"/>
          </w:tcPr>
          <w:p>
            <w:pPr>
              <w:keepNext/>
              <w:spacing w:after="20" w:line="240"/>
              <w:jc w:val="center"/>
            </w:pPr>
            <w:r>
              <w:rPr>
                <w:b/>
                <w:bCs/>
                <w:color w:val="FFFFFF"/>
                <w:sz w:val="16"/>
                <w:szCs w:val="16"/>
              </w:rPr>
              <w:t xml:space="preserve">LIMITADO APROVECHAMIENTO DE LAS CAPACIDADES DEL CEN Y BAJA ARTICULACIÓN DEL ECOSISTEMA ESPACIAL CHILENO</w:t>
            </w:r>
          </w:p>
        </w:tc>
      </w:tr>
      <w:tr>
        <w:trPr>
          <w:cantSplit/>
        </w:trPr>
        <w:tc>
          <w:tcPr>
            <w:tcW w:type="dxa" w:w="9000"/>
            <w:gridSpan w:val="4"/>
            <w:tcMar>
              <w:top w:type="dxa" w:w="50"/>
              <w:left w:type="dxa" w:w="80"/>
              <w:bottom w:type="dxa" w:w="50"/>
              <w:right w:type="dxa" w:w="80"/>
            </w:tcMar>
            <w:vAlign w:val="center"/>
          </w:tcPr>
          <w:p>
            <w:pPr>
              <w:keepNext/>
              <w:spacing w:after="20" w:line="240"/>
              <w:jc w:val="center"/>
            </w:pPr>
            <w:r>
              <w:rPr>
                <w:sz w:val="16"/>
                <w:szCs w:val="16"/>
              </w:rPr>
              <w:t xml:space="preserve">▲</w:t>
            </w:r>
          </w:p>
        </w:tc>
      </w:tr>
      <w:tr>
        <w:trPr>
          <w:cantSplit/>
        </w:trPr>
        <w:tc>
          <w:tcPr>
            <w:tcW w:type="dxa" w:w="2250"/>
            <w:shd w:fill="DEEAF6" w:color="auto" w:val="clear"/>
            <w:tcMar>
              <w:top w:type="dxa" w:w="50"/>
              <w:left w:type="dxa" w:w="80"/>
              <w:bottom w:type="dxa" w:w="50"/>
              <w:right w:type="dxa" w:w="80"/>
            </w:tcMar>
            <w:vAlign w:val="center"/>
          </w:tcPr>
          <w:p>
            <w:pPr>
              <w:keepNext/>
              <w:spacing w:after="20" w:line="240"/>
              <w:jc w:val="center"/>
            </w:pPr>
            <w:r>
              <w:rPr>
                <w:b/>
                <w:bCs/>
                <w:sz w:val="16"/>
                <w:szCs w:val="16"/>
              </w:rPr>
              <w:t xml:space="preserve">B4 INFRAESTRUCTURA</w:t>
            </w:r>
          </w:p>
        </w:tc>
        <w:tc>
          <w:tcPr>
            <w:tcW w:type="dxa" w:w="2250"/>
            <w:shd w:fill="DEEAF6" w:color="auto" w:val="clear"/>
            <w:tcMar>
              <w:top w:type="dxa" w:w="50"/>
              <w:left w:type="dxa" w:w="80"/>
              <w:bottom w:type="dxa" w:w="50"/>
              <w:right w:type="dxa" w:w="80"/>
            </w:tcMar>
            <w:vAlign w:val="center"/>
          </w:tcPr>
          <w:p>
            <w:pPr>
              <w:keepNext/>
              <w:spacing w:after="20" w:line="240"/>
              <w:jc w:val="center"/>
            </w:pPr>
            <w:r>
              <w:rPr>
                <w:b/>
                <w:bCs/>
                <w:sz w:val="16"/>
                <w:szCs w:val="16"/>
              </w:rPr>
              <w:t xml:space="preserve">B6 DEMANDA</w:t>
            </w:r>
          </w:p>
        </w:tc>
        <w:tc>
          <w:tcPr>
            <w:tcW w:type="dxa" w:w="2250"/>
            <w:shd w:fill="DEEAF6" w:color="auto" w:val="clear"/>
            <w:tcMar>
              <w:top w:type="dxa" w:w="50"/>
              <w:left w:type="dxa" w:w="80"/>
              <w:bottom w:type="dxa" w:w="50"/>
              <w:right w:type="dxa" w:w="80"/>
            </w:tcMar>
            <w:vAlign w:val="center"/>
          </w:tcPr>
          <w:p>
            <w:pPr>
              <w:keepNext/>
              <w:spacing w:after="20" w:line="240"/>
              <w:jc w:val="center"/>
            </w:pPr>
            <w:r>
              <w:rPr>
                <w:b/>
                <w:bCs/>
                <w:sz w:val="16"/>
                <w:szCs w:val="16"/>
              </w:rPr>
              <w:t xml:space="preserve">B7 SEGURIDAD Y USO DUAL</w:t>
            </w:r>
          </w:p>
        </w:tc>
        <w:tc>
          <w:tcPr>
            <w:tcW w:type="dxa" w:w="2250"/>
            <w:tcMar>
              <w:top w:type="dxa" w:w="50"/>
              <w:left w:type="dxa" w:w="80"/>
              <w:bottom w:type="dxa" w:w="50"/>
              <w:right w:type="dxa" w:w="80"/>
            </w:tcMar>
            <w:vAlign w:val="center"/>
          </w:tcPr>
          <w:p>
            <w:pPr>
              <w:keepNext/>
              <w:spacing w:after="20" w:line="240"/>
              <w:jc w:val="left"/>
            </w:pPr>
          </w:p>
        </w:tc>
      </w:tr>
      <w:tr>
        <w:trPr>
          <w:cantSplit/>
        </w:trPr>
        <w:tc>
          <w:tcPr>
            <w:tcW w:type="dxa" w:w="2250"/>
            <w:shd w:fill="FFF2CC" w:color="auto" w:val="clear"/>
            <w:tcMar>
              <w:top w:type="dxa" w:w="50"/>
              <w:left w:type="dxa" w:w="80"/>
              <w:bottom w:type="dxa" w:w="50"/>
              <w:right w:type="dxa" w:w="80"/>
            </w:tcMar>
            <w:vAlign w:val="center"/>
          </w:tcPr>
          <w:p>
            <w:pPr>
              <w:keepNext/>
              <w:spacing w:after="20" w:line="240"/>
              <w:jc w:val="center"/>
            </w:pPr>
            <w:r>
              <w:rPr>
                <w:b w:val="false"/>
                <w:bCs w:val="false"/>
                <w:sz w:val="16"/>
                <w:szCs w:val="16"/>
              </w:rPr>
              <w:t xml:space="preserve">Capacidades concentradas en Cerrillos</w:t>
            </w:r>
          </w:p>
          <w:p>
            <w:pPr>
              <w:keepNext/>
              <w:spacing w:after="20" w:line="240"/>
              <w:jc w:val="center"/>
            </w:pPr>
            <w:r>
              <w:rPr>
                <w:b w:val="false"/>
                <w:bCs w:val="false"/>
                <w:sz w:val="16"/>
                <w:szCs w:val="16"/>
              </w:rPr>
              <w:t xml:space="preserve">Centros regionales en estudio</w:t>
            </w:r>
          </w:p>
          <w:p>
            <w:pPr>
              <w:keepNext/>
              <w:spacing w:after="20" w:line="240"/>
              <w:jc w:val="center"/>
            </w:pPr>
            <w:r>
              <w:rPr>
                <w:b w:val="false"/>
                <w:bCs w:val="false"/>
                <w:sz w:val="16"/>
                <w:szCs w:val="16"/>
              </w:rPr>
              <w:t xml:space="preserve">Concentración del riesgo operativo</w:t>
            </w:r>
          </w:p>
        </w:tc>
        <w:tc>
          <w:tcPr>
            <w:tcW w:type="dxa" w:w="2250"/>
            <w:shd w:fill="FFF2CC" w:color="auto" w:val="clear"/>
            <w:tcMar>
              <w:top w:type="dxa" w:w="50"/>
              <w:left w:type="dxa" w:w="80"/>
              <w:bottom w:type="dxa" w:w="50"/>
              <w:right w:type="dxa" w:w="80"/>
            </w:tcMar>
            <w:vAlign w:val="center"/>
          </w:tcPr>
          <w:p>
            <w:pPr>
              <w:keepNext/>
              <w:spacing w:after="20" w:line="240"/>
              <w:jc w:val="center"/>
            </w:pPr>
            <w:r>
              <w:rPr>
                <w:b w:val="false"/>
                <w:bCs w:val="false"/>
                <w:sz w:val="16"/>
                <w:szCs w:val="16"/>
              </w:rPr>
              <w:t xml:space="preserve">Mercado doméstico acotado (≈ 8 satélites declarados)</w:t>
            </w:r>
          </w:p>
          <w:p>
            <w:pPr>
              <w:keepNext/>
              <w:spacing w:after="20" w:line="240"/>
              <w:jc w:val="center"/>
            </w:pPr>
            <w:r>
              <w:rPr>
                <w:b w:val="false"/>
                <w:bCs w:val="false"/>
                <w:sz w:val="16"/>
                <w:szCs w:val="16"/>
              </w:rPr>
              <w:t xml:space="preserve">Demanda civil no canalizada</w:t>
            </w:r>
          </w:p>
        </w:tc>
        <w:tc>
          <w:tcPr>
            <w:tcW w:type="dxa" w:w="2250"/>
            <w:shd w:fill="FFF2CC" w:color="auto" w:val="clear"/>
            <w:tcMar>
              <w:top w:type="dxa" w:w="50"/>
              <w:left w:type="dxa" w:w="80"/>
              <w:bottom w:type="dxa" w:w="50"/>
              <w:right w:type="dxa" w:w="80"/>
            </w:tcMar>
            <w:vAlign w:val="center"/>
          </w:tcPr>
          <w:p>
            <w:pPr>
              <w:keepNext/>
              <w:spacing w:after="20" w:line="240"/>
              <w:jc w:val="center"/>
            </w:pPr>
            <w:r>
              <w:rPr>
                <w:b w:val="false"/>
                <w:bCs w:val="false"/>
                <w:sz w:val="16"/>
                <w:szCs w:val="16"/>
              </w:rPr>
              <w:t xml:space="preserve">Restricciones sobre componentes y datos</w:t>
            </w:r>
          </w:p>
          <w:p>
            <w:pPr>
              <w:keepNext/>
              <w:spacing w:after="20" w:line="240"/>
              <w:jc w:val="center"/>
            </w:pPr>
            <w:r>
              <w:rPr>
                <w:b w:val="false"/>
                <w:bCs w:val="false"/>
                <w:sz w:val="16"/>
                <w:szCs w:val="16"/>
              </w:rPr>
              <w:t xml:space="preserve">Acreditación de seguridad en recinto militar (por verificar)</w:t>
            </w:r>
          </w:p>
        </w:tc>
        <w:tc>
          <w:tcPr>
            <w:tcW w:type="dxa" w:w="2250"/>
            <w:tcMar>
              <w:top w:type="dxa" w:w="50"/>
              <w:left w:type="dxa" w:w="80"/>
              <w:bottom w:type="dxa" w:w="50"/>
              <w:right w:type="dxa" w:w="80"/>
            </w:tcMar>
            <w:vAlign w:val="center"/>
          </w:tcPr>
          <w:p>
            <w:pPr>
              <w:keepNext/>
              <w:spacing w:after="20" w:line="240"/>
              <w:jc w:val="left"/>
            </w:pPr>
          </w:p>
        </w:tc>
      </w:tr>
    </w:tbl>
    <w:p>
      <w:pPr>
        <w:spacing w:after="200" w:before="60"/>
        <w:jc w:val="center"/>
      </w:pPr>
      <w:r>
        <w:rPr>
          <w:i/>
          <w:iCs/>
          <w:sz w:val="17"/>
          <w:szCs w:val="17"/>
        </w:rPr>
        <w:t xml:space="preserve">Fuente: Elaboración propia. Representación esquemática del diagrama de Ishikawa (1985).</w:t>
      </w:r>
    </w:p>
    <w:p>
      <w:pPr>
        <w:pStyle w:val="Caption"/>
        <w:keepNext/>
        <w:spacing w:after="80" w:before="200"/>
        <w:jc w:val="center"/>
      </w:pPr>
      <w:r>
        <w:rPr>
          <w:b/>
          <w:bCs/>
        </w:rPr>
        <w:t xml:space="preserve">Tabla </w:t>
      </w:r>
      <w:fldSimple w:instr="SEQ Tabla \* ARABIC">
        <w:r>
          <w:t xml:space="preserve">18</w:t>
        </w:r>
      </w:fldSimple>
      <w:r>
        <w:rPr>
          <w:b/>
          <w:bCs/>
        </w:rPr>
        <w:t xml:space="preserve">. Matriz ampliada de barreras para el aprovechamiento de las capacidades del CEN</w:t>
      </w:r>
    </w:p>
    <w:tbl>
      <w:tblPr>
        <w:tblW w:type="dxa" w:w="9000"/>
        <w:tblBorders>
          <w:top w:val="single" w:color="A6A6A6" w:sz="4"/>
          <w:left w:val="single" w:color="A6A6A6" w:sz="4"/>
          <w:bottom w:val="single" w:color="A6A6A6" w:sz="4"/>
          <w:right w:val="single" w:color="A6A6A6" w:sz="4"/>
          <w:insideH w:val="single" w:color="A6A6A6" w:sz="4"/>
          <w:insideV w:val="single" w:color="A6A6A6" w:sz="4"/>
        </w:tblBorders>
      </w:tblPr>
      <w:tblGrid>
        <w:gridCol w:w="459"/>
        <w:gridCol w:w="1286"/>
        <w:gridCol w:w="1561"/>
        <w:gridCol w:w="1653"/>
        <w:gridCol w:w="1561"/>
        <w:gridCol w:w="1469"/>
        <w:gridCol w:w="1011"/>
      </w:tblGrid>
      <w:tr>
        <w:trPr>
          <w:cantSplit/>
          <w:tblHeader/>
        </w:trPr>
        <w:tc>
          <w:tcPr>
            <w:tcW w:type="dxa" w:w="459"/>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N.º</w:t>
            </w:r>
          </w:p>
        </w:tc>
        <w:tc>
          <w:tcPr>
            <w:tcW w:type="dxa" w:w="1286"/>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Barrera principal</w:t>
            </w:r>
          </w:p>
        </w:tc>
        <w:tc>
          <w:tcPr>
            <w:tcW w:type="dxa" w:w="1561"/>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Manifestación concreta</w:t>
            </w:r>
          </w:p>
        </w:tc>
        <w:tc>
          <w:tcPr>
            <w:tcW w:type="dxa" w:w="1653"/>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Efecto</w:t>
            </w:r>
          </w:p>
        </w:tc>
        <w:tc>
          <w:tcPr>
            <w:tcW w:type="dxa" w:w="1561"/>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Hipótesis de línea de acción</w:t>
            </w:r>
          </w:p>
        </w:tc>
        <w:tc>
          <w:tcPr>
            <w:tcW w:type="dxa" w:w="1469"/>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Dimensión</w:t>
            </w:r>
          </w:p>
        </w:tc>
        <w:tc>
          <w:tcPr>
            <w:tcW w:type="dxa" w:w="1011"/>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Conf.</w:t>
            </w:r>
          </w:p>
        </w:tc>
      </w:tr>
      <w:tr>
        <w:trPr>
          <w:cantSplit/>
        </w:trPr>
        <w:tc>
          <w:tcPr>
            <w:tcW w:type="dxa" w:w="459"/>
            <w:tcMar>
              <w:top w:type="dxa" w:w="50"/>
              <w:left w:type="dxa" w:w="80"/>
              <w:bottom w:type="dxa" w:w="50"/>
              <w:right w:type="dxa" w:w="80"/>
            </w:tcMar>
            <w:vAlign w:val="center"/>
          </w:tcPr>
          <w:p>
            <w:pPr>
              <w:keepNext w:val="false"/>
              <w:spacing w:after="20" w:line="240"/>
              <w:jc w:val="left"/>
            </w:pPr>
            <w:r>
              <w:rPr>
                <w:sz w:val="17"/>
                <w:szCs w:val="17"/>
              </w:rPr>
              <w:t xml:space="preserve">B1</w:t>
            </w:r>
          </w:p>
        </w:tc>
        <w:tc>
          <w:tcPr>
            <w:tcW w:type="dxa" w:w="1286"/>
            <w:tcMar>
              <w:top w:type="dxa" w:w="50"/>
              <w:left w:type="dxa" w:w="80"/>
              <w:bottom w:type="dxa" w:w="50"/>
              <w:right w:type="dxa" w:w="80"/>
            </w:tcMar>
            <w:vAlign w:val="center"/>
          </w:tcPr>
          <w:p>
            <w:pPr>
              <w:keepNext w:val="false"/>
              <w:spacing w:after="20" w:line="240"/>
              <w:jc w:val="left"/>
            </w:pPr>
            <w:r>
              <w:rPr>
                <w:sz w:val="17"/>
                <w:szCs w:val="17"/>
              </w:rPr>
              <w:t xml:space="preserve">Sin agencia espacial civil consolidada.</w:t>
            </w:r>
          </w:p>
        </w:tc>
        <w:tc>
          <w:tcPr>
            <w:tcW w:type="dxa" w:w="1561"/>
            <w:tcMar>
              <w:top w:type="dxa" w:w="50"/>
              <w:left w:type="dxa" w:w="80"/>
              <w:bottom w:type="dxa" w:w="50"/>
              <w:right w:type="dxa" w:w="80"/>
            </w:tcMar>
            <w:vAlign w:val="center"/>
          </w:tcPr>
          <w:p>
            <w:pPr>
              <w:keepNext w:val="false"/>
              <w:spacing w:after="20" w:line="240"/>
              <w:jc w:val="left"/>
            </w:pPr>
            <w:r>
              <w:rPr>
                <w:sz w:val="17"/>
                <w:szCs w:val="17"/>
              </w:rPr>
              <w:t xml:space="preserve">Coordinación repartida entre Defensa, Minciencia, Subtel y otras carteras.</w:t>
            </w:r>
          </w:p>
        </w:tc>
        <w:tc>
          <w:tcPr>
            <w:tcW w:type="dxa" w:w="1653"/>
            <w:tcMar>
              <w:top w:type="dxa" w:w="50"/>
              <w:left w:type="dxa" w:w="80"/>
              <w:bottom w:type="dxa" w:w="50"/>
              <w:right w:type="dxa" w:w="80"/>
            </w:tcMar>
            <w:vAlign w:val="center"/>
          </w:tcPr>
          <w:p>
            <w:pPr>
              <w:keepNext w:val="false"/>
              <w:spacing w:after="20" w:line="240"/>
              <w:jc w:val="left"/>
            </w:pPr>
            <w:r>
              <w:rPr>
                <w:sz w:val="17"/>
                <w:szCs w:val="17"/>
              </w:rPr>
              <w:t xml:space="preserve">No hay un conductor único del ecosistema; las decisiones se fragmentan.</w:t>
            </w:r>
          </w:p>
        </w:tc>
        <w:tc>
          <w:tcPr>
            <w:tcW w:type="dxa" w:w="1561"/>
            <w:tcMar>
              <w:top w:type="dxa" w:w="50"/>
              <w:left w:type="dxa" w:w="80"/>
              <w:bottom w:type="dxa" w:w="50"/>
              <w:right w:type="dxa" w:w="80"/>
            </w:tcMar>
            <w:vAlign w:val="center"/>
          </w:tcPr>
          <w:p>
            <w:pPr>
              <w:keepNext w:val="false"/>
              <w:spacing w:after="20" w:line="240"/>
              <w:jc w:val="left"/>
            </w:pPr>
            <w:r>
              <w:rPr>
                <w:sz w:val="17"/>
                <w:szCs w:val="17"/>
              </w:rPr>
              <w:t xml:space="preserve">Explorar una agencia o, al menos, un mecanismo de coordinación formal.</w:t>
            </w:r>
          </w:p>
        </w:tc>
        <w:tc>
          <w:tcPr>
            <w:tcW w:type="dxa" w:w="1469"/>
            <w:tcMar>
              <w:top w:type="dxa" w:w="50"/>
              <w:left w:type="dxa" w:w="80"/>
              <w:bottom w:type="dxa" w:w="50"/>
              <w:right w:type="dxa" w:w="80"/>
            </w:tcMar>
            <w:vAlign w:val="center"/>
          </w:tcPr>
          <w:p>
            <w:pPr>
              <w:keepNext w:val="false"/>
              <w:spacing w:after="20" w:line="240"/>
              <w:jc w:val="left"/>
            </w:pPr>
            <w:r>
              <w:rPr>
                <w:sz w:val="17"/>
                <w:szCs w:val="17"/>
              </w:rPr>
              <w:t xml:space="preserve">Institucional</w:t>
            </w:r>
          </w:p>
        </w:tc>
        <w:tc>
          <w:tcPr>
            <w:tcW w:type="dxa" w:w="1011"/>
            <w:tcMar>
              <w:top w:type="dxa" w:w="50"/>
              <w:left w:type="dxa" w:w="80"/>
              <w:bottom w:type="dxa" w:w="50"/>
              <w:right w:type="dxa" w:w="80"/>
            </w:tcMar>
            <w:vAlign w:val="center"/>
          </w:tcPr>
          <w:p>
            <w:pPr>
              <w:keepNext w:val="false"/>
              <w:spacing w:after="20" w:line="240"/>
              <w:jc w:val="center"/>
            </w:pPr>
            <w:r>
              <w:rPr>
                <w:sz w:val="17"/>
                <w:szCs w:val="17"/>
              </w:rPr>
              <w:t xml:space="preserve">Media</w:t>
            </w:r>
          </w:p>
        </w:tc>
      </w:tr>
      <w:tr>
        <w:trPr>
          <w:cantSplit/>
        </w:trPr>
        <w:tc>
          <w:tcPr>
            <w:tcW w:type="dxa" w:w="459"/>
            <w:tcMar>
              <w:top w:type="dxa" w:w="50"/>
              <w:left w:type="dxa" w:w="80"/>
              <w:bottom w:type="dxa" w:w="50"/>
              <w:right w:type="dxa" w:w="80"/>
            </w:tcMar>
            <w:vAlign w:val="center"/>
          </w:tcPr>
          <w:p>
            <w:pPr>
              <w:keepNext w:val="false"/>
              <w:spacing w:after="20" w:line="240"/>
              <w:jc w:val="left"/>
            </w:pPr>
            <w:r>
              <w:rPr>
                <w:sz w:val="17"/>
                <w:szCs w:val="17"/>
              </w:rPr>
              <w:t xml:space="preserve">B2</w:t>
            </w:r>
          </w:p>
        </w:tc>
        <w:tc>
          <w:tcPr>
            <w:tcW w:type="dxa" w:w="1286"/>
            <w:tcMar>
              <w:top w:type="dxa" w:w="50"/>
              <w:left w:type="dxa" w:w="80"/>
              <w:bottom w:type="dxa" w:w="50"/>
              <w:right w:type="dxa" w:w="80"/>
            </w:tcMar>
            <w:vAlign w:val="center"/>
          </w:tcPr>
          <w:p>
            <w:pPr>
              <w:keepNext w:val="false"/>
              <w:spacing w:after="20" w:line="240"/>
              <w:jc w:val="left"/>
            </w:pPr>
            <w:r>
              <w:rPr>
                <w:sz w:val="17"/>
                <w:szCs w:val="17"/>
              </w:rPr>
              <w:t xml:space="preserve">Reglamento de acceso de terceros no definido.</w:t>
            </w:r>
          </w:p>
        </w:tc>
        <w:tc>
          <w:tcPr>
            <w:tcW w:type="dxa" w:w="1561"/>
            <w:tcMar>
              <w:top w:type="dxa" w:w="50"/>
              <w:left w:type="dxa" w:w="80"/>
              <w:bottom w:type="dxa" w:w="50"/>
              <w:right w:type="dxa" w:w="80"/>
            </w:tcMar>
            <w:vAlign w:val="center"/>
          </w:tcPr>
          <w:p>
            <w:pPr>
              <w:keepNext w:val="false"/>
              <w:spacing w:after="20" w:line="240"/>
              <w:jc w:val="left"/>
            </w:pPr>
            <w:r>
              <w:rPr>
                <w:sz w:val="17"/>
                <w:szCs w:val="17"/>
              </w:rPr>
              <w:t xml:space="preserve">Universidades, pymes y startups no tienen una vía formal para acceder al CEN.</w:t>
            </w:r>
          </w:p>
        </w:tc>
        <w:tc>
          <w:tcPr>
            <w:tcW w:type="dxa" w:w="1653"/>
            <w:tcMar>
              <w:top w:type="dxa" w:w="50"/>
              <w:left w:type="dxa" w:w="80"/>
              <w:bottom w:type="dxa" w:w="50"/>
              <w:right w:type="dxa" w:w="80"/>
            </w:tcMar>
            <w:vAlign w:val="center"/>
          </w:tcPr>
          <w:p>
            <w:pPr>
              <w:keepNext w:val="false"/>
              <w:spacing w:after="20" w:line="240"/>
              <w:jc w:val="left"/>
            </w:pPr>
            <w:r>
              <w:rPr>
                <w:sz w:val="17"/>
                <w:szCs w:val="17"/>
              </w:rPr>
              <w:t xml:space="preserve">Las capacidades se subutilizan; no se genera demanda civil.</w:t>
            </w:r>
          </w:p>
        </w:tc>
        <w:tc>
          <w:tcPr>
            <w:tcW w:type="dxa" w:w="1561"/>
            <w:tcMar>
              <w:top w:type="dxa" w:w="50"/>
              <w:left w:type="dxa" w:w="80"/>
              <w:bottom w:type="dxa" w:w="50"/>
              <w:right w:type="dxa" w:w="80"/>
            </w:tcMar>
            <w:vAlign w:val="center"/>
          </w:tcPr>
          <w:p>
            <w:pPr>
              <w:keepNext w:val="false"/>
              <w:spacing w:after="20" w:line="240"/>
              <w:jc w:val="left"/>
            </w:pPr>
            <w:r>
              <w:rPr>
                <w:sz w:val="17"/>
                <w:szCs w:val="17"/>
              </w:rPr>
              <w:t xml:space="preserve">Evaluar un protocolo de acceso con niveles diferenciados.</w:t>
            </w:r>
          </w:p>
        </w:tc>
        <w:tc>
          <w:tcPr>
            <w:tcW w:type="dxa" w:w="1469"/>
            <w:tcMar>
              <w:top w:type="dxa" w:w="50"/>
              <w:left w:type="dxa" w:w="80"/>
              <w:bottom w:type="dxa" w:w="50"/>
              <w:right w:type="dxa" w:w="80"/>
            </w:tcMar>
            <w:vAlign w:val="center"/>
          </w:tcPr>
          <w:p>
            <w:pPr>
              <w:keepNext w:val="false"/>
              <w:spacing w:after="20" w:line="240"/>
              <w:jc w:val="left"/>
            </w:pPr>
            <w:r>
              <w:rPr>
                <w:sz w:val="17"/>
                <w:szCs w:val="17"/>
              </w:rPr>
              <w:t xml:space="preserve">Normativa</w:t>
            </w:r>
          </w:p>
        </w:tc>
        <w:tc>
          <w:tcPr>
            <w:tcW w:type="dxa" w:w="1011"/>
            <w:tcMar>
              <w:top w:type="dxa" w:w="50"/>
              <w:left w:type="dxa" w:w="80"/>
              <w:bottom w:type="dxa" w:w="50"/>
              <w:right w:type="dxa" w:w="80"/>
            </w:tcMar>
            <w:vAlign w:val="center"/>
          </w:tcPr>
          <w:p>
            <w:pPr>
              <w:keepNext w:val="false"/>
              <w:spacing w:after="20" w:line="240"/>
              <w:jc w:val="center"/>
            </w:pPr>
            <w:r>
              <w:rPr>
                <w:sz w:val="17"/>
                <w:szCs w:val="17"/>
              </w:rPr>
              <w:t xml:space="preserve">Baja</w:t>
            </w:r>
          </w:p>
        </w:tc>
      </w:tr>
      <w:tr>
        <w:trPr>
          <w:cantSplit/>
        </w:trPr>
        <w:tc>
          <w:tcPr>
            <w:tcW w:type="dxa" w:w="459"/>
            <w:tcMar>
              <w:top w:type="dxa" w:w="50"/>
              <w:left w:type="dxa" w:w="80"/>
              <w:bottom w:type="dxa" w:w="50"/>
              <w:right w:type="dxa" w:w="80"/>
            </w:tcMar>
            <w:vAlign w:val="center"/>
          </w:tcPr>
          <w:p>
            <w:pPr>
              <w:keepNext w:val="false"/>
              <w:spacing w:after="20" w:line="240"/>
              <w:jc w:val="left"/>
            </w:pPr>
            <w:r>
              <w:rPr>
                <w:sz w:val="17"/>
                <w:szCs w:val="17"/>
              </w:rPr>
              <w:t xml:space="preserve">B3</w:t>
            </w:r>
          </w:p>
        </w:tc>
        <w:tc>
          <w:tcPr>
            <w:tcW w:type="dxa" w:w="1286"/>
            <w:tcMar>
              <w:top w:type="dxa" w:w="50"/>
              <w:left w:type="dxa" w:w="80"/>
              <w:bottom w:type="dxa" w:w="50"/>
              <w:right w:type="dxa" w:w="80"/>
            </w:tcMar>
            <w:vAlign w:val="center"/>
          </w:tcPr>
          <w:p>
            <w:pPr>
              <w:keepNext w:val="false"/>
              <w:spacing w:after="20" w:line="240"/>
              <w:jc w:val="left"/>
            </w:pPr>
            <w:r>
              <w:rPr>
                <w:sz w:val="17"/>
                <w:szCs w:val="17"/>
              </w:rPr>
              <w:t xml:space="preserve">Capacidades técnicas concentradas en la FACh.</w:t>
            </w:r>
          </w:p>
        </w:tc>
        <w:tc>
          <w:tcPr>
            <w:tcW w:type="dxa" w:w="1561"/>
            <w:tcMar>
              <w:top w:type="dxa" w:w="50"/>
              <w:left w:type="dxa" w:w="80"/>
              <w:bottom w:type="dxa" w:w="50"/>
              <w:right w:type="dxa" w:w="80"/>
            </w:tcMar>
            <w:vAlign w:val="center"/>
          </w:tcPr>
          <w:p>
            <w:pPr>
              <w:keepNext w:val="false"/>
              <w:spacing w:after="20" w:line="240"/>
              <w:jc w:val="left"/>
            </w:pPr>
            <w:r>
              <w:rPr>
                <w:sz w:val="17"/>
                <w:szCs w:val="17"/>
              </w:rPr>
              <w:t xml:space="preserve">No existen mecanismos de transferencia ni programas de vinculación con universidades.</w:t>
            </w:r>
          </w:p>
        </w:tc>
        <w:tc>
          <w:tcPr>
            <w:tcW w:type="dxa" w:w="1653"/>
            <w:tcMar>
              <w:top w:type="dxa" w:w="50"/>
              <w:left w:type="dxa" w:w="80"/>
              <w:bottom w:type="dxa" w:w="50"/>
              <w:right w:type="dxa" w:w="80"/>
            </w:tcMar>
            <w:vAlign w:val="center"/>
          </w:tcPr>
          <w:p>
            <w:pPr>
              <w:keepNext w:val="false"/>
              <w:spacing w:after="20" w:line="240"/>
              <w:jc w:val="left"/>
            </w:pPr>
            <w:r>
              <w:rPr>
                <w:sz w:val="17"/>
                <w:szCs w:val="17"/>
              </w:rPr>
              <w:t xml:space="preserve">El conocimiento no permea al sistema productivo; dependencia de personas clave.</w:t>
            </w:r>
          </w:p>
        </w:tc>
        <w:tc>
          <w:tcPr>
            <w:tcW w:type="dxa" w:w="1561"/>
            <w:tcMar>
              <w:top w:type="dxa" w:w="50"/>
              <w:left w:type="dxa" w:w="80"/>
              <w:bottom w:type="dxa" w:w="50"/>
              <w:right w:type="dxa" w:w="80"/>
            </w:tcMar>
            <w:vAlign w:val="center"/>
          </w:tcPr>
          <w:p>
            <w:pPr>
              <w:keepNext w:val="false"/>
              <w:spacing w:after="20" w:line="240"/>
              <w:jc w:val="left"/>
            </w:pPr>
            <w:r>
              <w:rPr>
                <w:sz w:val="17"/>
                <w:szCs w:val="17"/>
              </w:rPr>
              <w:t xml:space="preserve">Evaluar programas de pasantías, tesis y proyectos colaborativos.</w:t>
            </w:r>
          </w:p>
        </w:tc>
        <w:tc>
          <w:tcPr>
            <w:tcW w:type="dxa" w:w="1469"/>
            <w:tcMar>
              <w:top w:type="dxa" w:w="50"/>
              <w:left w:type="dxa" w:w="80"/>
              <w:bottom w:type="dxa" w:w="50"/>
              <w:right w:type="dxa" w:w="80"/>
            </w:tcMar>
            <w:vAlign w:val="center"/>
          </w:tcPr>
          <w:p>
            <w:pPr>
              <w:keepNext w:val="false"/>
              <w:spacing w:after="20" w:line="240"/>
              <w:jc w:val="left"/>
            </w:pPr>
            <w:r>
              <w:rPr>
                <w:sz w:val="17"/>
                <w:szCs w:val="17"/>
              </w:rPr>
              <w:t xml:space="preserve">Conocimiento</w:t>
            </w:r>
          </w:p>
        </w:tc>
        <w:tc>
          <w:tcPr>
            <w:tcW w:type="dxa" w:w="1011"/>
            <w:tcMar>
              <w:top w:type="dxa" w:w="50"/>
              <w:left w:type="dxa" w:w="80"/>
              <w:bottom w:type="dxa" w:w="50"/>
              <w:right w:type="dxa" w:w="80"/>
            </w:tcMar>
            <w:vAlign w:val="center"/>
          </w:tcPr>
          <w:p>
            <w:pPr>
              <w:keepNext w:val="false"/>
              <w:spacing w:after="20" w:line="240"/>
              <w:jc w:val="center"/>
            </w:pPr>
            <w:r>
              <w:rPr>
                <w:sz w:val="17"/>
                <w:szCs w:val="17"/>
              </w:rPr>
              <w:t xml:space="preserve">Baja</w:t>
            </w:r>
          </w:p>
        </w:tc>
      </w:tr>
      <w:tr>
        <w:trPr>
          <w:cantSplit/>
        </w:trPr>
        <w:tc>
          <w:tcPr>
            <w:tcW w:type="dxa" w:w="459"/>
            <w:tcMar>
              <w:top w:type="dxa" w:w="50"/>
              <w:left w:type="dxa" w:w="80"/>
              <w:bottom w:type="dxa" w:w="50"/>
              <w:right w:type="dxa" w:w="80"/>
            </w:tcMar>
            <w:vAlign w:val="center"/>
          </w:tcPr>
          <w:p>
            <w:pPr>
              <w:keepNext w:val="false"/>
              <w:spacing w:after="20" w:line="240"/>
              <w:jc w:val="left"/>
            </w:pPr>
            <w:r>
              <w:rPr>
                <w:sz w:val="17"/>
                <w:szCs w:val="17"/>
              </w:rPr>
              <w:t xml:space="preserve">B4</w:t>
            </w:r>
          </w:p>
        </w:tc>
        <w:tc>
          <w:tcPr>
            <w:tcW w:type="dxa" w:w="1286"/>
            <w:tcMar>
              <w:top w:type="dxa" w:w="50"/>
              <w:left w:type="dxa" w:w="80"/>
              <w:bottom w:type="dxa" w:w="50"/>
              <w:right w:type="dxa" w:w="80"/>
            </w:tcMar>
            <w:vAlign w:val="center"/>
          </w:tcPr>
          <w:p>
            <w:pPr>
              <w:keepNext w:val="false"/>
              <w:spacing w:after="20" w:line="240"/>
              <w:jc w:val="left"/>
            </w:pPr>
            <w:r>
              <w:rPr>
                <w:sz w:val="17"/>
                <w:szCs w:val="17"/>
              </w:rPr>
              <w:t xml:space="preserve">Concentración en Cerrillos; centros regionales en estudio.</w:t>
            </w:r>
          </w:p>
        </w:tc>
        <w:tc>
          <w:tcPr>
            <w:tcW w:type="dxa" w:w="1561"/>
            <w:tcMar>
              <w:top w:type="dxa" w:w="50"/>
              <w:left w:type="dxa" w:w="80"/>
              <w:bottom w:type="dxa" w:w="50"/>
              <w:right w:type="dxa" w:w="80"/>
            </w:tcMar>
            <w:vAlign w:val="center"/>
          </w:tcPr>
          <w:p>
            <w:pPr>
              <w:keepNext w:val="false"/>
              <w:spacing w:after="20" w:line="240"/>
              <w:jc w:val="left"/>
            </w:pPr>
            <w:r>
              <w:rPr>
                <w:sz w:val="17"/>
                <w:szCs w:val="17"/>
              </w:rPr>
              <w:t xml:space="preserve">Las capacidades están en un solo nodo; Antofagasta y Magallanes en fase de diseño.</w:t>
            </w:r>
          </w:p>
        </w:tc>
        <w:tc>
          <w:tcPr>
            <w:tcW w:type="dxa" w:w="1653"/>
            <w:tcMar>
              <w:top w:type="dxa" w:w="50"/>
              <w:left w:type="dxa" w:w="80"/>
              <w:bottom w:type="dxa" w:w="50"/>
              <w:right w:type="dxa" w:w="80"/>
            </w:tcMar>
            <w:vAlign w:val="center"/>
          </w:tcPr>
          <w:p>
            <w:pPr>
              <w:keepNext w:val="false"/>
              <w:spacing w:after="20" w:line="240"/>
              <w:jc w:val="left"/>
            </w:pPr>
            <w:r>
              <w:rPr>
                <w:sz w:val="17"/>
                <w:szCs w:val="17"/>
              </w:rPr>
              <w:t xml:space="preserve">Cobertura territorial limitada; concentración del riesgo operativo.</w:t>
            </w:r>
          </w:p>
        </w:tc>
        <w:tc>
          <w:tcPr>
            <w:tcW w:type="dxa" w:w="1561"/>
            <w:tcMar>
              <w:top w:type="dxa" w:w="50"/>
              <w:left w:type="dxa" w:w="80"/>
              <w:bottom w:type="dxa" w:w="50"/>
              <w:right w:type="dxa" w:w="80"/>
            </w:tcMar>
            <w:vAlign w:val="center"/>
          </w:tcPr>
          <w:p>
            <w:pPr>
              <w:keepNext w:val="false"/>
              <w:spacing w:after="20" w:line="240"/>
              <w:jc w:val="left"/>
            </w:pPr>
            <w:r>
              <w:rPr>
                <w:sz w:val="17"/>
                <w:szCs w:val="17"/>
              </w:rPr>
              <w:t xml:space="preserve">Evaluar la aceleración de los estudios regionales y la operación descentralizada.</w:t>
            </w:r>
          </w:p>
        </w:tc>
        <w:tc>
          <w:tcPr>
            <w:tcW w:type="dxa" w:w="1469"/>
            <w:tcMar>
              <w:top w:type="dxa" w:w="50"/>
              <w:left w:type="dxa" w:w="80"/>
              <w:bottom w:type="dxa" w:w="50"/>
              <w:right w:type="dxa" w:w="80"/>
            </w:tcMar>
            <w:vAlign w:val="center"/>
          </w:tcPr>
          <w:p>
            <w:pPr>
              <w:keepNext w:val="false"/>
              <w:spacing w:after="20" w:line="240"/>
              <w:jc w:val="left"/>
            </w:pPr>
            <w:r>
              <w:rPr>
                <w:sz w:val="17"/>
                <w:szCs w:val="17"/>
              </w:rPr>
              <w:t xml:space="preserve">Infraestructura</w:t>
            </w:r>
          </w:p>
        </w:tc>
        <w:tc>
          <w:tcPr>
            <w:tcW w:type="dxa" w:w="1011"/>
            <w:tcMar>
              <w:top w:type="dxa" w:w="50"/>
              <w:left w:type="dxa" w:w="80"/>
              <w:bottom w:type="dxa" w:w="50"/>
              <w:right w:type="dxa" w:w="80"/>
            </w:tcMar>
            <w:vAlign w:val="center"/>
          </w:tcPr>
          <w:p>
            <w:pPr>
              <w:keepNext w:val="false"/>
              <w:spacing w:after="20" w:line="240"/>
              <w:jc w:val="center"/>
            </w:pPr>
            <w:r>
              <w:rPr>
                <w:sz w:val="17"/>
                <w:szCs w:val="17"/>
              </w:rPr>
              <w:t xml:space="preserve">Media</w:t>
            </w:r>
          </w:p>
        </w:tc>
      </w:tr>
      <w:tr>
        <w:trPr>
          <w:cantSplit/>
        </w:trPr>
        <w:tc>
          <w:tcPr>
            <w:tcW w:type="dxa" w:w="459"/>
            <w:tcMar>
              <w:top w:type="dxa" w:w="50"/>
              <w:left w:type="dxa" w:w="80"/>
              <w:bottom w:type="dxa" w:w="50"/>
              <w:right w:type="dxa" w:w="80"/>
            </w:tcMar>
            <w:vAlign w:val="center"/>
          </w:tcPr>
          <w:p>
            <w:pPr>
              <w:keepNext w:val="false"/>
              <w:spacing w:after="20" w:line="240"/>
              <w:jc w:val="left"/>
            </w:pPr>
            <w:r>
              <w:rPr>
                <w:sz w:val="17"/>
                <w:szCs w:val="17"/>
              </w:rPr>
              <w:t xml:space="preserve">B5</w:t>
            </w:r>
          </w:p>
        </w:tc>
        <w:tc>
          <w:tcPr>
            <w:tcW w:type="dxa" w:w="1286"/>
            <w:tcMar>
              <w:top w:type="dxa" w:w="50"/>
              <w:left w:type="dxa" w:w="80"/>
              <w:bottom w:type="dxa" w:w="50"/>
              <w:right w:type="dxa" w:w="80"/>
            </w:tcMar>
            <w:vAlign w:val="center"/>
          </w:tcPr>
          <w:p>
            <w:pPr>
              <w:keepNext w:val="false"/>
              <w:spacing w:after="20" w:line="240"/>
              <w:jc w:val="left"/>
            </w:pPr>
            <w:r>
              <w:rPr>
                <w:sz w:val="17"/>
                <w:szCs w:val="17"/>
              </w:rPr>
              <w:t xml:space="preserve">Dependencia del presupuesto fiscal y fondos CORE.</w:t>
            </w:r>
          </w:p>
        </w:tc>
        <w:tc>
          <w:tcPr>
            <w:tcW w:type="dxa" w:w="1561"/>
            <w:tcMar>
              <w:top w:type="dxa" w:w="50"/>
              <w:left w:type="dxa" w:w="80"/>
              <w:bottom w:type="dxa" w:w="50"/>
              <w:right w:type="dxa" w:w="80"/>
            </w:tcMar>
            <w:vAlign w:val="center"/>
          </w:tcPr>
          <w:p>
            <w:pPr>
              <w:keepNext w:val="false"/>
              <w:spacing w:after="20" w:line="240"/>
              <w:jc w:val="left"/>
            </w:pPr>
            <w:r>
              <w:rPr>
                <w:sz w:val="17"/>
                <w:szCs w:val="17"/>
              </w:rPr>
              <w:t xml:space="preserve">No hay mecanismos de APP consolidados; los ciclos presupuestarios son anuales.</w:t>
            </w:r>
          </w:p>
        </w:tc>
        <w:tc>
          <w:tcPr>
            <w:tcW w:type="dxa" w:w="1653"/>
            <w:tcMar>
              <w:top w:type="dxa" w:w="50"/>
              <w:left w:type="dxa" w:w="80"/>
              <w:bottom w:type="dxa" w:w="50"/>
              <w:right w:type="dxa" w:w="80"/>
            </w:tcMar>
            <w:vAlign w:val="center"/>
          </w:tcPr>
          <w:p>
            <w:pPr>
              <w:keepNext w:val="false"/>
              <w:spacing w:after="20" w:line="240"/>
              <w:jc w:val="left"/>
            </w:pPr>
            <w:r>
              <w:rPr>
                <w:sz w:val="17"/>
                <w:szCs w:val="17"/>
              </w:rPr>
              <w:t xml:space="preserve">Vulnerabilidad a recortes; dificultad para planificar a largo plazo.</w:t>
            </w:r>
          </w:p>
        </w:tc>
        <w:tc>
          <w:tcPr>
            <w:tcW w:type="dxa" w:w="1561"/>
            <w:tcMar>
              <w:top w:type="dxa" w:w="50"/>
              <w:left w:type="dxa" w:w="80"/>
              <w:bottom w:type="dxa" w:w="50"/>
              <w:right w:type="dxa" w:w="80"/>
            </w:tcMar>
            <w:vAlign w:val="center"/>
          </w:tcPr>
          <w:p>
            <w:pPr>
              <w:keepNext w:val="false"/>
              <w:spacing w:after="20" w:line="240"/>
              <w:jc w:val="left"/>
            </w:pPr>
            <w:r>
              <w:rPr>
                <w:sz w:val="17"/>
                <w:szCs w:val="17"/>
              </w:rPr>
              <w:t xml:space="preserve">Explorar financiamiento mixto (fondos de innovación, convenios, cooperación).</w:t>
            </w:r>
          </w:p>
        </w:tc>
        <w:tc>
          <w:tcPr>
            <w:tcW w:type="dxa" w:w="1469"/>
            <w:tcMar>
              <w:top w:type="dxa" w:w="50"/>
              <w:left w:type="dxa" w:w="80"/>
              <w:bottom w:type="dxa" w:w="50"/>
              <w:right w:type="dxa" w:w="80"/>
            </w:tcMar>
            <w:vAlign w:val="center"/>
          </w:tcPr>
          <w:p>
            <w:pPr>
              <w:keepNext w:val="false"/>
              <w:spacing w:after="20" w:line="240"/>
              <w:jc w:val="left"/>
            </w:pPr>
            <w:r>
              <w:rPr>
                <w:sz w:val="17"/>
                <w:szCs w:val="17"/>
              </w:rPr>
              <w:t xml:space="preserve">Financiamiento</w:t>
            </w:r>
          </w:p>
        </w:tc>
        <w:tc>
          <w:tcPr>
            <w:tcW w:type="dxa" w:w="1011"/>
            <w:tcMar>
              <w:top w:type="dxa" w:w="50"/>
              <w:left w:type="dxa" w:w="80"/>
              <w:bottom w:type="dxa" w:w="50"/>
              <w:right w:type="dxa" w:w="80"/>
            </w:tcMar>
            <w:vAlign w:val="center"/>
          </w:tcPr>
          <w:p>
            <w:pPr>
              <w:keepNext w:val="false"/>
              <w:spacing w:after="20" w:line="240"/>
              <w:jc w:val="center"/>
            </w:pPr>
            <w:r>
              <w:rPr>
                <w:sz w:val="17"/>
                <w:szCs w:val="17"/>
              </w:rPr>
              <w:t xml:space="preserve">Baja</w:t>
            </w:r>
          </w:p>
        </w:tc>
      </w:tr>
      <w:tr>
        <w:trPr>
          <w:cantSplit/>
        </w:trPr>
        <w:tc>
          <w:tcPr>
            <w:tcW w:type="dxa" w:w="459"/>
            <w:tcMar>
              <w:top w:type="dxa" w:w="50"/>
              <w:left w:type="dxa" w:w="80"/>
              <w:bottom w:type="dxa" w:w="50"/>
              <w:right w:type="dxa" w:w="80"/>
            </w:tcMar>
            <w:vAlign w:val="center"/>
          </w:tcPr>
          <w:p>
            <w:pPr>
              <w:keepNext w:val="false"/>
              <w:spacing w:after="20" w:line="240"/>
              <w:jc w:val="left"/>
            </w:pPr>
            <w:r>
              <w:rPr>
                <w:sz w:val="17"/>
                <w:szCs w:val="17"/>
              </w:rPr>
              <w:t xml:space="preserve">B6</w:t>
            </w:r>
          </w:p>
        </w:tc>
        <w:tc>
          <w:tcPr>
            <w:tcW w:type="dxa" w:w="1286"/>
            <w:tcMar>
              <w:top w:type="dxa" w:w="50"/>
              <w:left w:type="dxa" w:w="80"/>
              <w:bottom w:type="dxa" w:w="50"/>
              <w:right w:type="dxa" w:w="80"/>
            </w:tcMar>
            <w:vAlign w:val="center"/>
          </w:tcPr>
          <w:p>
            <w:pPr>
              <w:keepNext w:val="false"/>
              <w:spacing w:after="20" w:line="240"/>
              <w:jc w:val="left"/>
            </w:pPr>
            <w:r>
              <w:rPr>
                <w:sz w:val="17"/>
                <w:szCs w:val="17"/>
              </w:rPr>
              <w:t xml:space="preserve">Tamaño del mercado doméstico.</w:t>
            </w:r>
          </w:p>
        </w:tc>
        <w:tc>
          <w:tcPr>
            <w:tcW w:type="dxa" w:w="1561"/>
            <w:tcMar>
              <w:top w:type="dxa" w:w="50"/>
              <w:left w:type="dxa" w:w="80"/>
              <w:bottom w:type="dxa" w:w="50"/>
              <w:right w:type="dxa" w:w="80"/>
            </w:tcMar>
            <w:vAlign w:val="center"/>
          </w:tcPr>
          <w:p>
            <w:pPr>
              <w:keepNext w:val="false"/>
              <w:spacing w:after="20" w:line="240"/>
              <w:jc w:val="left"/>
            </w:pPr>
            <w:r>
              <w:rPr>
                <w:sz w:val="17"/>
                <w:szCs w:val="17"/>
              </w:rPr>
              <w:t xml:space="preserve">Del orden de ocho satélites previstos (declarado).</w:t>
            </w:r>
          </w:p>
        </w:tc>
        <w:tc>
          <w:tcPr>
            <w:tcW w:type="dxa" w:w="1653"/>
            <w:tcMar>
              <w:top w:type="dxa" w:w="50"/>
              <w:left w:type="dxa" w:w="80"/>
              <w:bottom w:type="dxa" w:w="50"/>
              <w:right w:type="dxa" w:w="80"/>
            </w:tcMar>
            <w:vAlign w:val="center"/>
          </w:tcPr>
          <w:p>
            <w:pPr>
              <w:keepNext w:val="false"/>
              <w:spacing w:after="20" w:line="240"/>
              <w:jc w:val="left"/>
            </w:pPr>
            <w:r>
              <w:rPr>
                <w:sz w:val="17"/>
                <w:szCs w:val="17"/>
              </w:rPr>
              <w:t xml:space="preserve">La demanda doméstica por sí sola no sostiene una industria (H6).</w:t>
            </w:r>
          </w:p>
        </w:tc>
        <w:tc>
          <w:tcPr>
            <w:tcW w:type="dxa" w:w="1561"/>
            <w:tcMar>
              <w:top w:type="dxa" w:w="50"/>
              <w:left w:type="dxa" w:w="80"/>
              <w:bottom w:type="dxa" w:w="50"/>
              <w:right w:type="dxa" w:w="80"/>
            </w:tcMar>
            <w:vAlign w:val="center"/>
          </w:tcPr>
          <w:p>
            <w:pPr>
              <w:keepNext w:val="false"/>
              <w:spacing w:after="20" w:line="240"/>
              <w:jc w:val="left"/>
            </w:pPr>
            <w:r>
              <w:rPr>
                <w:sz w:val="17"/>
                <w:szCs w:val="17"/>
              </w:rPr>
              <w:t xml:space="preserve">Explorar demanda regional, servicios de datos y alianzas internacionales.</w:t>
            </w:r>
          </w:p>
        </w:tc>
        <w:tc>
          <w:tcPr>
            <w:tcW w:type="dxa" w:w="1469"/>
            <w:tcMar>
              <w:top w:type="dxa" w:w="50"/>
              <w:left w:type="dxa" w:w="80"/>
              <w:bottom w:type="dxa" w:w="50"/>
              <w:right w:type="dxa" w:w="80"/>
            </w:tcMar>
            <w:vAlign w:val="center"/>
          </w:tcPr>
          <w:p>
            <w:pPr>
              <w:keepNext w:val="false"/>
              <w:spacing w:after="20" w:line="240"/>
              <w:jc w:val="left"/>
            </w:pPr>
            <w:r>
              <w:rPr>
                <w:sz w:val="17"/>
                <w:szCs w:val="17"/>
              </w:rPr>
              <w:t xml:space="preserve">Demanda</w:t>
            </w:r>
          </w:p>
        </w:tc>
        <w:tc>
          <w:tcPr>
            <w:tcW w:type="dxa" w:w="1011"/>
            <w:tcMar>
              <w:top w:type="dxa" w:w="50"/>
              <w:left w:type="dxa" w:w="80"/>
              <w:bottom w:type="dxa" w:w="50"/>
              <w:right w:type="dxa" w:w="80"/>
            </w:tcMar>
            <w:vAlign w:val="center"/>
          </w:tcPr>
          <w:p>
            <w:pPr>
              <w:keepNext w:val="false"/>
              <w:spacing w:after="20" w:line="240"/>
              <w:jc w:val="center"/>
            </w:pPr>
            <w:r>
              <w:rPr>
                <w:sz w:val="17"/>
                <w:szCs w:val="17"/>
              </w:rPr>
              <w:t xml:space="preserve">Baja</w:t>
            </w:r>
          </w:p>
        </w:tc>
      </w:tr>
      <w:tr>
        <w:trPr>
          <w:cantSplit/>
        </w:trPr>
        <w:tc>
          <w:tcPr>
            <w:tcW w:type="dxa" w:w="459"/>
            <w:tcMar>
              <w:top w:type="dxa" w:w="50"/>
              <w:left w:type="dxa" w:w="80"/>
              <w:bottom w:type="dxa" w:w="50"/>
              <w:right w:type="dxa" w:w="80"/>
            </w:tcMar>
            <w:vAlign w:val="center"/>
          </w:tcPr>
          <w:p>
            <w:pPr>
              <w:keepNext w:val="false"/>
              <w:spacing w:after="20" w:line="240"/>
              <w:jc w:val="left"/>
            </w:pPr>
            <w:r>
              <w:rPr>
                <w:sz w:val="17"/>
                <w:szCs w:val="17"/>
              </w:rPr>
              <w:t xml:space="preserve">B7</w:t>
            </w:r>
          </w:p>
        </w:tc>
        <w:tc>
          <w:tcPr>
            <w:tcW w:type="dxa" w:w="1286"/>
            <w:tcMar>
              <w:top w:type="dxa" w:w="50"/>
              <w:left w:type="dxa" w:w="80"/>
              <w:bottom w:type="dxa" w:w="50"/>
              <w:right w:type="dxa" w:w="80"/>
            </w:tcMar>
            <w:vAlign w:val="center"/>
          </w:tcPr>
          <w:p>
            <w:pPr>
              <w:keepNext w:val="false"/>
              <w:spacing w:after="20" w:line="240"/>
              <w:jc w:val="left"/>
            </w:pPr>
            <w:r>
              <w:rPr>
                <w:sz w:val="17"/>
                <w:szCs w:val="17"/>
              </w:rPr>
              <w:t xml:space="preserve">Uso dual y control de exportaciones.</w:t>
            </w:r>
          </w:p>
        </w:tc>
        <w:tc>
          <w:tcPr>
            <w:tcW w:type="dxa" w:w="1561"/>
            <w:tcMar>
              <w:top w:type="dxa" w:w="50"/>
              <w:left w:type="dxa" w:w="80"/>
              <w:bottom w:type="dxa" w:w="50"/>
              <w:right w:type="dxa" w:w="80"/>
            </w:tcMar>
            <w:vAlign w:val="center"/>
          </w:tcPr>
          <w:p>
            <w:pPr>
              <w:keepNext w:val="false"/>
              <w:spacing w:after="20" w:line="240"/>
              <w:jc w:val="left"/>
            </w:pPr>
            <w:r>
              <w:rPr>
                <w:sz w:val="17"/>
                <w:szCs w:val="17"/>
              </w:rPr>
              <w:t xml:space="preserve">Restricciones sobre componentes extranjeros, información reservada y acreditación de seguridad en un recinto militar (por verificar con fuentes primarias).</w:t>
            </w:r>
          </w:p>
        </w:tc>
        <w:tc>
          <w:tcPr>
            <w:tcW w:type="dxa" w:w="1653"/>
            <w:tcMar>
              <w:top w:type="dxa" w:w="50"/>
              <w:left w:type="dxa" w:w="80"/>
              <w:bottom w:type="dxa" w:w="50"/>
              <w:right w:type="dxa" w:w="80"/>
            </w:tcMar>
            <w:vAlign w:val="center"/>
          </w:tcPr>
          <w:p>
            <w:pPr>
              <w:keepNext w:val="false"/>
              <w:spacing w:after="20" w:line="240"/>
              <w:jc w:val="left"/>
            </w:pPr>
            <w:r>
              <w:rPr>
                <w:sz w:val="17"/>
                <w:szCs w:val="17"/>
              </w:rPr>
              <w:t xml:space="preserve">Dificulta la entrada de proveedores y terceros (H7).</w:t>
            </w:r>
          </w:p>
        </w:tc>
        <w:tc>
          <w:tcPr>
            <w:tcW w:type="dxa" w:w="1561"/>
            <w:tcMar>
              <w:top w:type="dxa" w:w="50"/>
              <w:left w:type="dxa" w:w="80"/>
              <w:bottom w:type="dxa" w:w="50"/>
              <w:right w:type="dxa" w:w="80"/>
            </w:tcMar>
            <w:vAlign w:val="center"/>
          </w:tcPr>
          <w:p>
            <w:pPr>
              <w:keepNext w:val="false"/>
              <w:spacing w:after="20" w:line="240"/>
              <w:jc w:val="left"/>
            </w:pPr>
            <w:r>
              <w:rPr>
                <w:sz w:val="17"/>
                <w:szCs w:val="17"/>
              </w:rPr>
              <w:t xml:space="preserve">Evaluar protocolos de seguridad con niveles diferenciados de acceso.</w:t>
            </w:r>
          </w:p>
        </w:tc>
        <w:tc>
          <w:tcPr>
            <w:tcW w:type="dxa" w:w="1469"/>
            <w:tcMar>
              <w:top w:type="dxa" w:w="50"/>
              <w:left w:type="dxa" w:w="80"/>
              <w:bottom w:type="dxa" w:w="50"/>
              <w:right w:type="dxa" w:w="80"/>
            </w:tcMar>
            <w:vAlign w:val="center"/>
          </w:tcPr>
          <w:p>
            <w:pPr>
              <w:keepNext w:val="false"/>
              <w:spacing w:after="20" w:line="240"/>
              <w:jc w:val="left"/>
            </w:pPr>
            <w:r>
              <w:rPr>
                <w:sz w:val="17"/>
                <w:szCs w:val="17"/>
              </w:rPr>
              <w:t xml:space="preserve">Normativa / seguridad</w:t>
            </w:r>
          </w:p>
        </w:tc>
        <w:tc>
          <w:tcPr>
            <w:tcW w:type="dxa" w:w="1011"/>
            <w:tcMar>
              <w:top w:type="dxa" w:w="50"/>
              <w:left w:type="dxa" w:w="80"/>
              <w:bottom w:type="dxa" w:w="50"/>
              <w:right w:type="dxa" w:w="80"/>
            </w:tcMar>
            <w:vAlign w:val="center"/>
          </w:tcPr>
          <w:p>
            <w:pPr>
              <w:keepNext w:val="false"/>
              <w:spacing w:after="20" w:line="240"/>
              <w:jc w:val="center"/>
            </w:pPr>
            <w:r>
              <w:rPr>
                <w:sz w:val="17"/>
                <w:szCs w:val="17"/>
              </w:rPr>
              <w:t xml:space="preserve">Muy baja</w:t>
            </w:r>
          </w:p>
        </w:tc>
      </w:tr>
    </w:tbl>
    <w:p>
      <w:pPr>
        <w:spacing w:after="200" w:before="60"/>
        <w:jc w:val="center"/>
      </w:pPr>
      <w:r>
        <w:rPr>
          <w:i/>
          <w:iCs/>
          <w:sz w:val="17"/>
          <w:szCs w:val="17"/>
        </w:rPr>
        <w:t xml:space="preserve">Fuente: Elaboración propia.</w:t>
      </w:r>
    </w:p>
    <w:p>
      <w:pPr>
        <w:spacing w:after="140" w:line="260"/>
        <w:jc w:val="both"/>
      </w:pPr>
      <w:r>
        <w:rPr>
          <w:i/>
          <w:iCs/>
          <w:sz w:val="19"/>
          <w:szCs w:val="19"/>
        </w:rPr>
        <w:t xml:space="preserve">Las barreras B6 y B7 se identificaron a partir de la revisión documental y se profundizarán en la etapa de entrevistas. Las líneas de acción son hipótesis preliminares que deberán contrastarse con la evidencia internacional (OE3) y validarse con actores del ecosistema (OE5).</w:t>
      </w:r>
    </w:p>
    <w:p>
      <w:pPr>
        <w:pStyle w:val="Caption"/>
        <w:keepNext/>
        <w:spacing w:after="80" w:before="200"/>
        <w:jc w:val="center"/>
      </w:pPr>
      <w:r>
        <w:rPr>
          <w:b/>
          <w:bCs/>
        </w:rPr>
        <w:t xml:space="preserve">Figura </w:t>
      </w:r>
      <w:fldSimple w:instr="SEQ Figura \* ARABIC">
        <w:r>
          <w:t xml:space="preserve">4</w:t>
        </w:r>
      </w:fldSimple>
      <w:r>
        <w:rPr>
          <w:b/>
          <w:bCs/>
        </w:rPr>
        <w:t xml:space="preserve">. Mapa de consecuencias de la ausencia de un modelo estratégico para aprovechar las capacidades del CEN</w:t>
      </w:r>
    </w:p>
    <w:tbl>
      <w:tblPr>
        <w:tblW w:type="dxa" w:w="9000"/>
        <w:tblBorders>
          <w:top w:val="single" w:color="A6A6A6" w:sz="4"/>
          <w:left w:val="single" w:color="A6A6A6" w:sz="4"/>
          <w:bottom w:val="single" w:color="A6A6A6" w:sz="4"/>
          <w:right w:val="single" w:color="A6A6A6" w:sz="4"/>
          <w:insideH w:val="single" w:color="A6A6A6" w:sz="4"/>
          <w:insideV w:val="single" w:color="A6A6A6" w:sz="4"/>
        </w:tblBorders>
      </w:tblPr>
      <w:tblGrid>
        <w:gridCol w:w="1800"/>
        <w:gridCol w:w="1800"/>
        <w:gridCol w:w="1800"/>
        <w:gridCol w:w="1800"/>
        <w:gridCol w:w="1800"/>
      </w:tblGrid>
      <w:tr>
        <w:trPr>
          <w:cantSplit/>
        </w:trPr>
        <w:tc>
          <w:tcPr>
            <w:tcW w:type="dxa" w:w="9000"/>
            <w:gridSpan w:val="5"/>
            <w:shd w:fill="1F3864" w:color="auto" w:val="clear"/>
            <w:tcMar>
              <w:top w:type="dxa" w:w="50"/>
              <w:left w:type="dxa" w:w="80"/>
              <w:bottom w:type="dxa" w:w="50"/>
              <w:right w:type="dxa" w:w="80"/>
            </w:tcMar>
            <w:vAlign w:val="center"/>
          </w:tcPr>
          <w:p>
            <w:pPr>
              <w:keepNext/>
              <w:spacing w:after="20" w:line="240"/>
              <w:jc w:val="center"/>
            </w:pPr>
            <w:r>
              <w:rPr>
                <w:b/>
                <w:bCs/>
                <w:color w:val="FFFFFF"/>
                <w:sz w:val="16"/>
                <w:szCs w:val="16"/>
              </w:rPr>
              <w:t xml:space="preserve">AUSENCIA DE UN MODELO ESTRATÉGICO PARA APROVECHAR LAS CAPACIDADES DEL CEN Y ARTICULAR EL ECOSISTEMA</w:t>
            </w:r>
          </w:p>
        </w:tc>
      </w:tr>
      <w:tr>
        <w:trPr>
          <w:cantSplit/>
        </w:trPr>
        <w:tc>
          <w:tcPr>
            <w:tcW w:type="dxa" w:w="9000"/>
            <w:gridSpan w:val="5"/>
            <w:tcMar>
              <w:top w:type="dxa" w:w="50"/>
              <w:left w:type="dxa" w:w="80"/>
              <w:bottom w:type="dxa" w:w="50"/>
              <w:right w:type="dxa" w:w="80"/>
            </w:tcMar>
            <w:vAlign w:val="center"/>
          </w:tcPr>
          <w:p>
            <w:pPr>
              <w:keepNext/>
              <w:spacing w:after="20" w:line="240"/>
              <w:jc w:val="center"/>
            </w:pPr>
            <w:r>
              <w:rPr>
                <w:sz w:val="16"/>
                <w:szCs w:val="16"/>
              </w:rPr>
              <w:t xml:space="preserve">▼</w:t>
            </w:r>
          </w:p>
        </w:tc>
      </w:tr>
      <w:tr>
        <w:trPr>
          <w:cantSplit/>
        </w:trPr>
        <w:tc>
          <w:tcPr>
            <w:tcW w:type="dxa" w:w="1800"/>
            <w:shd w:fill="F8CBAD" w:color="auto" w:val="clear"/>
            <w:tcMar>
              <w:top w:type="dxa" w:w="50"/>
              <w:left w:type="dxa" w:w="80"/>
              <w:bottom w:type="dxa" w:w="50"/>
              <w:right w:type="dxa" w:w="80"/>
            </w:tcMar>
            <w:vAlign w:val="center"/>
          </w:tcPr>
          <w:p>
            <w:pPr>
              <w:keepNext/>
              <w:spacing w:after="20" w:line="240"/>
              <w:jc w:val="center"/>
            </w:pPr>
            <w:r>
              <w:rPr>
                <w:b/>
                <w:bCs/>
                <w:sz w:val="16"/>
                <w:szCs w:val="16"/>
              </w:rPr>
              <w:t xml:space="preserve">ECONÓMICA</w:t>
            </w:r>
          </w:p>
        </w:tc>
        <w:tc>
          <w:tcPr>
            <w:tcW w:type="dxa" w:w="1800"/>
            <w:shd w:fill="F8CBAD" w:color="auto" w:val="clear"/>
            <w:tcMar>
              <w:top w:type="dxa" w:w="50"/>
              <w:left w:type="dxa" w:w="80"/>
              <w:bottom w:type="dxa" w:w="50"/>
              <w:right w:type="dxa" w:w="80"/>
            </w:tcMar>
            <w:vAlign w:val="center"/>
          </w:tcPr>
          <w:p>
            <w:pPr>
              <w:keepNext/>
              <w:spacing w:after="20" w:line="240"/>
              <w:jc w:val="center"/>
            </w:pPr>
            <w:r>
              <w:rPr>
                <w:b/>
                <w:bCs/>
                <w:sz w:val="16"/>
                <w:szCs w:val="16"/>
              </w:rPr>
              <w:t xml:space="preserve">INDUSTRIAL</w:t>
            </w:r>
          </w:p>
        </w:tc>
        <w:tc>
          <w:tcPr>
            <w:tcW w:type="dxa" w:w="1800"/>
            <w:shd w:fill="F8CBAD" w:color="auto" w:val="clear"/>
            <w:tcMar>
              <w:top w:type="dxa" w:w="50"/>
              <w:left w:type="dxa" w:w="80"/>
              <w:bottom w:type="dxa" w:w="50"/>
              <w:right w:type="dxa" w:w="80"/>
            </w:tcMar>
            <w:vAlign w:val="center"/>
          </w:tcPr>
          <w:p>
            <w:pPr>
              <w:keepNext/>
              <w:spacing w:after="20" w:line="240"/>
              <w:jc w:val="center"/>
            </w:pPr>
            <w:r>
              <w:rPr>
                <w:b/>
                <w:bCs/>
                <w:sz w:val="16"/>
                <w:szCs w:val="16"/>
              </w:rPr>
              <w:t xml:space="preserve">ESTRATÉGICA</w:t>
            </w:r>
          </w:p>
        </w:tc>
        <w:tc>
          <w:tcPr>
            <w:tcW w:type="dxa" w:w="1800"/>
            <w:shd w:fill="F8CBAD" w:color="auto" w:val="clear"/>
            <w:tcMar>
              <w:top w:type="dxa" w:w="50"/>
              <w:left w:type="dxa" w:w="80"/>
              <w:bottom w:type="dxa" w:w="50"/>
              <w:right w:type="dxa" w:w="80"/>
            </w:tcMar>
            <w:vAlign w:val="center"/>
          </w:tcPr>
          <w:p>
            <w:pPr>
              <w:keepNext/>
              <w:spacing w:after="20" w:line="240"/>
              <w:jc w:val="center"/>
            </w:pPr>
            <w:r>
              <w:rPr>
                <w:b/>
                <w:bCs/>
                <w:sz w:val="16"/>
                <w:szCs w:val="16"/>
              </w:rPr>
              <w:t xml:space="preserve">CIENTÍFICO-TECNOLÓGICA</w:t>
            </w:r>
          </w:p>
        </w:tc>
        <w:tc>
          <w:tcPr>
            <w:tcW w:type="dxa" w:w="1800"/>
            <w:shd w:fill="F8CBAD" w:color="auto" w:val="clear"/>
            <w:tcMar>
              <w:top w:type="dxa" w:w="50"/>
              <w:left w:type="dxa" w:w="80"/>
              <w:bottom w:type="dxa" w:w="50"/>
              <w:right w:type="dxa" w:w="80"/>
            </w:tcMar>
            <w:vAlign w:val="center"/>
          </w:tcPr>
          <w:p>
            <w:pPr>
              <w:keepNext/>
              <w:spacing w:after="20" w:line="240"/>
              <w:jc w:val="center"/>
            </w:pPr>
            <w:r>
              <w:rPr>
                <w:b/>
                <w:bCs/>
                <w:sz w:val="16"/>
                <w:szCs w:val="16"/>
              </w:rPr>
              <w:t xml:space="preserve">REGIONAL</w:t>
            </w:r>
          </w:p>
        </w:tc>
      </w:tr>
      <w:tr>
        <w:trPr>
          <w:cantSplit/>
        </w:trPr>
        <w:tc>
          <w:tcPr>
            <w:tcW w:type="dxa" w:w="1800"/>
            <w:shd w:fill="FFF2CC" w:color="auto" w:val="clear"/>
            <w:tcMar>
              <w:top w:type="dxa" w:w="50"/>
              <w:left w:type="dxa" w:w="80"/>
              <w:bottom w:type="dxa" w:w="50"/>
              <w:right w:type="dxa" w:w="80"/>
            </w:tcMar>
            <w:vAlign w:val="center"/>
          </w:tcPr>
          <w:p>
            <w:pPr>
              <w:keepNext/>
              <w:spacing w:after="20" w:line="240"/>
              <w:jc w:val="center"/>
            </w:pPr>
            <w:r>
              <w:rPr>
                <w:b w:val="false"/>
                <w:bCs w:val="false"/>
                <w:sz w:val="16"/>
                <w:szCs w:val="16"/>
              </w:rPr>
              <w:t xml:space="preserve">Se pierden encadenamientos productivos</w:t>
            </w:r>
          </w:p>
          <w:p>
            <w:pPr>
              <w:keepNext/>
              <w:spacing w:after="20" w:line="240"/>
              <w:jc w:val="center"/>
            </w:pPr>
            <w:r>
              <w:rPr>
                <w:b w:val="false"/>
                <w:bCs w:val="false"/>
                <w:sz w:val="16"/>
                <w:szCs w:val="16"/>
              </w:rPr>
              <w:t xml:space="preserve">Proveedores nacionales no se desarrollan</w:t>
            </w:r>
          </w:p>
          <w:p>
            <w:pPr>
              <w:keepNext/>
              <w:spacing w:after="20" w:line="240"/>
              <w:jc w:val="center"/>
            </w:pPr>
            <w:r>
              <w:rPr>
                <w:b w:val="false"/>
                <w:bCs w:val="false"/>
                <w:sz w:val="16"/>
                <w:szCs w:val="16"/>
              </w:rPr>
              <w:t xml:space="preserve">Chile permanece como usuario de tecnología</w:t>
            </w:r>
          </w:p>
        </w:tc>
        <w:tc>
          <w:tcPr>
            <w:tcW w:type="dxa" w:w="1800"/>
            <w:shd w:fill="FFF2CC" w:color="auto" w:val="clear"/>
            <w:tcMar>
              <w:top w:type="dxa" w:w="50"/>
              <w:left w:type="dxa" w:w="80"/>
              <w:bottom w:type="dxa" w:w="50"/>
              <w:right w:type="dxa" w:w="80"/>
            </w:tcMar>
            <w:vAlign w:val="center"/>
          </w:tcPr>
          <w:p>
            <w:pPr>
              <w:keepNext/>
              <w:spacing w:after="20" w:line="240"/>
              <w:jc w:val="center"/>
            </w:pPr>
            <w:r>
              <w:rPr>
                <w:b w:val="false"/>
                <w:bCs w:val="false"/>
                <w:sz w:val="16"/>
                <w:szCs w:val="16"/>
              </w:rPr>
              <w:t xml:space="preserve">Difícil consolidar tejido de empresas de base tecnológica espacial</w:t>
            </w:r>
          </w:p>
          <w:p>
            <w:pPr>
              <w:keepNext/>
              <w:spacing w:after="20" w:line="240"/>
              <w:jc w:val="center"/>
            </w:pPr>
            <w:r>
              <w:rPr>
                <w:b w:val="false"/>
                <w:bCs w:val="false"/>
                <w:sz w:val="16"/>
                <w:szCs w:val="16"/>
              </w:rPr>
              <w:t xml:space="preserve">Fragmentación del sector</w:t>
            </w:r>
          </w:p>
        </w:tc>
        <w:tc>
          <w:tcPr>
            <w:tcW w:type="dxa" w:w="1800"/>
            <w:shd w:fill="FFF2CC" w:color="auto" w:val="clear"/>
            <w:tcMar>
              <w:top w:type="dxa" w:w="50"/>
              <w:left w:type="dxa" w:w="80"/>
              <w:bottom w:type="dxa" w:w="50"/>
              <w:right w:type="dxa" w:w="80"/>
            </w:tcMar>
            <w:vAlign w:val="center"/>
          </w:tcPr>
          <w:p>
            <w:pPr>
              <w:keepNext/>
              <w:spacing w:after="20" w:line="240"/>
              <w:jc w:val="center"/>
            </w:pPr>
            <w:r>
              <w:rPr>
                <w:b w:val="false"/>
                <w:bCs w:val="false"/>
                <w:sz w:val="16"/>
                <w:szCs w:val="16"/>
              </w:rPr>
              <w:t xml:space="preserve">Riesgo de no capitalizar la posición regional frente a CONAE (Arg.) y AEB (Bra.)</w:t>
            </w:r>
          </w:p>
        </w:tc>
        <w:tc>
          <w:tcPr>
            <w:tcW w:type="dxa" w:w="1800"/>
            <w:shd w:fill="FFF2CC" w:color="auto" w:val="clear"/>
            <w:tcMar>
              <w:top w:type="dxa" w:w="50"/>
              <w:left w:type="dxa" w:w="80"/>
              <w:bottom w:type="dxa" w:w="50"/>
              <w:right w:type="dxa" w:w="80"/>
            </w:tcMar>
            <w:vAlign w:val="center"/>
          </w:tcPr>
          <w:p>
            <w:pPr>
              <w:keepNext/>
              <w:spacing w:after="20" w:line="240"/>
              <w:jc w:val="center"/>
            </w:pPr>
            <w:r>
              <w:rPr>
                <w:b w:val="false"/>
                <w:bCs w:val="false"/>
                <w:sz w:val="16"/>
                <w:szCs w:val="16"/>
              </w:rPr>
              <w:t xml:space="preserve">HPC y datos se subutilizan</w:t>
            </w:r>
          </w:p>
          <w:p>
            <w:pPr>
              <w:keepNext/>
              <w:spacing w:after="20" w:line="240"/>
              <w:jc w:val="center"/>
            </w:pPr>
            <w:r>
              <w:rPr>
                <w:b w:val="false"/>
                <w:bCs w:val="false"/>
                <w:sz w:val="16"/>
                <w:szCs w:val="16"/>
              </w:rPr>
              <w:t xml:space="preserve">Sin proyectos de I+D con universidades e industria</w:t>
            </w:r>
          </w:p>
        </w:tc>
        <w:tc>
          <w:tcPr>
            <w:tcW w:type="dxa" w:w="1800"/>
            <w:shd w:fill="FFF2CC" w:color="auto" w:val="clear"/>
            <w:tcMar>
              <w:top w:type="dxa" w:w="50"/>
              <w:left w:type="dxa" w:w="80"/>
              <w:bottom w:type="dxa" w:w="50"/>
              <w:right w:type="dxa" w:w="80"/>
            </w:tcMar>
            <w:vAlign w:val="center"/>
          </w:tcPr>
          <w:p>
            <w:pPr>
              <w:keepNext/>
              <w:spacing w:after="20" w:line="240"/>
              <w:jc w:val="center"/>
            </w:pPr>
            <w:r>
              <w:rPr>
                <w:b w:val="false"/>
                <w:bCs w:val="false"/>
                <w:sz w:val="16"/>
                <w:szCs w:val="16"/>
              </w:rPr>
              <w:t xml:space="preserve">Centros regionales sin modelo de replicación</w:t>
            </w:r>
          </w:p>
          <w:p>
            <w:pPr>
              <w:keepNext/>
              <w:spacing w:after="20" w:line="240"/>
              <w:jc w:val="center"/>
            </w:pPr>
            <w:r>
              <w:rPr>
                <w:b w:val="false"/>
                <w:bCs w:val="false"/>
                <w:sz w:val="16"/>
                <w:szCs w:val="16"/>
              </w:rPr>
              <w:t xml:space="preserve">Brecha territorial persiste</w:t>
            </w:r>
          </w:p>
        </w:tc>
      </w:tr>
    </w:tbl>
    <w:p>
      <w:pPr>
        <w:spacing w:after="200" w:before="60"/>
        <w:jc w:val="center"/>
      </w:pPr>
      <w:r>
        <w:rPr>
          <w:i/>
          <w:iCs/>
          <w:sz w:val="17"/>
          <w:szCs w:val="17"/>
        </w:rPr>
        <w:t xml:space="preserve">Fuente: Elaboración propia a partir de Minciencia (2025).</w:t>
      </w:r>
    </w:p>
    <w:p>
      <w:pPr>
        <w:pStyle w:val="Heading2"/>
      </w:pPr>
      <w:r>
        <w:t xml:space="preserve">4.3 Evaluación y priorización de barreras</w:t>
      </w:r>
    </w:p>
    <w:p>
      <w:pPr>
        <w:spacing w:after="140" w:line="300"/>
        <w:jc w:val="both"/>
      </w:pPr>
      <w:r>
        <w:t xml:space="preserve">Para pasar de una identificación descriptiva a una priorización fundamentada, cada barrera se evalúa con tres criterios en una escala de 1 a 3:</w:t>
      </w:r>
    </w:p>
    <w:p>
      <w:pPr>
        <w:pStyle w:val="ListParagraph"/>
        <w:numPr>
          <w:ilvl w:val="0"/>
          <w:numId w:val="2"/>
        </w:numPr>
        <w:spacing w:after="80" w:line="290"/>
        <w:jc w:val="both"/>
      </w:pPr>
      <w:r>
        <w:rPr>
          <w:b/>
          <w:bCs/>
        </w:rPr>
        <w:t xml:space="preserve">Relevancia (R):</w:t>
      </w:r>
      <w:r>
        <w:t xml:space="preserve"> recurrencia y solidez de la evidencia documental. 3 = reiterada en fuentes de distinto tipo (incluida normativa o documentos oficiales); 2 = presente en fuentes de un solo tipo; 1 = inferida o sin respaldo documental directo.</w:t>
      </w:r>
    </w:p>
    <w:p>
      <w:pPr>
        <w:pStyle w:val="ListParagraph"/>
        <w:numPr>
          <w:ilvl w:val="0"/>
          <w:numId w:val="2"/>
        </w:numPr>
        <w:spacing w:after="80" w:line="290"/>
        <w:jc w:val="both"/>
      </w:pPr>
      <w:r>
        <w:rPr>
          <w:b/>
          <w:bCs/>
        </w:rPr>
        <w:t xml:space="preserve">Impacto (I):</w:t>
      </w:r>
      <w:r>
        <w:t xml:space="preserve"> efecto esperado sobre las cuatro dimensiones del escalamiento (D1-D4). 3 = afecta a tres o más dimensiones o condiciona a las demás; 2 = afecta a dos; 1 = afecta a una.</w:t>
      </w:r>
    </w:p>
    <w:p>
      <w:pPr>
        <w:pStyle w:val="ListParagraph"/>
        <w:numPr>
          <w:ilvl w:val="0"/>
          <w:numId w:val="2"/>
        </w:numPr>
        <w:spacing w:after="80" w:line="290"/>
        <w:jc w:val="both"/>
      </w:pPr>
      <w:r>
        <w:rPr>
          <w:b/>
          <w:bCs/>
        </w:rPr>
        <w:t xml:space="preserve">Posibilidad de intervención (P):</w:t>
      </w:r>
      <w:r>
        <w:t xml:space="preserve"> capacidad de abordarla con decisiones institucionales en el horizonte de la propuesta. 3 = depende de decisiones administrativas o de convenios; 2 = requiere acuerdos interinstitucionales o presupuestarios; 1 = requiere reformas estructurales o de largo plazo.</w:t>
      </w:r>
    </w:p>
    <w:p>
      <w:pPr>
        <w:spacing w:after="140" w:line="300"/>
        <w:jc w:val="both"/>
      </w:pPr>
      <w:r>
        <w:t xml:space="preserve">El puntaje total (Σ = R + I + P, entre 3 y 9) clasifica la prioridad: </w:t>
      </w:r>
      <w:r>
        <w:rPr>
          <w:b/>
          <w:bCs/>
        </w:rPr>
        <w:t xml:space="preserve">Alta</w:t>
      </w:r>
      <w:r>
        <w:t xml:space="preserve"> (8-9), </w:t>
      </w:r>
      <w:r>
        <w:rPr>
          <w:b/>
          <w:bCs/>
        </w:rPr>
        <w:t xml:space="preserve">Media</w:t>
      </w:r>
      <w:r>
        <w:t xml:space="preserve"> (6-7) y </w:t>
      </w:r>
      <w:r>
        <w:rPr>
          <w:b/>
          <w:bCs/>
        </w:rPr>
        <w:t xml:space="preserve">Baja</w:t>
      </w:r>
      <w:r>
        <w:t xml:space="preserve"> (≤ 5). La Tabla 19 aplica los criterios y la Figura 5 posiciona las barreras según impacto y posibilidad de intervención. Los puntajes son valoraciones preliminares del autor (confianza baja, H5), que se contrastarán con actores clave y en el panel Delphi.</w:t>
      </w:r>
    </w:p>
    <w:p>
      <w:pPr>
        <w:pStyle w:val="Caption"/>
        <w:keepNext/>
        <w:spacing w:after="80" w:before="200"/>
        <w:jc w:val="center"/>
      </w:pPr>
      <w:r>
        <w:rPr>
          <w:b/>
          <w:bCs/>
        </w:rPr>
        <w:t xml:space="preserve">Tabla </w:t>
      </w:r>
      <w:fldSimple w:instr="SEQ Tabla \* ARABIC">
        <w:r>
          <w:t xml:space="preserve">19</w:t>
        </w:r>
      </w:fldSimple>
      <w:r>
        <w:rPr>
          <w:b/>
          <w:bCs/>
        </w:rPr>
        <w:t xml:space="preserve">. Evaluación de barreras según relevancia, impacto y posibilidad de intervención</w:t>
      </w:r>
    </w:p>
    <w:tbl>
      <w:tblPr>
        <w:tblW w:type="dxa" w:w="9000"/>
        <w:tblBorders>
          <w:top w:val="single" w:color="A6A6A6" w:sz="4"/>
          <w:left w:val="single" w:color="A6A6A6" w:sz="4"/>
          <w:bottom w:val="single" w:color="A6A6A6" w:sz="4"/>
          <w:right w:val="single" w:color="A6A6A6" w:sz="4"/>
          <w:insideH w:val="single" w:color="A6A6A6" w:sz="4"/>
          <w:insideV w:val="single" w:color="A6A6A6" w:sz="4"/>
        </w:tblBorders>
      </w:tblPr>
      <w:tblGrid>
        <w:gridCol w:w="540"/>
        <w:gridCol w:w="1980"/>
        <w:gridCol w:w="450"/>
        <w:gridCol w:w="450"/>
        <w:gridCol w:w="450"/>
        <w:gridCol w:w="540"/>
        <w:gridCol w:w="990"/>
        <w:gridCol w:w="3600"/>
      </w:tblGrid>
      <w:tr>
        <w:trPr>
          <w:cantSplit/>
          <w:tblHeader/>
        </w:trPr>
        <w:tc>
          <w:tcPr>
            <w:tcW w:type="dxa" w:w="54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N.º</w:t>
            </w:r>
          </w:p>
        </w:tc>
        <w:tc>
          <w:tcPr>
            <w:tcW w:type="dxa" w:w="198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Barrera</w:t>
            </w:r>
          </w:p>
        </w:tc>
        <w:tc>
          <w:tcPr>
            <w:tcW w:type="dxa" w:w="45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R</w:t>
            </w:r>
          </w:p>
        </w:tc>
        <w:tc>
          <w:tcPr>
            <w:tcW w:type="dxa" w:w="45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I</w:t>
            </w:r>
          </w:p>
        </w:tc>
        <w:tc>
          <w:tcPr>
            <w:tcW w:type="dxa" w:w="45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P</w:t>
            </w:r>
          </w:p>
        </w:tc>
        <w:tc>
          <w:tcPr>
            <w:tcW w:type="dxa" w:w="54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Σ</w:t>
            </w:r>
          </w:p>
        </w:tc>
        <w:tc>
          <w:tcPr>
            <w:tcW w:type="dxa" w:w="99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Prioridad</w:t>
            </w:r>
          </w:p>
        </w:tc>
        <w:tc>
          <w:tcPr>
            <w:tcW w:type="dxa" w:w="360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Justificación breve</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7"/>
                <w:szCs w:val="17"/>
              </w:rPr>
              <w:t xml:space="preserve">B1</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Sin agencia civil consolidada</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3</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3</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2</w:t>
            </w:r>
          </w:p>
        </w:tc>
        <w:tc>
          <w:tcPr>
            <w:tcW w:type="dxa" w:w="540"/>
            <w:tcMar>
              <w:top w:type="dxa" w:w="50"/>
              <w:left w:type="dxa" w:w="80"/>
              <w:bottom w:type="dxa" w:w="50"/>
              <w:right w:type="dxa" w:w="80"/>
            </w:tcMar>
            <w:vAlign w:val="center"/>
          </w:tcPr>
          <w:p>
            <w:pPr>
              <w:keepNext w:val="false"/>
              <w:spacing w:after="20" w:line="240"/>
              <w:jc w:val="center"/>
            </w:pPr>
            <w:r>
              <w:rPr>
                <w:b/>
                <w:bCs/>
                <w:sz w:val="17"/>
                <w:szCs w:val="17"/>
              </w:rPr>
              <w:t xml:space="preserve">8</w:t>
            </w:r>
          </w:p>
        </w:tc>
        <w:tc>
          <w:tcPr>
            <w:tcW w:type="dxa" w:w="990"/>
            <w:shd w:fill="F8CBAD" w:color="auto" w:val="clear"/>
            <w:tcMar>
              <w:top w:type="dxa" w:w="50"/>
              <w:left w:type="dxa" w:w="80"/>
              <w:bottom w:type="dxa" w:w="50"/>
              <w:right w:type="dxa" w:w="80"/>
            </w:tcMar>
            <w:vAlign w:val="center"/>
          </w:tcPr>
          <w:p>
            <w:pPr>
              <w:keepNext w:val="false"/>
              <w:spacing w:after="20" w:line="240"/>
              <w:jc w:val="center"/>
            </w:pPr>
            <w:r>
              <w:rPr>
                <w:b/>
                <w:bCs/>
                <w:sz w:val="17"/>
                <w:szCs w:val="17"/>
              </w:rPr>
              <w:t xml:space="preserve">Alta</w:t>
            </w:r>
          </w:p>
        </w:tc>
        <w:tc>
          <w:tcPr>
            <w:tcW w:type="dxa" w:w="3600"/>
            <w:tcMar>
              <w:top w:type="dxa" w:w="50"/>
              <w:left w:type="dxa" w:w="80"/>
              <w:bottom w:type="dxa" w:w="50"/>
              <w:right w:type="dxa" w:w="80"/>
            </w:tcMar>
            <w:vAlign w:val="center"/>
          </w:tcPr>
          <w:p>
            <w:pPr>
              <w:keepNext w:val="false"/>
              <w:spacing w:after="20" w:line="240"/>
              <w:jc w:val="left"/>
            </w:pPr>
            <w:r>
              <w:rPr>
                <w:sz w:val="17"/>
                <w:szCs w:val="17"/>
              </w:rPr>
              <w:t xml:space="preserve">Proyecto de ley pendiente desde 2018 (normativa y prensa); condiciona todas las dimensiones.</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7"/>
                <w:szCs w:val="17"/>
              </w:rPr>
              <w:t xml:space="preserve">B2</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Acceso de terceros no reglado</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2</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3</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3</w:t>
            </w:r>
          </w:p>
        </w:tc>
        <w:tc>
          <w:tcPr>
            <w:tcW w:type="dxa" w:w="540"/>
            <w:tcMar>
              <w:top w:type="dxa" w:w="50"/>
              <w:left w:type="dxa" w:w="80"/>
              <w:bottom w:type="dxa" w:w="50"/>
              <w:right w:type="dxa" w:w="80"/>
            </w:tcMar>
            <w:vAlign w:val="center"/>
          </w:tcPr>
          <w:p>
            <w:pPr>
              <w:keepNext w:val="false"/>
              <w:spacing w:after="20" w:line="240"/>
              <w:jc w:val="center"/>
            </w:pPr>
            <w:r>
              <w:rPr>
                <w:b/>
                <w:bCs/>
                <w:sz w:val="17"/>
                <w:szCs w:val="17"/>
              </w:rPr>
              <w:t xml:space="preserve">8</w:t>
            </w:r>
          </w:p>
        </w:tc>
        <w:tc>
          <w:tcPr>
            <w:tcW w:type="dxa" w:w="990"/>
            <w:shd w:fill="F8CBAD" w:color="auto" w:val="clear"/>
            <w:tcMar>
              <w:top w:type="dxa" w:w="50"/>
              <w:left w:type="dxa" w:w="80"/>
              <w:bottom w:type="dxa" w:w="50"/>
              <w:right w:type="dxa" w:w="80"/>
            </w:tcMar>
            <w:vAlign w:val="center"/>
          </w:tcPr>
          <w:p>
            <w:pPr>
              <w:keepNext w:val="false"/>
              <w:spacing w:after="20" w:line="240"/>
              <w:jc w:val="center"/>
            </w:pPr>
            <w:r>
              <w:rPr>
                <w:b/>
                <w:bCs/>
                <w:sz w:val="17"/>
                <w:szCs w:val="17"/>
              </w:rPr>
              <w:t xml:space="preserve">Alta</w:t>
            </w:r>
          </w:p>
        </w:tc>
        <w:tc>
          <w:tcPr>
            <w:tcW w:type="dxa" w:w="3600"/>
            <w:tcMar>
              <w:top w:type="dxa" w:w="50"/>
              <w:left w:type="dxa" w:w="80"/>
              <w:bottom w:type="dxa" w:w="50"/>
              <w:right w:type="dxa" w:w="80"/>
            </w:tcMar>
            <w:vAlign w:val="center"/>
          </w:tcPr>
          <w:p>
            <w:pPr>
              <w:keepNext w:val="false"/>
              <w:spacing w:after="20" w:line="240"/>
              <w:jc w:val="left"/>
            </w:pPr>
            <w:r>
              <w:rPr>
                <w:sz w:val="17"/>
                <w:szCs w:val="17"/>
              </w:rPr>
              <w:t xml:space="preserve">Habilita D2 y D4; resoluble con reglamento y protocolo.</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7"/>
                <w:szCs w:val="17"/>
              </w:rPr>
              <w:t xml:space="preserve">B3</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Conocimiento concentrado en la FACh</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2</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3</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3</w:t>
            </w:r>
          </w:p>
        </w:tc>
        <w:tc>
          <w:tcPr>
            <w:tcW w:type="dxa" w:w="540"/>
            <w:tcMar>
              <w:top w:type="dxa" w:w="50"/>
              <w:left w:type="dxa" w:w="80"/>
              <w:bottom w:type="dxa" w:w="50"/>
              <w:right w:type="dxa" w:w="80"/>
            </w:tcMar>
            <w:vAlign w:val="center"/>
          </w:tcPr>
          <w:p>
            <w:pPr>
              <w:keepNext w:val="false"/>
              <w:spacing w:after="20" w:line="240"/>
              <w:jc w:val="center"/>
            </w:pPr>
            <w:r>
              <w:rPr>
                <w:b/>
                <w:bCs/>
                <w:sz w:val="17"/>
                <w:szCs w:val="17"/>
              </w:rPr>
              <w:t xml:space="preserve">8</w:t>
            </w:r>
          </w:p>
        </w:tc>
        <w:tc>
          <w:tcPr>
            <w:tcW w:type="dxa" w:w="990"/>
            <w:shd w:fill="F8CBAD" w:color="auto" w:val="clear"/>
            <w:tcMar>
              <w:top w:type="dxa" w:w="50"/>
              <w:left w:type="dxa" w:w="80"/>
              <w:bottom w:type="dxa" w:w="50"/>
              <w:right w:type="dxa" w:w="80"/>
            </w:tcMar>
            <w:vAlign w:val="center"/>
          </w:tcPr>
          <w:p>
            <w:pPr>
              <w:keepNext w:val="false"/>
              <w:spacing w:after="20" w:line="240"/>
              <w:jc w:val="center"/>
            </w:pPr>
            <w:r>
              <w:rPr>
                <w:b/>
                <w:bCs/>
                <w:sz w:val="17"/>
                <w:szCs w:val="17"/>
              </w:rPr>
              <w:t xml:space="preserve">Alta</w:t>
            </w:r>
          </w:p>
        </w:tc>
        <w:tc>
          <w:tcPr>
            <w:tcW w:type="dxa" w:w="3600"/>
            <w:tcMar>
              <w:top w:type="dxa" w:w="50"/>
              <w:left w:type="dxa" w:w="80"/>
              <w:bottom w:type="dxa" w:w="50"/>
              <w:right w:type="dxa" w:w="80"/>
            </w:tcMar>
            <w:vAlign w:val="center"/>
          </w:tcPr>
          <w:p>
            <w:pPr>
              <w:keepNext w:val="false"/>
              <w:spacing w:after="20" w:line="240"/>
              <w:jc w:val="left"/>
            </w:pPr>
            <w:r>
              <w:rPr>
                <w:sz w:val="17"/>
                <w:szCs w:val="17"/>
              </w:rPr>
              <w:t xml:space="preserve">Afecta D1, D3 y D4; abordable con convenios y programas.</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7"/>
                <w:szCs w:val="17"/>
              </w:rPr>
              <w:t xml:space="preserve">B4</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Concentración en Cerrillos</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2</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2</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2</w:t>
            </w:r>
          </w:p>
        </w:tc>
        <w:tc>
          <w:tcPr>
            <w:tcW w:type="dxa" w:w="540"/>
            <w:tcMar>
              <w:top w:type="dxa" w:w="50"/>
              <w:left w:type="dxa" w:w="80"/>
              <w:bottom w:type="dxa" w:w="50"/>
              <w:right w:type="dxa" w:w="80"/>
            </w:tcMar>
            <w:vAlign w:val="center"/>
          </w:tcPr>
          <w:p>
            <w:pPr>
              <w:keepNext w:val="false"/>
              <w:spacing w:after="20" w:line="240"/>
              <w:jc w:val="center"/>
            </w:pPr>
            <w:r>
              <w:rPr>
                <w:b/>
                <w:bCs/>
                <w:sz w:val="17"/>
                <w:szCs w:val="17"/>
              </w:rPr>
              <w:t xml:space="preserve">6</w:t>
            </w:r>
          </w:p>
        </w:tc>
        <w:tc>
          <w:tcPr>
            <w:tcW w:type="dxa" w:w="990"/>
            <w:shd w:fill="FFF2CC" w:color="auto" w:val="clear"/>
            <w:tcMar>
              <w:top w:type="dxa" w:w="50"/>
              <w:left w:type="dxa" w:w="80"/>
              <w:bottom w:type="dxa" w:w="50"/>
              <w:right w:type="dxa" w:w="80"/>
            </w:tcMar>
            <w:vAlign w:val="center"/>
          </w:tcPr>
          <w:p>
            <w:pPr>
              <w:keepNext w:val="false"/>
              <w:spacing w:after="20" w:line="240"/>
              <w:jc w:val="center"/>
            </w:pPr>
            <w:r>
              <w:rPr>
                <w:b/>
                <w:bCs/>
                <w:sz w:val="17"/>
                <w:szCs w:val="17"/>
              </w:rPr>
              <w:t xml:space="preserve">Media</w:t>
            </w:r>
          </w:p>
        </w:tc>
        <w:tc>
          <w:tcPr>
            <w:tcW w:type="dxa" w:w="3600"/>
            <w:tcMar>
              <w:top w:type="dxa" w:w="50"/>
              <w:left w:type="dxa" w:w="80"/>
              <w:bottom w:type="dxa" w:w="50"/>
              <w:right w:type="dxa" w:w="80"/>
            </w:tcMar>
            <w:vAlign w:val="center"/>
          </w:tcPr>
          <w:p>
            <w:pPr>
              <w:keepNext w:val="false"/>
              <w:spacing w:after="20" w:line="240"/>
              <w:jc w:val="left"/>
            </w:pPr>
            <w:r>
              <w:rPr>
                <w:sz w:val="17"/>
                <w:szCs w:val="17"/>
              </w:rPr>
              <w:t xml:space="preserve">Afecta cobertura y resiliencia; depende de estudios y presupuesto regionales.</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7"/>
                <w:szCs w:val="17"/>
              </w:rPr>
              <w:t xml:space="preserve">B5</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Dependencia del presupuesto fiscal</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2</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3</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2</w:t>
            </w:r>
          </w:p>
        </w:tc>
        <w:tc>
          <w:tcPr>
            <w:tcW w:type="dxa" w:w="540"/>
            <w:tcMar>
              <w:top w:type="dxa" w:w="50"/>
              <w:left w:type="dxa" w:w="80"/>
              <w:bottom w:type="dxa" w:w="50"/>
              <w:right w:type="dxa" w:w="80"/>
            </w:tcMar>
            <w:vAlign w:val="center"/>
          </w:tcPr>
          <w:p>
            <w:pPr>
              <w:keepNext w:val="false"/>
              <w:spacing w:after="20" w:line="240"/>
              <w:jc w:val="center"/>
            </w:pPr>
            <w:r>
              <w:rPr>
                <w:b/>
                <w:bCs/>
                <w:sz w:val="17"/>
                <w:szCs w:val="17"/>
              </w:rPr>
              <w:t xml:space="preserve">7</w:t>
            </w:r>
          </w:p>
        </w:tc>
        <w:tc>
          <w:tcPr>
            <w:tcW w:type="dxa" w:w="990"/>
            <w:shd w:fill="FFF2CC" w:color="auto" w:val="clear"/>
            <w:tcMar>
              <w:top w:type="dxa" w:w="50"/>
              <w:left w:type="dxa" w:w="80"/>
              <w:bottom w:type="dxa" w:w="50"/>
              <w:right w:type="dxa" w:w="80"/>
            </w:tcMar>
            <w:vAlign w:val="center"/>
          </w:tcPr>
          <w:p>
            <w:pPr>
              <w:keepNext w:val="false"/>
              <w:spacing w:after="20" w:line="240"/>
              <w:jc w:val="center"/>
            </w:pPr>
            <w:r>
              <w:rPr>
                <w:b/>
                <w:bCs/>
                <w:sz w:val="17"/>
                <w:szCs w:val="17"/>
              </w:rPr>
              <w:t xml:space="preserve">Media</w:t>
            </w:r>
          </w:p>
        </w:tc>
        <w:tc>
          <w:tcPr>
            <w:tcW w:type="dxa" w:w="3600"/>
            <w:tcMar>
              <w:top w:type="dxa" w:w="50"/>
              <w:left w:type="dxa" w:w="80"/>
              <w:bottom w:type="dxa" w:w="50"/>
              <w:right w:type="dxa" w:w="80"/>
            </w:tcMar>
            <w:vAlign w:val="center"/>
          </w:tcPr>
          <w:p>
            <w:pPr>
              <w:keepNext w:val="false"/>
              <w:spacing w:after="20" w:line="240"/>
              <w:jc w:val="left"/>
            </w:pPr>
            <w:r>
              <w:rPr>
                <w:sz w:val="17"/>
                <w:szCs w:val="17"/>
              </w:rPr>
              <w:t xml:space="preserve">Condiciona la sostenibilidad; requiere acuerdos presupuestarios.</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7"/>
                <w:szCs w:val="17"/>
              </w:rPr>
              <w:t xml:space="preserve">B6</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Tamaño del mercado doméstico</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2</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3</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1</w:t>
            </w:r>
          </w:p>
        </w:tc>
        <w:tc>
          <w:tcPr>
            <w:tcW w:type="dxa" w:w="540"/>
            <w:tcMar>
              <w:top w:type="dxa" w:w="50"/>
              <w:left w:type="dxa" w:w="80"/>
              <w:bottom w:type="dxa" w:w="50"/>
              <w:right w:type="dxa" w:w="80"/>
            </w:tcMar>
            <w:vAlign w:val="center"/>
          </w:tcPr>
          <w:p>
            <w:pPr>
              <w:keepNext w:val="false"/>
              <w:spacing w:after="20" w:line="240"/>
              <w:jc w:val="center"/>
            </w:pPr>
            <w:r>
              <w:rPr>
                <w:b/>
                <w:bCs/>
                <w:sz w:val="17"/>
                <w:szCs w:val="17"/>
              </w:rPr>
              <w:t xml:space="preserve">6</w:t>
            </w:r>
          </w:p>
        </w:tc>
        <w:tc>
          <w:tcPr>
            <w:tcW w:type="dxa" w:w="990"/>
            <w:shd w:fill="FFF2CC" w:color="auto" w:val="clear"/>
            <w:tcMar>
              <w:top w:type="dxa" w:w="50"/>
              <w:left w:type="dxa" w:w="80"/>
              <w:bottom w:type="dxa" w:w="50"/>
              <w:right w:type="dxa" w:w="80"/>
            </w:tcMar>
            <w:vAlign w:val="center"/>
          </w:tcPr>
          <w:p>
            <w:pPr>
              <w:keepNext w:val="false"/>
              <w:spacing w:after="20" w:line="240"/>
              <w:jc w:val="center"/>
            </w:pPr>
            <w:r>
              <w:rPr>
                <w:b/>
                <w:bCs/>
                <w:sz w:val="17"/>
                <w:szCs w:val="17"/>
              </w:rPr>
              <w:t xml:space="preserve">Media</w:t>
            </w:r>
          </w:p>
        </w:tc>
        <w:tc>
          <w:tcPr>
            <w:tcW w:type="dxa" w:w="3600"/>
            <w:tcMar>
              <w:top w:type="dxa" w:w="50"/>
              <w:left w:type="dxa" w:w="80"/>
              <w:bottom w:type="dxa" w:w="50"/>
              <w:right w:type="dxa" w:w="80"/>
            </w:tcMar>
            <w:vAlign w:val="center"/>
          </w:tcPr>
          <w:p>
            <w:pPr>
              <w:keepNext w:val="false"/>
              <w:spacing w:after="20" w:line="240"/>
              <w:jc w:val="left"/>
            </w:pPr>
            <w:r>
              <w:rPr>
                <w:sz w:val="17"/>
                <w:szCs w:val="17"/>
              </w:rPr>
              <w:t xml:space="preserve">Alto impacto en D1 y D4; difícil de intervenir (se mitiga con demanda regional).</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7"/>
                <w:szCs w:val="17"/>
              </w:rPr>
              <w:t xml:space="preserve">B7</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Uso dual y seguridad</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1</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3</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2</w:t>
            </w:r>
          </w:p>
        </w:tc>
        <w:tc>
          <w:tcPr>
            <w:tcW w:type="dxa" w:w="540"/>
            <w:tcMar>
              <w:top w:type="dxa" w:w="50"/>
              <w:left w:type="dxa" w:w="80"/>
              <w:bottom w:type="dxa" w:w="50"/>
              <w:right w:type="dxa" w:w="80"/>
            </w:tcMar>
            <w:vAlign w:val="center"/>
          </w:tcPr>
          <w:p>
            <w:pPr>
              <w:keepNext w:val="false"/>
              <w:spacing w:after="20" w:line="240"/>
              <w:jc w:val="center"/>
            </w:pPr>
            <w:r>
              <w:rPr>
                <w:b/>
                <w:bCs/>
                <w:sz w:val="17"/>
                <w:szCs w:val="17"/>
              </w:rPr>
              <w:t xml:space="preserve">6</w:t>
            </w:r>
          </w:p>
        </w:tc>
        <w:tc>
          <w:tcPr>
            <w:tcW w:type="dxa" w:w="990"/>
            <w:shd w:fill="FFF2CC" w:color="auto" w:val="clear"/>
            <w:tcMar>
              <w:top w:type="dxa" w:w="50"/>
              <w:left w:type="dxa" w:w="80"/>
              <w:bottom w:type="dxa" w:w="50"/>
              <w:right w:type="dxa" w:w="80"/>
            </w:tcMar>
            <w:vAlign w:val="center"/>
          </w:tcPr>
          <w:p>
            <w:pPr>
              <w:keepNext w:val="false"/>
              <w:spacing w:after="20" w:line="240"/>
              <w:jc w:val="center"/>
            </w:pPr>
            <w:r>
              <w:rPr>
                <w:b/>
                <w:bCs/>
                <w:sz w:val="17"/>
                <w:szCs w:val="17"/>
              </w:rPr>
              <w:t xml:space="preserve">Media</w:t>
            </w:r>
          </w:p>
        </w:tc>
        <w:tc>
          <w:tcPr>
            <w:tcW w:type="dxa" w:w="3600"/>
            <w:tcMar>
              <w:top w:type="dxa" w:w="50"/>
              <w:left w:type="dxa" w:w="80"/>
              <w:bottom w:type="dxa" w:w="50"/>
              <w:right w:type="dxa" w:w="80"/>
            </w:tcMar>
            <w:vAlign w:val="center"/>
          </w:tcPr>
          <w:p>
            <w:pPr>
              <w:keepNext w:val="false"/>
              <w:spacing w:after="20" w:line="240"/>
              <w:jc w:val="left"/>
            </w:pPr>
            <w:r>
              <w:rPr>
                <w:sz w:val="17"/>
                <w:szCs w:val="17"/>
              </w:rPr>
              <w:t xml:space="preserve">Relevancia 1 por falta de fuentes; se verificará en entrevistas.</w:t>
            </w:r>
          </w:p>
        </w:tc>
      </w:tr>
    </w:tbl>
    <w:p>
      <w:pPr>
        <w:spacing w:after="200" w:before="60"/>
        <w:jc w:val="center"/>
      </w:pPr>
      <w:r>
        <w:rPr>
          <w:i/>
          <w:iCs/>
          <w:sz w:val="17"/>
          <w:szCs w:val="17"/>
        </w:rPr>
        <w:t xml:space="preserve">Fuente: Elaboración propia.</w:t>
      </w:r>
    </w:p>
    <w:p>
      <w:pPr>
        <w:pStyle w:val="Caption"/>
        <w:keepNext/>
        <w:spacing w:after="80" w:before="200"/>
        <w:jc w:val="center"/>
      </w:pPr>
      <w:r>
        <w:rPr>
          <w:b/>
          <w:bCs/>
        </w:rPr>
        <w:t xml:space="preserve">Figura </w:t>
      </w:r>
      <w:fldSimple w:instr="SEQ Figura \* ARABIC">
        <w:r>
          <w:t xml:space="preserve">5</w:t>
        </w:r>
      </w:fldSimple>
      <w:r>
        <w:rPr>
          <w:b/>
          <w:bCs/>
        </w:rPr>
        <w:t xml:space="preserve">. Matriz de priorización de barreras: impacto × posibilidad de intervención</w:t>
      </w:r>
    </w:p>
    <w:p>
      <w:pPr>
        <w:keepNext/>
        <w:spacing w:after="60"/>
        <w:jc w:val="center"/>
      </w:pPr>
      <w:r>
        <w:drawing>
          <wp:inline distT="0" distB="0" distL="0" distR="0">
            <wp:extent cx="5143500" cy="3114675"/>
            <wp:effectExtent t="0" r="0" b="0" l="0"/>
            <wp:docPr id="1" name="fig:prior" descr="Matriz de priorización de barreras: impacto × posibilidad de intervención" title="Matriz de priorización de barreras: impacto × posibilidad de interven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114675"/>
                    </a:xfrm>
                    <a:prstGeom prst="rect">
                      <a:avLst/>
                    </a:prstGeom>
                  </pic:spPr>
                </pic:pic>
              </a:graphicData>
            </a:graphic>
          </wp:inline>
        </w:drawing>
      </w:r>
    </w:p>
    <w:p>
      <w:pPr>
        <w:spacing w:after="200" w:before="60"/>
        <w:jc w:val="center"/>
      </w:pPr>
      <w:r>
        <w:rPr>
          <w:i/>
          <w:iCs/>
          <w:sz w:val="17"/>
          <w:szCs w:val="17"/>
        </w:rPr>
        <w:t xml:space="preserve">Fuente: Elaboración propia.</w:t>
      </w:r>
    </w:p>
    <w:p>
      <w:pPr>
        <w:spacing w:after="140" w:line="300"/>
        <w:jc w:val="both"/>
      </w:pPr>
      <w:r>
        <w:t xml:space="preserve">La matriz sugiere que B2 y B3 concentran el mayor impacto con alta intervenibilidad; B1, B5 y B7 tienen alto impacto pero exigen acuerdos interinstitucionales; y B6 es una barrera estructural de largo plazo que se enfrenta más con diversificación de la demanda (regional e internacional) que con una acción directa.</w:t>
      </w:r>
    </w:p>
    <w:p>
      <w:pPr>
        <w:pStyle w:val="Heading2"/>
      </w:pPr>
      <w:r>
        <w:t xml:space="preserve">4.4 Factores críticos de éxito (método de Rockart)</w:t>
      </w:r>
    </w:p>
    <w:p>
      <w:pPr>
        <w:spacing w:after="140" w:line="300"/>
        <w:jc w:val="both"/>
      </w:pPr>
      <w:r>
        <w:t xml:space="preserve">Siguiendo a Rockart (1979), un factor crítico de éxito es una de esas pocas áreas donde un buen resultado es indispensable para alcanzar los objetivos de la organización. Dado que en esta etapa no se dispone de entrevistas, los factores se derivaron de la evidencia documental mediante cuatro pasos: (1) se listaron las barreras (4.2) y las condiciones de entorno (PESTEL) que limitan las cuatro dimensiones del escalamiento; (2) se formuló, para cada grupo de barreras, el área en la que un resultado satisfactorio sería indispensable; (3) se retuvieron los factores que cumplían tres criterios: relevancia, recurrencia en las fuentes y posibilidad de ser abordados por decisiones institucionales; y (4) se evaluaron con los mismos criterios R, I y P de la sección 4.3, tomados de la barrera que cada factor resuelve y ajustados cuando el factor atiende a más de una. Cada factor se formuló como un área crítica y no como la mera inversión de una barrera.</w:t>
      </w:r>
    </w:p>
    <w:p>
      <w:pPr>
        <w:spacing w:after="140" w:line="300"/>
        <w:jc w:val="both"/>
      </w:pPr>
      <w:r>
        <w:t xml:space="preserve">El resultado son siete factores críticos preliminares (Tabla 20). Reemplazan la antigua valoración de “urgencia” por el puntaje de prioridad, de modo que su ordenamiento es explícito y replicable. Son valoraciones preliminares del autor, con confianza baja (H5), a contrastar con actores clave.</w:t>
      </w:r>
    </w:p>
    <w:p>
      <w:pPr>
        <w:pStyle w:val="Caption"/>
        <w:keepNext/>
        <w:spacing w:after="80" w:before="200"/>
        <w:jc w:val="center"/>
      </w:pPr>
      <w:r>
        <w:rPr>
          <w:b/>
          <w:bCs/>
        </w:rPr>
        <w:t xml:space="preserve">Tabla </w:t>
      </w:r>
      <w:fldSimple w:instr="SEQ Tabla \* ARABIC">
        <w:r>
          <w:t xml:space="preserve">20</w:t>
        </w:r>
      </w:fldSimple>
      <w:r>
        <w:rPr>
          <w:b/>
          <w:bCs/>
        </w:rPr>
        <w:t xml:space="preserve">. Factores críticos de éxito preliminares para el CEN con puntaje de prioridad</w:t>
      </w:r>
    </w:p>
    <w:tbl>
      <w:tblPr>
        <w:tblW w:type="dxa" w:w="9000"/>
        <w:tblBorders>
          <w:top w:val="single" w:color="A6A6A6" w:sz="4"/>
          <w:left w:val="single" w:color="A6A6A6" w:sz="4"/>
          <w:bottom w:val="single" w:color="A6A6A6" w:sz="4"/>
          <w:right w:val="single" w:color="A6A6A6" w:sz="4"/>
          <w:insideH w:val="single" w:color="A6A6A6" w:sz="4"/>
          <w:insideV w:val="single" w:color="A6A6A6" w:sz="4"/>
        </w:tblBorders>
      </w:tblPr>
      <w:tblGrid>
        <w:gridCol w:w="540"/>
        <w:gridCol w:w="2610"/>
        <w:gridCol w:w="810"/>
        <w:gridCol w:w="1980"/>
        <w:gridCol w:w="450"/>
        <w:gridCol w:w="450"/>
        <w:gridCol w:w="450"/>
        <w:gridCol w:w="540"/>
        <w:gridCol w:w="1170"/>
      </w:tblGrid>
      <w:tr>
        <w:trPr>
          <w:cantSplit/>
          <w:tblHeader/>
        </w:trPr>
        <w:tc>
          <w:tcPr>
            <w:tcW w:type="dxa" w:w="54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N.º</w:t>
            </w:r>
          </w:p>
        </w:tc>
        <w:tc>
          <w:tcPr>
            <w:tcW w:type="dxa" w:w="261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Factor crítico y justificación</w:t>
            </w:r>
          </w:p>
        </w:tc>
        <w:tc>
          <w:tcPr>
            <w:tcW w:type="dxa" w:w="81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Barrera</w:t>
            </w:r>
          </w:p>
        </w:tc>
        <w:tc>
          <w:tcPr>
            <w:tcW w:type="dxa" w:w="198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Indicador tentativo</w:t>
            </w:r>
          </w:p>
        </w:tc>
        <w:tc>
          <w:tcPr>
            <w:tcW w:type="dxa" w:w="45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R</w:t>
            </w:r>
          </w:p>
        </w:tc>
        <w:tc>
          <w:tcPr>
            <w:tcW w:type="dxa" w:w="45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I</w:t>
            </w:r>
          </w:p>
        </w:tc>
        <w:tc>
          <w:tcPr>
            <w:tcW w:type="dxa" w:w="45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P</w:t>
            </w:r>
          </w:p>
        </w:tc>
        <w:tc>
          <w:tcPr>
            <w:tcW w:type="dxa" w:w="54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Σ</w:t>
            </w:r>
          </w:p>
        </w:tc>
        <w:tc>
          <w:tcPr>
            <w:tcW w:type="dxa" w:w="117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Prioridad</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7"/>
                <w:szCs w:val="17"/>
              </w:rPr>
              <w:t xml:space="preserve">FCE 1</w:t>
            </w:r>
          </w:p>
        </w:tc>
        <w:tc>
          <w:tcPr>
            <w:tcW w:type="dxa" w:w="2610"/>
            <w:tcMar>
              <w:top w:type="dxa" w:w="50"/>
              <w:left w:type="dxa" w:w="80"/>
              <w:bottom w:type="dxa" w:w="50"/>
              <w:right w:type="dxa" w:w="80"/>
            </w:tcMar>
            <w:vAlign w:val="center"/>
          </w:tcPr>
          <w:p>
            <w:pPr>
              <w:keepNext w:val="false"/>
              <w:spacing w:after="20" w:line="240"/>
              <w:jc w:val="left"/>
            </w:pPr>
            <w:r>
              <w:rPr>
                <w:b/>
                <w:bCs/>
                <w:sz w:val="17"/>
                <w:szCs w:val="17"/>
              </w:rPr>
              <w:t xml:space="preserve">Institucionalidad civil articuladora.</w:t>
            </w:r>
            <w:r>
              <w:rPr>
                <w:sz w:val="17"/>
                <w:szCs w:val="17"/>
              </w:rPr>
              <w:t xml:space="preserve"> Un actor o mecanismo que coordine y reduzca la dispersión entre carteras.</w:t>
            </w:r>
          </w:p>
        </w:tc>
        <w:tc>
          <w:tcPr>
            <w:tcW w:type="dxa" w:w="810"/>
            <w:tcMar>
              <w:top w:type="dxa" w:w="50"/>
              <w:left w:type="dxa" w:w="80"/>
              <w:bottom w:type="dxa" w:w="50"/>
              <w:right w:type="dxa" w:w="80"/>
            </w:tcMar>
            <w:vAlign w:val="center"/>
          </w:tcPr>
          <w:p>
            <w:pPr>
              <w:keepNext w:val="false"/>
              <w:spacing w:after="20" w:line="240"/>
              <w:jc w:val="left"/>
            </w:pPr>
            <w:r>
              <w:rPr>
                <w:sz w:val="17"/>
                <w:szCs w:val="17"/>
              </w:rPr>
              <w:t xml:space="preserve">B1</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Existencia de un mecanismo formal de coordinación interministerial.</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3</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3</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2</w:t>
            </w:r>
          </w:p>
        </w:tc>
        <w:tc>
          <w:tcPr>
            <w:tcW w:type="dxa" w:w="540"/>
            <w:tcMar>
              <w:top w:type="dxa" w:w="50"/>
              <w:left w:type="dxa" w:w="80"/>
              <w:bottom w:type="dxa" w:w="50"/>
              <w:right w:type="dxa" w:w="80"/>
            </w:tcMar>
            <w:vAlign w:val="center"/>
          </w:tcPr>
          <w:p>
            <w:pPr>
              <w:keepNext w:val="false"/>
              <w:spacing w:after="20" w:line="240"/>
              <w:jc w:val="center"/>
            </w:pPr>
            <w:r>
              <w:rPr>
                <w:b/>
                <w:bCs/>
                <w:sz w:val="17"/>
                <w:szCs w:val="17"/>
              </w:rPr>
              <w:t xml:space="preserve">8</w:t>
            </w:r>
          </w:p>
        </w:tc>
        <w:tc>
          <w:tcPr>
            <w:tcW w:type="dxa" w:w="1170"/>
            <w:shd w:fill="F8CBAD" w:color="auto" w:val="clear"/>
            <w:tcMar>
              <w:top w:type="dxa" w:w="50"/>
              <w:left w:type="dxa" w:w="80"/>
              <w:bottom w:type="dxa" w:w="50"/>
              <w:right w:type="dxa" w:w="80"/>
            </w:tcMar>
            <w:vAlign w:val="center"/>
          </w:tcPr>
          <w:p>
            <w:pPr>
              <w:keepNext w:val="false"/>
              <w:spacing w:after="20" w:line="240"/>
              <w:jc w:val="center"/>
            </w:pPr>
            <w:r>
              <w:rPr>
                <w:b/>
                <w:bCs/>
                <w:sz w:val="17"/>
                <w:szCs w:val="17"/>
              </w:rPr>
              <w:t xml:space="preserve">Alta</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7"/>
                <w:szCs w:val="17"/>
              </w:rPr>
              <w:t xml:space="preserve">FCE 2</w:t>
            </w:r>
          </w:p>
        </w:tc>
        <w:tc>
          <w:tcPr>
            <w:tcW w:type="dxa" w:w="2610"/>
            <w:tcMar>
              <w:top w:type="dxa" w:w="50"/>
              <w:left w:type="dxa" w:w="80"/>
              <w:bottom w:type="dxa" w:w="50"/>
              <w:right w:type="dxa" w:w="80"/>
            </w:tcMar>
            <w:vAlign w:val="center"/>
          </w:tcPr>
          <w:p>
            <w:pPr>
              <w:keepNext w:val="false"/>
              <w:spacing w:after="20" w:line="240"/>
              <w:jc w:val="left"/>
            </w:pPr>
            <w:r>
              <w:rPr>
                <w:b/>
                <w:bCs/>
                <w:sz w:val="17"/>
                <w:szCs w:val="17"/>
              </w:rPr>
              <w:t xml:space="preserve">Mecanismos formales de transferencia tecnológica.</w:t>
            </w:r>
            <w:r>
              <w:rPr>
                <w:sz w:val="17"/>
                <w:szCs w:val="17"/>
              </w:rPr>
              <w:t xml:space="preserve"> Sin vías institucionalizadas, el conocimiento queda encapsulado.</w:t>
            </w:r>
          </w:p>
        </w:tc>
        <w:tc>
          <w:tcPr>
            <w:tcW w:type="dxa" w:w="810"/>
            <w:tcMar>
              <w:top w:type="dxa" w:w="50"/>
              <w:left w:type="dxa" w:w="80"/>
              <w:bottom w:type="dxa" w:w="50"/>
              <w:right w:type="dxa" w:w="80"/>
            </w:tcMar>
            <w:vAlign w:val="center"/>
          </w:tcPr>
          <w:p>
            <w:pPr>
              <w:keepNext w:val="false"/>
              <w:spacing w:after="20" w:line="240"/>
              <w:jc w:val="left"/>
            </w:pPr>
            <w:r>
              <w:rPr>
                <w:sz w:val="17"/>
                <w:szCs w:val="17"/>
              </w:rPr>
              <w:t xml:space="preserve">B3</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N.º de convenios o programas de transferencia vigentes.</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2</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3</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3</w:t>
            </w:r>
          </w:p>
        </w:tc>
        <w:tc>
          <w:tcPr>
            <w:tcW w:type="dxa" w:w="540"/>
            <w:tcMar>
              <w:top w:type="dxa" w:w="50"/>
              <w:left w:type="dxa" w:w="80"/>
              <w:bottom w:type="dxa" w:w="50"/>
              <w:right w:type="dxa" w:w="80"/>
            </w:tcMar>
            <w:vAlign w:val="center"/>
          </w:tcPr>
          <w:p>
            <w:pPr>
              <w:keepNext w:val="false"/>
              <w:spacing w:after="20" w:line="240"/>
              <w:jc w:val="center"/>
            </w:pPr>
            <w:r>
              <w:rPr>
                <w:b/>
                <w:bCs/>
                <w:sz w:val="17"/>
                <w:szCs w:val="17"/>
              </w:rPr>
              <w:t xml:space="preserve">8</w:t>
            </w:r>
          </w:p>
        </w:tc>
        <w:tc>
          <w:tcPr>
            <w:tcW w:type="dxa" w:w="1170"/>
            <w:shd w:fill="F8CBAD" w:color="auto" w:val="clear"/>
            <w:tcMar>
              <w:top w:type="dxa" w:w="50"/>
              <w:left w:type="dxa" w:w="80"/>
              <w:bottom w:type="dxa" w:w="50"/>
              <w:right w:type="dxa" w:w="80"/>
            </w:tcMar>
            <w:vAlign w:val="center"/>
          </w:tcPr>
          <w:p>
            <w:pPr>
              <w:keepNext w:val="false"/>
              <w:spacing w:after="20" w:line="240"/>
              <w:jc w:val="center"/>
            </w:pPr>
            <w:r>
              <w:rPr>
                <w:b/>
                <w:bCs/>
                <w:sz w:val="17"/>
                <w:szCs w:val="17"/>
              </w:rPr>
              <w:t xml:space="preserve">Alta</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7"/>
                <w:szCs w:val="17"/>
              </w:rPr>
              <w:t xml:space="preserve">FCE 3</w:t>
            </w:r>
          </w:p>
        </w:tc>
        <w:tc>
          <w:tcPr>
            <w:tcW w:type="dxa" w:w="2610"/>
            <w:tcMar>
              <w:top w:type="dxa" w:w="50"/>
              <w:left w:type="dxa" w:w="80"/>
              <w:bottom w:type="dxa" w:w="50"/>
              <w:right w:type="dxa" w:w="80"/>
            </w:tcMar>
            <w:vAlign w:val="center"/>
          </w:tcPr>
          <w:p>
            <w:pPr>
              <w:keepNext w:val="false"/>
              <w:spacing w:after="20" w:line="240"/>
              <w:jc w:val="left"/>
            </w:pPr>
            <w:r>
              <w:rPr>
                <w:b/>
                <w:bCs/>
                <w:sz w:val="17"/>
                <w:szCs w:val="17"/>
              </w:rPr>
              <w:t xml:space="preserve">Acceso regulado de terceros a la infraestructura.</w:t>
            </w:r>
            <w:r>
              <w:rPr>
                <w:sz w:val="17"/>
                <w:szCs w:val="17"/>
              </w:rPr>
              <w:t xml:space="preserve"> Vías formales compatibles con restricciones de seguridad y uso dual.</w:t>
            </w:r>
          </w:p>
        </w:tc>
        <w:tc>
          <w:tcPr>
            <w:tcW w:type="dxa" w:w="810"/>
            <w:tcMar>
              <w:top w:type="dxa" w:w="50"/>
              <w:left w:type="dxa" w:w="80"/>
              <w:bottom w:type="dxa" w:w="50"/>
              <w:right w:type="dxa" w:w="80"/>
            </w:tcMar>
            <w:vAlign w:val="center"/>
          </w:tcPr>
          <w:p>
            <w:pPr>
              <w:keepNext w:val="false"/>
              <w:spacing w:after="20" w:line="240"/>
              <w:jc w:val="left"/>
            </w:pPr>
            <w:r>
              <w:rPr>
                <w:sz w:val="17"/>
                <w:szCs w:val="17"/>
              </w:rPr>
              <w:t xml:space="preserve">B2, B7</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N.º de accesos de terceros formalizados.</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2</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3</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3</w:t>
            </w:r>
          </w:p>
        </w:tc>
        <w:tc>
          <w:tcPr>
            <w:tcW w:type="dxa" w:w="540"/>
            <w:tcMar>
              <w:top w:type="dxa" w:w="50"/>
              <w:left w:type="dxa" w:w="80"/>
              <w:bottom w:type="dxa" w:w="50"/>
              <w:right w:type="dxa" w:w="80"/>
            </w:tcMar>
            <w:vAlign w:val="center"/>
          </w:tcPr>
          <w:p>
            <w:pPr>
              <w:keepNext w:val="false"/>
              <w:spacing w:after="20" w:line="240"/>
              <w:jc w:val="center"/>
            </w:pPr>
            <w:r>
              <w:rPr>
                <w:b/>
                <w:bCs/>
                <w:sz w:val="17"/>
                <w:szCs w:val="17"/>
              </w:rPr>
              <w:t xml:space="preserve">8</w:t>
            </w:r>
          </w:p>
        </w:tc>
        <w:tc>
          <w:tcPr>
            <w:tcW w:type="dxa" w:w="1170"/>
            <w:shd w:fill="F8CBAD" w:color="auto" w:val="clear"/>
            <w:tcMar>
              <w:top w:type="dxa" w:w="50"/>
              <w:left w:type="dxa" w:w="80"/>
              <w:bottom w:type="dxa" w:w="50"/>
              <w:right w:type="dxa" w:w="80"/>
            </w:tcMar>
            <w:vAlign w:val="center"/>
          </w:tcPr>
          <w:p>
            <w:pPr>
              <w:keepNext w:val="false"/>
              <w:spacing w:after="20" w:line="240"/>
              <w:jc w:val="center"/>
            </w:pPr>
            <w:r>
              <w:rPr>
                <w:b/>
                <w:bCs/>
                <w:sz w:val="17"/>
                <w:szCs w:val="17"/>
              </w:rPr>
              <w:t xml:space="preserve">Alta</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7"/>
                <w:szCs w:val="17"/>
              </w:rPr>
              <w:t xml:space="preserve">FCE 4</w:t>
            </w:r>
          </w:p>
        </w:tc>
        <w:tc>
          <w:tcPr>
            <w:tcW w:type="dxa" w:w="2610"/>
            <w:tcMar>
              <w:top w:type="dxa" w:w="50"/>
              <w:left w:type="dxa" w:w="80"/>
              <w:bottom w:type="dxa" w:w="50"/>
              <w:right w:type="dxa" w:w="80"/>
            </w:tcMar>
            <w:vAlign w:val="center"/>
          </w:tcPr>
          <w:p>
            <w:pPr>
              <w:keepNext w:val="false"/>
              <w:spacing w:after="20" w:line="240"/>
              <w:jc w:val="left"/>
            </w:pPr>
            <w:r>
              <w:rPr>
                <w:b/>
                <w:bCs/>
                <w:sz w:val="17"/>
                <w:szCs w:val="17"/>
              </w:rPr>
              <w:t xml:space="preserve">Diversificación del financiamiento.</w:t>
            </w:r>
            <w:r>
              <w:rPr>
                <w:sz w:val="17"/>
                <w:szCs w:val="17"/>
              </w:rPr>
              <w:t xml:space="preserve"> Sumar APP y fondos de innovación reduce la vulnerabilidad fiscal.</w:t>
            </w:r>
          </w:p>
        </w:tc>
        <w:tc>
          <w:tcPr>
            <w:tcW w:type="dxa" w:w="810"/>
            <w:tcMar>
              <w:top w:type="dxa" w:w="50"/>
              <w:left w:type="dxa" w:w="80"/>
              <w:bottom w:type="dxa" w:w="50"/>
              <w:right w:type="dxa" w:w="80"/>
            </w:tcMar>
            <w:vAlign w:val="center"/>
          </w:tcPr>
          <w:p>
            <w:pPr>
              <w:keepNext w:val="false"/>
              <w:spacing w:after="20" w:line="240"/>
              <w:jc w:val="left"/>
            </w:pPr>
            <w:r>
              <w:rPr>
                <w:sz w:val="17"/>
                <w:szCs w:val="17"/>
              </w:rPr>
              <w:t xml:space="preserve">B5</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 del financiamiento proveniente de fuentes distintas al presupuesto fiscal.</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2</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3</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2</w:t>
            </w:r>
          </w:p>
        </w:tc>
        <w:tc>
          <w:tcPr>
            <w:tcW w:type="dxa" w:w="540"/>
            <w:tcMar>
              <w:top w:type="dxa" w:w="50"/>
              <w:left w:type="dxa" w:w="80"/>
              <w:bottom w:type="dxa" w:w="50"/>
              <w:right w:type="dxa" w:w="80"/>
            </w:tcMar>
            <w:vAlign w:val="center"/>
          </w:tcPr>
          <w:p>
            <w:pPr>
              <w:keepNext w:val="false"/>
              <w:spacing w:after="20" w:line="240"/>
              <w:jc w:val="center"/>
            </w:pPr>
            <w:r>
              <w:rPr>
                <w:b/>
                <w:bCs/>
                <w:sz w:val="17"/>
                <w:szCs w:val="17"/>
              </w:rPr>
              <w:t xml:space="preserve">7</w:t>
            </w:r>
          </w:p>
        </w:tc>
        <w:tc>
          <w:tcPr>
            <w:tcW w:type="dxa" w:w="1170"/>
            <w:shd w:fill="FFF2CC" w:color="auto" w:val="clear"/>
            <w:tcMar>
              <w:top w:type="dxa" w:w="50"/>
              <w:left w:type="dxa" w:w="80"/>
              <w:bottom w:type="dxa" w:w="50"/>
              <w:right w:type="dxa" w:w="80"/>
            </w:tcMar>
            <w:vAlign w:val="center"/>
          </w:tcPr>
          <w:p>
            <w:pPr>
              <w:keepNext w:val="false"/>
              <w:spacing w:after="20" w:line="240"/>
              <w:jc w:val="center"/>
            </w:pPr>
            <w:r>
              <w:rPr>
                <w:b/>
                <w:bCs/>
                <w:sz w:val="17"/>
                <w:szCs w:val="17"/>
              </w:rPr>
              <w:t xml:space="preserve">Media</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7"/>
                <w:szCs w:val="17"/>
              </w:rPr>
              <w:t xml:space="preserve">FCE 5</w:t>
            </w:r>
          </w:p>
        </w:tc>
        <w:tc>
          <w:tcPr>
            <w:tcW w:type="dxa" w:w="2610"/>
            <w:tcMar>
              <w:top w:type="dxa" w:w="50"/>
              <w:left w:type="dxa" w:w="80"/>
              <w:bottom w:type="dxa" w:w="50"/>
              <w:right w:type="dxa" w:w="80"/>
            </w:tcMar>
            <w:vAlign w:val="center"/>
          </w:tcPr>
          <w:p>
            <w:pPr>
              <w:keepNext w:val="false"/>
              <w:spacing w:after="20" w:line="240"/>
              <w:jc w:val="left"/>
            </w:pPr>
            <w:r>
              <w:rPr>
                <w:b/>
                <w:bCs/>
                <w:sz w:val="17"/>
                <w:szCs w:val="17"/>
              </w:rPr>
              <w:t xml:space="preserve">Formación y retención de capital humano.</w:t>
            </w:r>
            <w:r>
              <w:rPr>
                <w:sz w:val="17"/>
                <w:szCs w:val="17"/>
              </w:rPr>
              <w:t xml:space="preserve"> Masa crítica de especialistas más allá de la dotación militar.</w:t>
            </w:r>
          </w:p>
        </w:tc>
        <w:tc>
          <w:tcPr>
            <w:tcW w:type="dxa" w:w="810"/>
            <w:tcMar>
              <w:top w:type="dxa" w:w="50"/>
              <w:left w:type="dxa" w:w="80"/>
              <w:bottom w:type="dxa" w:w="50"/>
              <w:right w:type="dxa" w:w="80"/>
            </w:tcMar>
            <w:vAlign w:val="center"/>
          </w:tcPr>
          <w:p>
            <w:pPr>
              <w:keepNext w:val="false"/>
              <w:spacing w:after="20" w:line="240"/>
              <w:jc w:val="left"/>
            </w:pPr>
            <w:r>
              <w:rPr>
                <w:sz w:val="17"/>
                <w:szCs w:val="17"/>
              </w:rPr>
              <w:t xml:space="preserve">B3</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N.º de profesionales formados fuera de la dotación militar.</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2</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2</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3</w:t>
            </w:r>
          </w:p>
        </w:tc>
        <w:tc>
          <w:tcPr>
            <w:tcW w:type="dxa" w:w="540"/>
            <w:tcMar>
              <w:top w:type="dxa" w:w="50"/>
              <w:left w:type="dxa" w:w="80"/>
              <w:bottom w:type="dxa" w:w="50"/>
              <w:right w:type="dxa" w:w="80"/>
            </w:tcMar>
            <w:vAlign w:val="center"/>
          </w:tcPr>
          <w:p>
            <w:pPr>
              <w:keepNext w:val="false"/>
              <w:spacing w:after="20" w:line="240"/>
              <w:jc w:val="center"/>
            </w:pPr>
            <w:r>
              <w:rPr>
                <w:b/>
                <w:bCs/>
                <w:sz w:val="17"/>
                <w:szCs w:val="17"/>
              </w:rPr>
              <w:t xml:space="preserve">7</w:t>
            </w:r>
          </w:p>
        </w:tc>
        <w:tc>
          <w:tcPr>
            <w:tcW w:type="dxa" w:w="1170"/>
            <w:shd w:fill="FFF2CC" w:color="auto" w:val="clear"/>
            <w:tcMar>
              <w:top w:type="dxa" w:w="50"/>
              <w:left w:type="dxa" w:w="80"/>
              <w:bottom w:type="dxa" w:w="50"/>
              <w:right w:type="dxa" w:w="80"/>
            </w:tcMar>
            <w:vAlign w:val="center"/>
          </w:tcPr>
          <w:p>
            <w:pPr>
              <w:keepNext w:val="false"/>
              <w:spacing w:after="20" w:line="240"/>
              <w:jc w:val="center"/>
            </w:pPr>
            <w:r>
              <w:rPr>
                <w:b/>
                <w:bCs/>
                <w:sz w:val="17"/>
                <w:szCs w:val="17"/>
              </w:rPr>
              <w:t xml:space="preserve">Media</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7"/>
                <w:szCs w:val="17"/>
              </w:rPr>
              <w:t xml:space="preserve">FCE 6</w:t>
            </w:r>
          </w:p>
        </w:tc>
        <w:tc>
          <w:tcPr>
            <w:tcW w:type="dxa" w:w="2610"/>
            <w:tcMar>
              <w:top w:type="dxa" w:w="50"/>
              <w:left w:type="dxa" w:w="80"/>
              <w:bottom w:type="dxa" w:w="50"/>
              <w:right w:type="dxa" w:w="80"/>
            </w:tcMar>
            <w:vAlign w:val="center"/>
          </w:tcPr>
          <w:p>
            <w:pPr>
              <w:keepNext w:val="false"/>
              <w:spacing w:after="20" w:line="240"/>
              <w:jc w:val="left"/>
            </w:pPr>
            <w:r>
              <w:rPr>
                <w:b/>
                <w:bCs/>
                <w:sz w:val="17"/>
                <w:szCs w:val="17"/>
              </w:rPr>
              <w:t xml:space="preserve">Vinculación con demanda y aplicaciones de datos.</w:t>
            </w:r>
            <w:r>
              <w:rPr>
                <w:sz w:val="17"/>
                <w:szCs w:val="17"/>
              </w:rPr>
              <w:t xml:space="preserve"> Conectar el HPC y los datos con usuarios realiza el valor del activo y amplía la demanda más allá del mercado doméstico.</w:t>
            </w:r>
          </w:p>
        </w:tc>
        <w:tc>
          <w:tcPr>
            <w:tcW w:type="dxa" w:w="810"/>
            <w:tcMar>
              <w:top w:type="dxa" w:w="50"/>
              <w:left w:type="dxa" w:w="80"/>
              <w:bottom w:type="dxa" w:w="50"/>
              <w:right w:type="dxa" w:w="80"/>
            </w:tcMar>
            <w:vAlign w:val="center"/>
          </w:tcPr>
          <w:p>
            <w:pPr>
              <w:keepNext w:val="false"/>
              <w:spacing w:after="20" w:line="240"/>
              <w:jc w:val="left"/>
            </w:pPr>
            <w:r>
              <w:rPr>
                <w:sz w:val="17"/>
                <w:szCs w:val="17"/>
              </w:rPr>
              <w:t xml:space="preserve">B2, B6</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N.º de usuarios o aplicaciones activas con datos del CEN.</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2</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3</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3</w:t>
            </w:r>
          </w:p>
        </w:tc>
        <w:tc>
          <w:tcPr>
            <w:tcW w:type="dxa" w:w="540"/>
            <w:tcMar>
              <w:top w:type="dxa" w:w="50"/>
              <w:left w:type="dxa" w:w="80"/>
              <w:bottom w:type="dxa" w:w="50"/>
              <w:right w:type="dxa" w:w="80"/>
            </w:tcMar>
            <w:vAlign w:val="center"/>
          </w:tcPr>
          <w:p>
            <w:pPr>
              <w:keepNext w:val="false"/>
              <w:spacing w:after="20" w:line="240"/>
              <w:jc w:val="center"/>
            </w:pPr>
            <w:r>
              <w:rPr>
                <w:b/>
                <w:bCs/>
                <w:sz w:val="17"/>
                <w:szCs w:val="17"/>
              </w:rPr>
              <w:t xml:space="preserve">8</w:t>
            </w:r>
          </w:p>
        </w:tc>
        <w:tc>
          <w:tcPr>
            <w:tcW w:type="dxa" w:w="1170"/>
            <w:shd w:fill="F8CBAD" w:color="auto" w:val="clear"/>
            <w:tcMar>
              <w:top w:type="dxa" w:w="50"/>
              <w:left w:type="dxa" w:w="80"/>
              <w:bottom w:type="dxa" w:w="50"/>
              <w:right w:type="dxa" w:w="80"/>
            </w:tcMar>
            <w:vAlign w:val="center"/>
          </w:tcPr>
          <w:p>
            <w:pPr>
              <w:keepNext w:val="false"/>
              <w:spacing w:after="20" w:line="240"/>
              <w:jc w:val="center"/>
            </w:pPr>
            <w:r>
              <w:rPr>
                <w:b/>
                <w:bCs/>
                <w:sz w:val="17"/>
                <w:szCs w:val="17"/>
              </w:rPr>
              <w:t xml:space="preserve">Alta</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7"/>
                <w:szCs w:val="17"/>
              </w:rPr>
              <w:t xml:space="preserve">FCE 7</w:t>
            </w:r>
          </w:p>
        </w:tc>
        <w:tc>
          <w:tcPr>
            <w:tcW w:type="dxa" w:w="2610"/>
            <w:tcMar>
              <w:top w:type="dxa" w:w="50"/>
              <w:left w:type="dxa" w:w="80"/>
              <w:bottom w:type="dxa" w:w="50"/>
              <w:right w:type="dxa" w:w="80"/>
            </w:tcMar>
            <w:vAlign w:val="center"/>
          </w:tcPr>
          <w:p>
            <w:pPr>
              <w:keepNext w:val="false"/>
              <w:spacing w:after="20" w:line="240"/>
              <w:jc w:val="left"/>
            </w:pPr>
            <w:r>
              <w:rPr>
                <w:b/>
                <w:bCs/>
                <w:sz w:val="17"/>
                <w:szCs w:val="17"/>
              </w:rPr>
              <w:t xml:space="preserve">Articulación territorial y resiliencia de la infraestructura.</w:t>
            </w:r>
            <w:r>
              <w:rPr>
                <w:sz w:val="17"/>
                <w:szCs w:val="17"/>
              </w:rPr>
              <w:t xml:space="preserve"> Centros regionales y modelo replicable reducen la concentración del riesgo.</w:t>
            </w:r>
          </w:p>
        </w:tc>
        <w:tc>
          <w:tcPr>
            <w:tcW w:type="dxa" w:w="810"/>
            <w:tcMar>
              <w:top w:type="dxa" w:w="50"/>
              <w:left w:type="dxa" w:w="80"/>
              <w:bottom w:type="dxa" w:w="50"/>
              <w:right w:type="dxa" w:w="80"/>
            </w:tcMar>
            <w:vAlign w:val="center"/>
          </w:tcPr>
          <w:p>
            <w:pPr>
              <w:keepNext w:val="false"/>
              <w:spacing w:after="20" w:line="240"/>
              <w:jc w:val="left"/>
            </w:pPr>
            <w:r>
              <w:rPr>
                <w:sz w:val="17"/>
                <w:szCs w:val="17"/>
              </w:rPr>
              <w:t xml:space="preserve">B4</w:t>
            </w:r>
          </w:p>
        </w:tc>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N.º de nodos regionales operativos o con modelo de réplica definido.</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2</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2</w:t>
            </w:r>
          </w:p>
        </w:tc>
        <w:tc>
          <w:tcPr>
            <w:tcW w:type="dxa" w:w="450"/>
            <w:tcMar>
              <w:top w:type="dxa" w:w="50"/>
              <w:left w:type="dxa" w:w="80"/>
              <w:bottom w:type="dxa" w:w="50"/>
              <w:right w:type="dxa" w:w="80"/>
            </w:tcMar>
            <w:vAlign w:val="center"/>
          </w:tcPr>
          <w:p>
            <w:pPr>
              <w:keepNext w:val="false"/>
              <w:spacing w:after="20" w:line="240"/>
              <w:jc w:val="center"/>
            </w:pPr>
            <w:r>
              <w:rPr>
                <w:sz w:val="17"/>
                <w:szCs w:val="17"/>
              </w:rPr>
              <w:t xml:space="preserve">2</w:t>
            </w:r>
          </w:p>
        </w:tc>
        <w:tc>
          <w:tcPr>
            <w:tcW w:type="dxa" w:w="540"/>
            <w:tcMar>
              <w:top w:type="dxa" w:w="50"/>
              <w:left w:type="dxa" w:w="80"/>
              <w:bottom w:type="dxa" w:w="50"/>
              <w:right w:type="dxa" w:w="80"/>
            </w:tcMar>
            <w:vAlign w:val="center"/>
          </w:tcPr>
          <w:p>
            <w:pPr>
              <w:keepNext w:val="false"/>
              <w:spacing w:after="20" w:line="240"/>
              <w:jc w:val="center"/>
            </w:pPr>
            <w:r>
              <w:rPr>
                <w:b/>
                <w:bCs/>
                <w:sz w:val="17"/>
                <w:szCs w:val="17"/>
              </w:rPr>
              <w:t xml:space="preserve">6</w:t>
            </w:r>
          </w:p>
        </w:tc>
        <w:tc>
          <w:tcPr>
            <w:tcW w:type="dxa" w:w="1170"/>
            <w:shd w:fill="FFF2CC" w:color="auto" w:val="clear"/>
            <w:tcMar>
              <w:top w:type="dxa" w:w="50"/>
              <w:left w:type="dxa" w:w="80"/>
              <w:bottom w:type="dxa" w:w="50"/>
              <w:right w:type="dxa" w:w="80"/>
            </w:tcMar>
            <w:vAlign w:val="center"/>
          </w:tcPr>
          <w:p>
            <w:pPr>
              <w:keepNext w:val="false"/>
              <w:spacing w:after="20" w:line="240"/>
              <w:jc w:val="center"/>
            </w:pPr>
            <w:r>
              <w:rPr>
                <w:b/>
                <w:bCs/>
                <w:sz w:val="17"/>
                <w:szCs w:val="17"/>
              </w:rPr>
              <w:t xml:space="preserve">Media</w:t>
            </w:r>
          </w:p>
        </w:tc>
      </w:tr>
    </w:tbl>
    <w:p>
      <w:pPr>
        <w:spacing w:after="200" w:before="60"/>
        <w:jc w:val="center"/>
      </w:pPr>
      <w:r>
        <w:rPr>
          <w:i/>
          <w:iCs/>
          <w:sz w:val="17"/>
          <w:szCs w:val="17"/>
        </w:rPr>
        <w:t xml:space="preserve">Fuente: Elaboración propia a partir de Rockart (1979) y de la evidencia de los capítulos 3 y 4.</w:t>
      </w:r>
    </w:p>
    <w:p>
      <w:pPr>
        <w:spacing w:after="140" w:line="300"/>
        <w:jc w:val="both"/>
      </w:pPr>
      <w:r>
        <w:t xml:space="preserve">Los siete factores pueden agruparse en cuatro áreas: gobernanza y acceso (FCE 1 y 3), conocimiento y talento (FCE 2 y 5), demanda y financiamiento (FCE 4 y 6) y resiliencia territorial (FCE 7). Cada factor se formula como un área en que se requiere un resultado satisfactorio y no como una solución: en particular, el FCE 1 no presupone una forma institucional específica (agencia civil u otro mecanismo de coordinación), alternativa que se evalúa en OE3 y OE4.</w:t>
      </w:r>
    </w:p>
    <w:p>
      <w:pPr>
        <w:pStyle w:val="Heading2"/>
      </w:pPr>
      <w:r>
        <w:t xml:space="preserve">4.5 Análisis de brechas: cruce entre capacidades (OE1) y condiciones (OE2)</w:t>
      </w:r>
    </w:p>
    <w:p>
      <w:pPr>
        <w:spacing w:after="140" w:line="300"/>
        <w:jc w:val="both"/>
      </w:pPr>
      <w:r>
        <w:t xml:space="preserve">Para cerrar el diagnóstico se construyó una matriz que cruza las capacidades del OE1 con las condiciones del OE2. El resultado es un mapa de brechas que muestra, para cada capacidad, qué condiciones necesita para ser aprovechada y cuál es el estado actual de esas condiciones (Tabla 21).</w:t>
      </w:r>
    </w:p>
    <w:p>
      <w:pPr>
        <w:pStyle w:val="Caption"/>
        <w:keepNext/>
        <w:spacing w:after="80" w:before="200"/>
        <w:jc w:val="center"/>
      </w:pPr>
      <w:r>
        <w:rPr>
          <w:b/>
          <w:bCs/>
        </w:rPr>
        <w:t xml:space="preserve">Tabla </w:t>
      </w:r>
      <w:fldSimple w:instr="SEQ Tabla \* ARABIC">
        <w:r>
          <w:t xml:space="preserve">21</w:t>
        </w:r>
      </w:fldSimple>
      <w:r>
        <w:rPr>
          <w:b/>
          <w:bCs/>
        </w:rPr>
        <w:t xml:space="preserve">. Matriz de brechas: capacidades del CEN versus condiciones para su aprovechamiento</w:t>
      </w:r>
    </w:p>
    <w:tbl>
      <w:tblPr>
        <w:tblW w:type="dxa" w:w="9000"/>
        <w:tblBorders>
          <w:top w:val="single" w:color="A6A6A6" w:sz="4"/>
          <w:left w:val="single" w:color="A6A6A6" w:sz="4"/>
          <w:bottom w:val="single" w:color="A6A6A6" w:sz="4"/>
          <w:right w:val="single" w:color="A6A6A6" w:sz="4"/>
          <w:insideH w:val="single" w:color="A6A6A6" w:sz="4"/>
          <w:insideV w:val="single" w:color="A6A6A6" w:sz="4"/>
        </w:tblBorders>
      </w:tblPr>
      <w:tblGrid>
        <w:gridCol w:w="1170"/>
        <w:gridCol w:w="1710"/>
        <w:gridCol w:w="1890"/>
        <w:gridCol w:w="1710"/>
        <w:gridCol w:w="540"/>
        <w:gridCol w:w="1350"/>
        <w:gridCol w:w="630"/>
      </w:tblGrid>
      <w:tr>
        <w:trPr>
          <w:cantSplit/>
          <w:tblHeader/>
        </w:trPr>
        <w:tc>
          <w:tcPr>
            <w:tcW w:type="dxa" w:w="117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Capacidad (OE1)</w:t>
            </w:r>
          </w:p>
        </w:tc>
        <w:tc>
          <w:tcPr>
            <w:tcW w:type="dxa" w:w="171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Condiciones requeridas (OE2)</w:t>
            </w:r>
          </w:p>
        </w:tc>
        <w:tc>
          <w:tcPr>
            <w:tcW w:type="dxa" w:w="189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Estado actual</w:t>
            </w:r>
          </w:p>
        </w:tc>
        <w:tc>
          <w:tcPr>
            <w:tcW w:type="dxa" w:w="171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Brecha identificada</w:t>
            </w:r>
          </w:p>
        </w:tc>
        <w:tc>
          <w:tcPr>
            <w:tcW w:type="dxa" w:w="54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Mad.</w:t>
            </w:r>
          </w:p>
        </w:tc>
        <w:tc>
          <w:tcPr>
            <w:tcW w:type="dxa" w:w="135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Prioridad</w:t>
            </w:r>
          </w:p>
        </w:tc>
        <w:tc>
          <w:tcPr>
            <w:tcW w:type="dxa" w:w="63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Conf.</w:t>
            </w:r>
          </w:p>
        </w:tc>
      </w:tr>
      <w:tr>
        <w:trPr>
          <w:cantSplit/>
        </w:trPr>
        <w:tc>
          <w:tcPr>
            <w:tcW w:type="dxa" w:w="1170"/>
            <w:tcMar>
              <w:top w:type="dxa" w:w="50"/>
              <w:left w:type="dxa" w:w="80"/>
              <w:bottom w:type="dxa" w:w="50"/>
              <w:right w:type="dxa" w:w="80"/>
            </w:tcMar>
            <w:vAlign w:val="center"/>
          </w:tcPr>
          <w:p>
            <w:pPr>
              <w:keepNext w:val="false"/>
              <w:spacing w:after="20" w:line="240"/>
              <w:jc w:val="left"/>
            </w:pPr>
            <w:r>
              <w:rPr>
                <w:sz w:val="17"/>
                <w:szCs w:val="17"/>
              </w:rPr>
              <w:t xml:space="preserve">Ensamblaje e integración satelital</w:t>
            </w:r>
          </w:p>
        </w:tc>
        <w:tc>
          <w:tcPr>
            <w:tcW w:type="dxa" w:w="1710"/>
            <w:tcMar>
              <w:top w:type="dxa" w:w="50"/>
              <w:left w:type="dxa" w:w="80"/>
              <w:bottom w:type="dxa" w:w="50"/>
              <w:right w:type="dxa" w:w="80"/>
            </w:tcMar>
            <w:vAlign w:val="center"/>
          </w:tcPr>
          <w:p>
            <w:pPr>
              <w:keepNext w:val="false"/>
              <w:spacing w:after="20" w:line="240"/>
              <w:jc w:val="left"/>
            </w:pPr>
            <w:r>
              <w:rPr>
                <w:sz w:val="17"/>
                <w:szCs w:val="17"/>
              </w:rPr>
              <w:t xml:space="preserve">Talento, transferencia, proveedores nacionales, financiamiento de largo plazo.</w:t>
            </w:r>
          </w:p>
        </w:tc>
        <w:tc>
          <w:tcPr>
            <w:tcW w:type="dxa" w:w="1890"/>
            <w:tcMar>
              <w:top w:type="dxa" w:w="50"/>
              <w:left w:type="dxa" w:w="80"/>
              <w:bottom w:type="dxa" w:w="50"/>
              <w:right w:type="dxa" w:w="80"/>
            </w:tcMar>
            <w:vAlign w:val="center"/>
          </w:tcPr>
          <w:p>
            <w:pPr>
              <w:keepNext w:val="false"/>
              <w:spacing w:after="20" w:line="240"/>
              <w:jc w:val="left"/>
            </w:pPr>
            <w:r>
              <w:rPr>
                <w:sz w:val="17"/>
                <w:szCs w:val="17"/>
              </w:rPr>
              <w:t xml:space="preserve">Formación iniciada; sin programa de proveedores; financiamiento anual.</w:t>
            </w:r>
          </w:p>
        </w:tc>
        <w:tc>
          <w:tcPr>
            <w:tcW w:type="dxa" w:w="1710"/>
            <w:tcMar>
              <w:top w:type="dxa" w:w="50"/>
              <w:left w:type="dxa" w:w="80"/>
              <w:bottom w:type="dxa" w:w="50"/>
              <w:right w:type="dxa" w:w="80"/>
            </w:tcMar>
            <w:vAlign w:val="center"/>
          </w:tcPr>
          <w:p>
            <w:pPr>
              <w:keepNext w:val="false"/>
              <w:spacing w:after="20" w:line="240"/>
              <w:jc w:val="left"/>
            </w:pPr>
            <w:r>
              <w:rPr>
                <w:sz w:val="17"/>
                <w:szCs w:val="17"/>
              </w:rPr>
              <w:t xml:space="preserve">Conectar la capacidad técnica con proveedores y academia; asegurar continuidad.</w:t>
            </w:r>
          </w:p>
        </w:tc>
        <w:tc>
          <w:tcPr>
            <w:tcW w:type="dxa" w:w="540"/>
            <w:tcMar>
              <w:top w:type="dxa" w:w="50"/>
              <w:left w:type="dxa" w:w="80"/>
              <w:bottom w:type="dxa" w:w="50"/>
              <w:right w:type="dxa" w:w="80"/>
            </w:tcMar>
            <w:vAlign w:val="center"/>
          </w:tcPr>
          <w:p>
            <w:pPr>
              <w:keepNext w:val="false"/>
              <w:spacing w:after="20" w:line="240"/>
              <w:jc w:val="center"/>
            </w:pPr>
            <w:r>
              <w:rPr>
                <w:sz w:val="17"/>
                <w:szCs w:val="17"/>
              </w:rPr>
              <w:t xml:space="preserve">1</w:t>
            </w:r>
          </w:p>
        </w:tc>
        <w:tc>
          <w:tcPr>
            <w:tcW w:type="dxa" w:w="1350"/>
            <w:shd w:fill="F8CBAD" w:color="auto" w:val="clear"/>
            <w:tcMar>
              <w:top w:type="dxa" w:w="50"/>
              <w:left w:type="dxa" w:w="80"/>
              <w:bottom w:type="dxa" w:w="50"/>
              <w:right w:type="dxa" w:w="80"/>
            </w:tcMar>
            <w:vAlign w:val="center"/>
          </w:tcPr>
          <w:p>
            <w:pPr>
              <w:keepNext w:val="false"/>
              <w:spacing w:after="20" w:line="240"/>
              <w:jc w:val="center"/>
            </w:pPr>
            <w:r>
              <w:rPr>
                <w:b/>
                <w:bCs/>
                <w:sz w:val="17"/>
                <w:szCs w:val="17"/>
              </w:rPr>
              <w:t xml:space="preserve">Alta</w:t>
            </w:r>
          </w:p>
        </w:tc>
        <w:tc>
          <w:tcPr>
            <w:tcW w:type="dxa" w:w="630"/>
            <w:tcMar>
              <w:top w:type="dxa" w:w="50"/>
              <w:left w:type="dxa" w:w="80"/>
              <w:bottom w:type="dxa" w:w="50"/>
              <w:right w:type="dxa" w:w="80"/>
            </w:tcMar>
            <w:vAlign w:val="center"/>
          </w:tcPr>
          <w:p>
            <w:pPr>
              <w:keepNext w:val="false"/>
              <w:spacing w:after="20" w:line="240"/>
              <w:jc w:val="center"/>
            </w:pPr>
            <w:r>
              <w:rPr>
                <w:sz w:val="17"/>
                <w:szCs w:val="17"/>
              </w:rPr>
              <w:t xml:space="preserve">Baja</w:t>
            </w:r>
          </w:p>
        </w:tc>
      </w:tr>
      <w:tr>
        <w:trPr>
          <w:cantSplit/>
        </w:trPr>
        <w:tc>
          <w:tcPr>
            <w:tcW w:type="dxa" w:w="1170"/>
            <w:tcMar>
              <w:top w:type="dxa" w:w="50"/>
              <w:left w:type="dxa" w:w="80"/>
              <w:bottom w:type="dxa" w:w="50"/>
              <w:right w:type="dxa" w:w="80"/>
            </w:tcMar>
            <w:vAlign w:val="center"/>
          </w:tcPr>
          <w:p>
            <w:pPr>
              <w:keepNext w:val="false"/>
              <w:spacing w:after="20" w:line="240"/>
              <w:jc w:val="left"/>
            </w:pPr>
            <w:r>
              <w:rPr>
                <w:sz w:val="17"/>
                <w:szCs w:val="17"/>
              </w:rPr>
              <w:t xml:space="preserve">Simulación ambiental</w:t>
            </w:r>
          </w:p>
        </w:tc>
        <w:tc>
          <w:tcPr>
            <w:tcW w:type="dxa" w:w="1710"/>
            <w:tcMar>
              <w:top w:type="dxa" w:w="50"/>
              <w:left w:type="dxa" w:w="80"/>
              <w:bottom w:type="dxa" w:w="50"/>
              <w:right w:type="dxa" w:w="80"/>
            </w:tcMar>
            <w:vAlign w:val="center"/>
          </w:tcPr>
          <w:p>
            <w:pPr>
              <w:keepNext w:val="false"/>
              <w:spacing w:after="20" w:line="240"/>
              <w:jc w:val="left"/>
            </w:pPr>
            <w:r>
              <w:rPr>
                <w:sz w:val="17"/>
                <w:szCs w:val="17"/>
              </w:rPr>
              <w:t xml:space="preserve">Acceso de terceros, demanda de ensayo, gobernanza clara.</w:t>
            </w:r>
          </w:p>
        </w:tc>
        <w:tc>
          <w:tcPr>
            <w:tcW w:type="dxa" w:w="1890"/>
            <w:tcMar>
              <w:top w:type="dxa" w:w="50"/>
              <w:left w:type="dxa" w:w="80"/>
              <w:bottom w:type="dxa" w:w="50"/>
              <w:right w:type="dxa" w:w="80"/>
            </w:tcMar>
            <w:vAlign w:val="center"/>
          </w:tcPr>
          <w:p>
            <w:pPr>
              <w:keepNext w:val="false"/>
              <w:spacing w:after="20" w:line="240"/>
              <w:jc w:val="left"/>
            </w:pPr>
            <w:r>
              <w:rPr>
                <w:sz w:val="17"/>
                <w:szCs w:val="17"/>
              </w:rPr>
              <w:t xml:space="preserve">Sin reglamento de acceso; demanda civil no canalizada.</w:t>
            </w:r>
          </w:p>
        </w:tc>
        <w:tc>
          <w:tcPr>
            <w:tcW w:type="dxa" w:w="1710"/>
            <w:tcMar>
              <w:top w:type="dxa" w:w="50"/>
              <w:left w:type="dxa" w:w="80"/>
              <w:bottom w:type="dxa" w:w="50"/>
              <w:right w:type="dxa" w:w="80"/>
            </w:tcMar>
            <w:vAlign w:val="center"/>
          </w:tcPr>
          <w:p>
            <w:pPr>
              <w:keepNext w:val="false"/>
              <w:spacing w:after="20" w:line="240"/>
              <w:jc w:val="left"/>
            </w:pPr>
            <w:r>
              <w:rPr>
                <w:sz w:val="17"/>
                <w:szCs w:val="17"/>
              </w:rPr>
              <w:t xml:space="preserve">Habilitar el uso de la cámara para pruebas de terceros.</w:t>
            </w:r>
          </w:p>
        </w:tc>
        <w:tc>
          <w:tcPr>
            <w:tcW w:type="dxa" w:w="540"/>
            <w:tcMar>
              <w:top w:type="dxa" w:w="50"/>
              <w:left w:type="dxa" w:w="80"/>
              <w:bottom w:type="dxa" w:w="50"/>
              <w:right w:type="dxa" w:w="80"/>
            </w:tcMar>
            <w:vAlign w:val="center"/>
          </w:tcPr>
          <w:p>
            <w:pPr>
              <w:keepNext w:val="false"/>
              <w:spacing w:after="20" w:line="240"/>
              <w:jc w:val="center"/>
            </w:pPr>
            <w:r>
              <w:rPr>
                <w:sz w:val="17"/>
                <w:szCs w:val="17"/>
              </w:rPr>
              <w:t xml:space="preserve">1</w:t>
            </w:r>
          </w:p>
        </w:tc>
        <w:tc>
          <w:tcPr>
            <w:tcW w:type="dxa" w:w="1350"/>
            <w:shd w:fill="FFF2CC" w:color="auto" w:val="clear"/>
            <w:tcMar>
              <w:top w:type="dxa" w:w="50"/>
              <w:left w:type="dxa" w:w="80"/>
              <w:bottom w:type="dxa" w:w="50"/>
              <w:right w:type="dxa" w:w="80"/>
            </w:tcMar>
            <w:vAlign w:val="center"/>
          </w:tcPr>
          <w:p>
            <w:pPr>
              <w:keepNext w:val="false"/>
              <w:spacing w:after="20" w:line="240"/>
              <w:jc w:val="center"/>
            </w:pPr>
            <w:r>
              <w:rPr>
                <w:b/>
                <w:bCs/>
                <w:sz w:val="17"/>
                <w:szCs w:val="17"/>
              </w:rPr>
              <w:t xml:space="preserve">Media-alta</w:t>
            </w:r>
          </w:p>
        </w:tc>
        <w:tc>
          <w:tcPr>
            <w:tcW w:type="dxa" w:w="630"/>
            <w:tcMar>
              <w:top w:type="dxa" w:w="50"/>
              <w:left w:type="dxa" w:w="80"/>
              <w:bottom w:type="dxa" w:w="50"/>
              <w:right w:type="dxa" w:w="80"/>
            </w:tcMar>
            <w:vAlign w:val="center"/>
          </w:tcPr>
          <w:p>
            <w:pPr>
              <w:keepNext w:val="false"/>
              <w:spacing w:after="20" w:line="240"/>
              <w:jc w:val="center"/>
            </w:pPr>
            <w:r>
              <w:rPr>
                <w:sz w:val="17"/>
                <w:szCs w:val="17"/>
              </w:rPr>
              <w:t xml:space="preserve">Baja</w:t>
            </w:r>
          </w:p>
        </w:tc>
      </w:tr>
      <w:tr>
        <w:trPr>
          <w:cantSplit/>
        </w:trPr>
        <w:tc>
          <w:tcPr>
            <w:tcW w:type="dxa" w:w="1170"/>
            <w:tcMar>
              <w:top w:type="dxa" w:w="50"/>
              <w:left w:type="dxa" w:w="80"/>
              <w:bottom w:type="dxa" w:w="50"/>
              <w:right w:type="dxa" w:w="80"/>
            </w:tcMar>
            <w:vAlign w:val="center"/>
          </w:tcPr>
          <w:p>
            <w:pPr>
              <w:keepNext w:val="false"/>
              <w:spacing w:after="20" w:line="240"/>
              <w:jc w:val="left"/>
            </w:pPr>
            <w:r>
              <w:rPr>
                <w:sz w:val="17"/>
                <w:szCs w:val="17"/>
              </w:rPr>
              <w:t xml:space="preserve">Control de misión</w:t>
            </w:r>
          </w:p>
        </w:tc>
        <w:tc>
          <w:tcPr>
            <w:tcW w:type="dxa" w:w="1710"/>
            <w:tcMar>
              <w:top w:type="dxa" w:w="50"/>
              <w:left w:type="dxa" w:w="80"/>
              <w:bottom w:type="dxa" w:w="50"/>
              <w:right w:type="dxa" w:w="80"/>
            </w:tcMar>
            <w:vAlign w:val="center"/>
          </w:tcPr>
          <w:p>
            <w:pPr>
              <w:keepNext w:val="false"/>
              <w:spacing w:after="20" w:line="240"/>
              <w:jc w:val="left"/>
            </w:pPr>
            <w:r>
              <w:rPr>
                <w:sz w:val="17"/>
                <w:szCs w:val="17"/>
              </w:rPr>
              <w:t xml:space="preserve">Gobernanza interinstitucional, continuidad, vinculación con usuarios sectoriales.</w:t>
            </w:r>
          </w:p>
        </w:tc>
        <w:tc>
          <w:tcPr>
            <w:tcW w:type="dxa" w:w="1890"/>
            <w:tcMar>
              <w:top w:type="dxa" w:w="50"/>
              <w:left w:type="dxa" w:w="80"/>
              <w:bottom w:type="dxa" w:w="50"/>
              <w:right w:type="dxa" w:w="80"/>
            </w:tcMar>
            <w:vAlign w:val="center"/>
          </w:tcPr>
          <w:p>
            <w:pPr>
              <w:keepNext w:val="false"/>
              <w:spacing w:after="20" w:line="240"/>
              <w:jc w:val="left"/>
            </w:pPr>
            <w:r>
              <w:rPr>
                <w:sz w:val="17"/>
                <w:szCs w:val="17"/>
              </w:rPr>
              <w:t xml:space="preserve">Operación demostrada (Salitre 2026); sin articulación formal civil.</w:t>
            </w:r>
          </w:p>
        </w:tc>
        <w:tc>
          <w:tcPr>
            <w:tcW w:type="dxa" w:w="1710"/>
            <w:tcMar>
              <w:top w:type="dxa" w:w="50"/>
              <w:left w:type="dxa" w:w="80"/>
              <w:bottom w:type="dxa" w:w="50"/>
              <w:right w:type="dxa" w:w="80"/>
            </w:tcMar>
            <w:vAlign w:val="center"/>
          </w:tcPr>
          <w:p>
            <w:pPr>
              <w:keepNext w:val="false"/>
              <w:spacing w:after="20" w:line="240"/>
              <w:jc w:val="left"/>
            </w:pPr>
            <w:r>
              <w:rPr>
                <w:sz w:val="17"/>
                <w:szCs w:val="17"/>
              </w:rPr>
              <w:t xml:space="preserve">Pasar de la operación interna a un servicio con beneficiarios múltiples.</w:t>
            </w:r>
          </w:p>
        </w:tc>
        <w:tc>
          <w:tcPr>
            <w:tcW w:type="dxa" w:w="540"/>
            <w:tcMar>
              <w:top w:type="dxa" w:w="50"/>
              <w:left w:type="dxa" w:w="80"/>
              <w:bottom w:type="dxa" w:w="50"/>
              <w:right w:type="dxa" w:w="80"/>
            </w:tcMar>
            <w:vAlign w:val="center"/>
          </w:tcPr>
          <w:p>
            <w:pPr>
              <w:keepNext w:val="false"/>
              <w:spacing w:after="20" w:line="240"/>
              <w:jc w:val="center"/>
            </w:pPr>
            <w:r>
              <w:rPr>
                <w:sz w:val="17"/>
                <w:szCs w:val="17"/>
              </w:rPr>
              <w:t xml:space="preserve">2</w:t>
            </w:r>
          </w:p>
        </w:tc>
        <w:tc>
          <w:tcPr>
            <w:tcW w:type="dxa" w:w="1350"/>
            <w:shd w:fill="F8CBAD" w:color="auto" w:val="clear"/>
            <w:tcMar>
              <w:top w:type="dxa" w:w="50"/>
              <w:left w:type="dxa" w:w="80"/>
              <w:bottom w:type="dxa" w:w="50"/>
              <w:right w:type="dxa" w:w="80"/>
            </w:tcMar>
            <w:vAlign w:val="center"/>
          </w:tcPr>
          <w:p>
            <w:pPr>
              <w:keepNext w:val="false"/>
              <w:spacing w:after="20" w:line="240"/>
              <w:jc w:val="center"/>
            </w:pPr>
            <w:r>
              <w:rPr>
                <w:b/>
                <w:bCs/>
                <w:sz w:val="17"/>
                <w:szCs w:val="17"/>
              </w:rPr>
              <w:t xml:space="preserve">Alta</w:t>
            </w:r>
          </w:p>
        </w:tc>
        <w:tc>
          <w:tcPr>
            <w:tcW w:type="dxa" w:w="630"/>
            <w:tcMar>
              <w:top w:type="dxa" w:w="50"/>
              <w:left w:type="dxa" w:w="80"/>
              <w:bottom w:type="dxa" w:w="50"/>
              <w:right w:type="dxa" w:w="80"/>
            </w:tcMar>
            <w:vAlign w:val="center"/>
          </w:tcPr>
          <w:p>
            <w:pPr>
              <w:keepNext w:val="false"/>
              <w:spacing w:after="20" w:line="240"/>
              <w:jc w:val="center"/>
            </w:pPr>
            <w:r>
              <w:rPr>
                <w:sz w:val="17"/>
                <w:szCs w:val="17"/>
              </w:rPr>
              <w:t xml:space="preserve">Media</w:t>
            </w:r>
          </w:p>
        </w:tc>
      </w:tr>
      <w:tr>
        <w:trPr>
          <w:cantSplit/>
        </w:trPr>
        <w:tc>
          <w:tcPr>
            <w:tcW w:type="dxa" w:w="1170"/>
            <w:tcMar>
              <w:top w:type="dxa" w:w="50"/>
              <w:left w:type="dxa" w:w="80"/>
              <w:bottom w:type="dxa" w:w="50"/>
              <w:right w:type="dxa" w:w="80"/>
            </w:tcMar>
            <w:vAlign w:val="center"/>
          </w:tcPr>
          <w:p>
            <w:pPr>
              <w:keepNext w:val="false"/>
              <w:spacing w:after="20" w:line="240"/>
              <w:jc w:val="left"/>
            </w:pPr>
            <w:r>
              <w:rPr>
                <w:sz w:val="17"/>
                <w:szCs w:val="17"/>
              </w:rPr>
              <w:t xml:space="preserve">Datos satelitales y procesamiento (HPC)</w:t>
            </w:r>
          </w:p>
        </w:tc>
        <w:tc>
          <w:tcPr>
            <w:tcW w:type="dxa" w:w="1710"/>
            <w:tcMar>
              <w:top w:type="dxa" w:w="50"/>
              <w:left w:type="dxa" w:w="80"/>
              <w:bottom w:type="dxa" w:w="50"/>
              <w:right w:type="dxa" w:w="80"/>
            </w:tcMar>
            <w:vAlign w:val="center"/>
          </w:tcPr>
          <w:p>
            <w:pPr>
              <w:keepNext w:val="false"/>
              <w:spacing w:after="20" w:line="240"/>
              <w:jc w:val="left"/>
            </w:pPr>
            <w:r>
              <w:rPr>
                <w:sz w:val="17"/>
                <w:szCs w:val="17"/>
              </w:rPr>
              <w:t xml:space="preserve">Acceso regulado, casos de uso, origen de datos definido, talento, demanda activa.</w:t>
            </w:r>
          </w:p>
        </w:tc>
        <w:tc>
          <w:tcPr>
            <w:tcW w:type="dxa" w:w="1890"/>
            <w:tcMar>
              <w:top w:type="dxa" w:w="50"/>
              <w:left w:type="dxa" w:w="80"/>
              <w:bottom w:type="dxa" w:w="50"/>
              <w:right w:type="dxa" w:w="80"/>
            </w:tcMar>
            <w:vAlign w:val="center"/>
          </w:tcPr>
          <w:p>
            <w:pPr>
              <w:keepNext w:val="false"/>
              <w:spacing w:after="20" w:line="240"/>
              <w:jc w:val="left"/>
            </w:pPr>
            <w:r>
              <w:rPr>
                <w:sz w:val="17"/>
                <w:szCs w:val="17"/>
              </w:rPr>
              <w:t xml:space="preserve">Capacidad declarada alta; según las fuentes revisadas, no se identifica una vía formal de acceso para actores externos; sin usuarios civiles documentados.</w:t>
            </w:r>
          </w:p>
        </w:tc>
        <w:tc>
          <w:tcPr>
            <w:tcW w:type="dxa" w:w="1710"/>
            <w:tcMar>
              <w:top w:type="dxa" w:w="50"/>
              <w:left w:type="dxa" w:w="80"/>
              <w:bottom w:type="dxa" w:w="50"/>
              <w:right w:type="dxa" w:w="80"/>
            </w:tcMar>
            <w:vAlign w:val="center"/>
          </w:tcPr>
          <w:p>
            <w:pPr>
              <w:keepNext w:val="false"/>
              <w:spacing w:after="20" w:line="240"/>
              <w:jc w:val="left"/>
            </w:pPr>
            <w:r>
              <w:rPr>
                <w:sz w:val="17"/>
                <w:szCs w:val="17"/>
              </w:rPr>
              <w:t xml:space="preserve">Capacidad potente sin camino de acceso; demanda real no levantada (H1).</w:t>
            </w:r>
          </w:p>
        </w:tc>
        <w:tc>
          <w:tcPr>
            <w:tcW w:type="dxa" w:w="540"/>
            <w:tcMar>
              <w:top w:type="dxa" w:w="50"/>
              <w:left w:type="dxa" w:w="80"/>
              <w:bottom w:type="dxa" w:w="50"/>
              <w:right w:type="dxa" w:w="80"/>
            </w:tcMar>
            <w:vAlign w:val="center"/>
          </w:tcPr>
          <w:p>
            <w:pPr>
              <w:keepNext w:val="false"/>
              <w:spacing w:after="20" w:line="240"/>
              <w:jc w:val="center"/>
            </w:pPr>
            <w:r>
              <w:rPr>
                <w:sz w:val="17"/>
                <w:szCs w:val="17"/>
              </w:rPr>
              <w:t xml:space="preserve">1</w:t>
            </w:r>
          </w:p>
        </w:tc>
        <w:tc>
          <w:tcPr>
            <w:tcW w:type="dxa" w:w="1350"/>
            <w:shd w:fill="F8CBAD" w:color="auto" w:val="clear"/>
            <w:tcMar>
              <w:top w:type="dxa" w:w="50"/>
              <w:left w:type="dxa" w:w="80"/>
              <w:bottom w:type="dxa" w:w="50"/>
              <w:right w:type="dxa" w:w="80"/>
            </w:tcMar>
            <w:vAlign w:val="center"/>
          </w:tcPr>
          <w:p>
            <w:pPr>
              <w:keepNext w:val="false"/>
              <w:spacing w:after="20" w:line="240"/>
              <w:jc w:val="center"/>
            </w:pPr>
            <w:r>
              <w:rPr>
                <w:b/>
                <w:bCs/>
                <w:sz w:val="17"/>
                <w:szCs w:val="17"/>
              </w:rPr>
              <w:t xml:space="preserve">Crítica (H1)</w:t>
            </w:r>
          </w:p>
        </w:tc>
        <w:tc>
          <w:tcPr>
            <w:tcW w:type="dxa" w:w="630"/>
            <w:tcMar>
              <w:top w:type="dxa" w:w="50"/>
              <w:left w:type="dxa" w:w="80"/>
              <w:bottom w:type="dxa" w:w="50"/>
              <w:right w:type="dxa" w:w="80"/>
            </w:tcMar>
            <w:vAlign w:val="center"/>
          </w:tcPr>
          <w:p>
            <w:pPr>
              <w:keepNext w:val="false"/>
              <w:spacing w:after="20" w:line="240"/>
              <w:jc w:val="center"/>
            </w:pPr>
            <w:r>
              <w:rPr>
                <w:sz w:val="17"/>
                <w:szCs w:val="17"/>
              </w:rPr>
              <w:t xml:space="preserve">Baja</w:t>
            </w:r>
          </w:p>
        </w:tc>
      </w:tr>
      <w:tr>
        <w:trPr>
          <w:cantSplit/>
        </w:trPr>
        <w:tc>
          <w:tcPr>
            <w:tcW w:type="dxa" w:w="1170"/>
            <w:tcMar>
              <w:top w:type="dxa" w:w="50"/>
              <w:left w:type="dxa" w:w="80"/>
              <w:bottom w:type="dxa" w:w="50"/>
              <w:right w:type="dxa" w:w="80"/>
            </w:tcMar>
            <w:vAlign w:val="center"/>
          </w:tcPr>
          <w:p>
            <w:pPr>
              <w:keepNext w:val="false"/>
              <w:spacing w:after="20" w:line="240"/>
              <w:jc w:val="left"/>
            </w:pPr>
            <w:r>
              <w:rPr>
                <w:sz w:val="17"/>
                <w:szCs w:val="17"/>
              </w:rPr>
              <w:t xml:space="preserve">Formación de personal</w:t>
            </w:r>
          </w:p>
        </w:tc>
        <w:tc>
          <w:tcPr>
            <w:tcW w:type="dxa" w:w="1710"/>
            <w:tcMar>
              <w:top w:type="dxa" w:w="50"/>
              <w:left w:type="dxa" w:w="80"/>
              <w:bottom w:type="dxa" w:w="50"/>
              <w:right w:type="dxa" w:w="80"/>
            </w:tcMar>
            <w:vAlign w:val="center"/>
          </w:tcPr>
          <w:p>
            <w:pPr>
              <w:keepNext w:val="false"/>
              <w:spacing w:after="20" w:line="240"/>
              <w:jc w:val="left"/>
            </w:pPr>
            <w:r>
              <w:rPr>
                <w:sz w:val="17"/>
                <w:szCs w:val="17"/>
              </w:rPr>
              <w:t xml:space="preserve">Articulación con universidades, programa estructurado, retención.</w:t>
            </w:r>
          </w:p>
        </w:tc>
        <w:tc>
          <w:tcPr>
            <w:tcW w:type="dxa" w:w="1890"/>
            <w:tcMar>
              <w:top w:type="dxa" w:w="50"/>
              <w:left w:type="dxa" w:w="80"/>
              <w:bottom w:type="dxa" w:w="50"/>
              <w:right w:type="dxa" w:w="80"/>
            </w:tcMar>
            <w:vAlign w:val="center"/>
          </w:tcPr>
          <w:p>
            <w:pPr>
              <w:keepNext w:val="false"/>
              <w:spacing w:after="20" w:line="240"/>
              <w:jc w:val="left"/>
            </w:pPr>
            <w:r>
              <w:rPr>
                <w:sz w:val="17"/>
                <w:szCs w:val="17"/>
              </w:rPr>
              <w:t xml:space="preserve">Capacitación interna iniciada; sin vínculo académico formal.</w:t>
            </w:r>
          </w:p>
        </w:tc>
        <w:tc>
          <w:tcPr>
            <w:tcW w:type="dxa" w:w="1710"/>
            <w:tcMar>
              <w:top w:type="dxa" w:w="50"/>
              <w:left w:type="dxa" w:w="80"/>
              <w:bottom w:type="dxa" w:w="50"/>
              <w:right w:type="dxa" w:w="80"/>
            </w:tcMar>
            <w:vAlign w:val="center"/>
          </w:tcPr>
          <w:p>
            <w:pPr>
              <w:keepNext w:val="false"/>
              <w:spacing w:after="20" w:line="240"/>
              <w:jc w:val="left"/>
            </w:pPr>
            <w:r>
              <w:rPr>
                <w:sz w:val="17"/>
                <w:szCs w:val="17"/>
              </w:rPr>
              <w:t xml:space="preserve">Crear un programa abierto de formación vinculado a la academia.</w:t>
            </w:r>
          </w:p>
        </w:tc>
        <w:tc>
          <w:tcPr>
            <w:tcW w:type="dxa" w:w="540"/>
            <w:tcMar>
              <w:top w:type="dxa" w:w="50"/>
              <w:left w:type="dxa" w:w="80"/>
              <w:bottom w:type="dxa" w:w="50"/>
              <w:right w:type="dxa" w:w="80"/>
            </w:tcMar>
            <w:vAlign w:val="center"/>
          </w:tcPr>
          <w:p>
            <w:pPr>
              <w:keepNext w:val="false"/>
              <w:spacing w:after="20" w:line="240"/>
              <w:jc w:val="center"/>
            </w:pPr>
            <w:r>
              <w:rPr>
                <w:sz w:val="17"/>
                <w:szCs w:val="17"/>
              </w:rPr>
              <w:t xml:space="preserve">1</w:t>
            </w:r>
          </w:p>
        </w:tc>
        <w:tc>
          <w:tcPr>
            <w:tcW w:type="dxa" w:w="1350"/>
            <w:shd w:fill="FFF2CC" w:color="auto" w:val="clear"/>
            <w:tcMar>
              <w:top w:type="dxa" w:w="50"/>
              <w:left w:type="dxa" w:w="80"/>
              <w:bottom w:type="dxa" w:w="50"/>
              <w:right w:type="dxa" w:w="80"/>
            </w:tcMar>
            <w:vAlign w:val="center"/>
          </w:tcPr>
          <w:p>
            <w:pPr>
              <w:keepNext w:val="false"/>
              <w:spacing w:after="20" w:line="240"/>
              <w:jc w:val="center"/>
            </w:pPr>
            <w:r>
              <w:rPr>
                <w:b/>
                <w:bCs/>
                <w:sz w:val="17"/>
                <w:szCs w:val="17"/>
              </w:rPr>
              <w:t xml:space="preserve">Media</w:t>
            </w:r>
          </w:p>
        </w:tc>
        <w:tc>
          <w:tcPr>
            <w:tcW w:type="dxa" w:w="630"/>
            <w:tcMar>
              <w:top w:type="dxa" w:w="50"/>
              <w:left w:type="dxa" w:w="80"/>
              <w:bottom w:type="dxa" w:w="50"/>
              <w:right w:type="dxa" w:w="80"/>
            </w:tcMar>
            <w:vAlign w:val="center"/>
          </w:tcPr>
          <w:p>
            <w:pPr>
              <w:keepNext w:val="false"/>
              <w:spacing w:after="20" w:line="240"/>
              <w:jc w:val="center"/>
            </w:pPr>
            <w:r>
              <w:rPr>
                <w:sz w:val="17"/>
                <w:szCs w:val="17"/>
              </w:rPr>
              <w:t xml:space="preserve">Media</w:t>
            </w:r>
          </w:p>
        </w:tc>
      </w:tr>
    </w:tbl>
    <w:p>
      <w:pPr>
        <w:spacing w:after="200" w:before="60"/>
        <w:jc w:val="center"/>
      </w:pPr>
      <w:r>
        <w:rPr>
          <w:i/>
          <w:iCs/>
          <w:sz w:val="17"/>
          <w:szCs w:val="17"/>
        </w:rPr>
        <w:t xml:space="preserve">Fuente: Elaboración propia.</w:t>
      </w:r>
    </w:p>
    <w:p>
      <w:pPr>
        <w:spacing w:after="140" w:line="300"/>
        <w:jc w:val="both"/>
      </w:pPr>
      <w:r>
        <w:t xml:space="preserve">La brecha de mayor potencial, aunque de menor respaldo documental, no está en lo que falta construir sino en lo que ya existe pero, según las fuentes, no puede usarse. Dado que el país ya dispone de cómputo de alto rendimiento abierto a la comunidad científica (NLHPC, 2024), el valor diferencial del CEN probablemente no resida en el cómputo en sí, sino en el acceso a datos satelitales propios, a su tasking y a su soberanía (H2). Por ello, la brecha prioritaria se formula como la ausencia de una vía formal de acceso a esos datos y a su procesamiento por parte de actores civiles. Esta lectura es una hipótesis prioritaria con confianza baja (H1): su confirmación requiere verificar el origen de los datos, la capacidad efectiva del equipamiento y la demanda real.</w:t>
      </w:r>
    </w:p>
    <w:p>
      <w:pPr>
        <w:spacing w:after="140" w:line="300"/>
        <w:jc w:val="both"/>
      </w:pPr>
      <w:r>
        <w:t xml:space="preserve">Lo anterior se sintetiza en las siguientes afirmaciones:</w:t>
      </w:r>
    </w:p>
    <w:p>
      <w:pPr>
        <w:pStyle w:val="ListParagraph"/>
        <w:numPr>
          <w:ilvl w:val="0"/>
          <w:numId w:val="2"/>
        </w:numPr>
        <w:spacing w:after="80" w:line="290"/>
        <w:jc w:val="both"/>
      </w:pPr>
      <w:r>
        <w:t xml:space="preserve">Las barreras centrales para el aprovechamiento son institucionales, normativas y de conocimiento, seguidas por las financieras. En lo tecnológico, el CEN cuenta con infraestructura declarada relevante, pero su madurez operativa es aún incipiente: salvo el control de misión, ninguna capacidad registra uso regular. La escala de madurez mide la preparación del CEN para el aprovechamiento de sus capacidades por el ecosistema, objeto de este estudio, y no su desempeño frente al mandato institucional para el que fue creado; que un centro de pocos meses se ubique mayoritariamente en el nivel 1 es, por tanto, esperable.</w:t>
      </w:r>
    </w:p>
    <w:p>
      <w:pPr>
        <w:pStyle w:val="ListParagraph"/>
        <w:numPr>
          <w:ilvl w:val="0"/>
          <w:numId w:val="2"/>
        </w:numPr>
        <w:spacing w:after="80" w:line="290"/>
        <w:jc w:val="both"/>
      </w:pPr>
      <w:r>
        <w:t xml:space="preserve">La mayor brecha identificada, a verificar, está en el acceso a los datos satelitales propios del CEN y a su procesamiento: una capacidad de alto potencial productivo que opera sin usuarios civiles ni mecanismos de acceso, cuyo valor real depende de precisar el origen de los datos y la demanda.</w:t>
      </w:r>
    </w:p>
    <w:p>
      <w:pPr>
        <w:spacing w:after="140" w:line="300"/>
        <w:jc w:val="both"/>
      </w:pPr>
      <w:r>
        <w:t xml:space="preserve">La Tabla 22 cierra el capítulo cruzando barreras, factores críticos y los objetivos donde se profundizarán.</w:t>
      </w:r>
    </w:p>
    <w:p>
      <w:pPr>
        <w:pStyle w:val="Caption"/>
        <w:keepNext/>
        <w:spacing w:after="80" w:before="200"/>
        <w:jc w:val="center"/>
      </w:pPr>
      <w:r>
        <w:rPr>
          <w:b/>
          <w:bCs/>
        </w:rPr>
        <w:t xml:space="preserve">Tabla </w:t>
      </w:r>
      <w:fldSimple w:instr="SEQ Tabla \* ARABIC">
        <w:r>
          <w:t xml:space="preserve">22</w:t>
        </w:r>
      </w:fldSimple>
      <w:r>
        <w:rPr>
          <w:b/>
          <w:bCs/>
        </w:rPr>
        <w:t xml:space="preserve">. Trazabilidad entre barreras, factores críticos de éxito y objetivos específicos</w:t>
      </w:r>
    </w:p>
    <w:tbl>
      <w:tblPr>
        <w:tblW w:type="dxa" w:w="9000"/>
        <w:tblBorders>
          <w:top w:val="single" w:color="A6A6A6" w:sz="4"/>
          <w:left w:val="single" w:color="A6A6A6" w:sz="4"/>
          <w:bottom w:val="single" w:color="A6A6A6" w:sz="4"/>
          <w:right w:val="single" w:color="A6A6A6" w:sz="4"/>
          <w:insideH w:val="single" w:color="A6A6A6" w:sz="4"/>
          <w:insideV w:val="single" w:color="A6A6A6" w:sz="4"/>
        </w:tblBorders>
      </w:tblPr>
      <w:tblGrid>
        <w:gridCol w:w="1980"/>
        <w:gridCol w:w="810"/>
        <w:gridCol w:w="1170"/>
        <w:gridCol w:w="1260"/>
        <w:gridCol w:w="3780"/>
      </w:tblGrid>
      <w:tr>
        <w:trPr>
          <w:cantSplit/>
          <w:tblHeader/>
        </w:trPr>
        <w:tc>
          <w:tcPr>
            <w:tcW w:type="dxa" w:w="198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Barrera (OE2)</w:t>
            </w:r>
          </w:p>
        </w:tc>
        <w:tc>
          <w:tcPr>
            <w:tcW w:type="dxa" w:w="81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FCE</w:t>
            </w:r>
          </w:p>
        </w:tc>
        <w:tc>
          <w:tcPr>
            <w:tcW w:type="dxa" w:w="117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Dimensión (1.2.5)</w:t>
            </w:r>
          </w:p>
        </w:tc>
        <w:tc>
          <w:tcPr>
            <w:tcW w:type="dxa" w:w="126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Se profundiza en</w:t>
            </w:r>
          </w:p>
        </w:tc>
        <w:tc>
          <w:tcPr>
            <w:tcW w:type="dxa" w:w="378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Hipótesis de lineamiento (a contrastar)</w:t>
            </w:r>
          </w:p>
        </w:tc>
      </w:tr>
      <w:tr>
        <w:trPr>
          <w:cantSplit/>
        </w:trPr>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B1 Coordinación dispersa / sin agencia civil</w:t>
            </w:r>
          </w:p>
        </w:tc>
        <w:tc>
          <w:tcPr>
            <w:tcW w:type="dxa" w:w="810"/>
            <w:tcMar>
              <w:top w:type="dxa" w:w="50"/>
              <w:left w:type="dxa" w:w="80"/>
              <w:bottom w:type="dxa" w:w="50"/>
              <w:right w:type="dxa" w:w="80"/>
            </w:tcMar>
            <w:vAlign w:val="center"/>
          </w:tcPr>
          <w:p>
            <w:pPr>
              <w:keepNext w:val="false"/>
              <w:spacing w:after="20" w:line="240"/>
              <w:jc w:val="left"/>
            </w:pPr>
            <w:r>
              <w:rPr>
                <w:sz w:val="17"/>
                <w:szCs w:val="17"/>
              </w:rPr>
              <w:t xml:space="preserve">FCE 1</w:t>
            </w:r>
          </w:p>
        </w:tc>
        <w:tc>
          <w:tcPr>
            <w:tcW w:type="dxa" w:w="1170"/>
            <w:tcMar>
              <w:top w:type="dxa" w:w="50"/>
              <w:left w:type="dxa" w:w="80"/>
              <w:bottom w:type="dxa" w:w="50"/>
              <w:right w:type="dxa" w:w="80"/>
            </w:tcMar>
            <w:vAlign w:val="center"/>
          </w:tcPr>
          <w:p>
            <w:pPr>
              <w:keepNext w:val="false"/>
              <w:spacing w:after="20" w:line="240"/>
              <w:jc w:val="left"/>
            </w:pPr>
            <w:r>
              <w:rPr>
                <w:sz w:val="17"/>
                <w:szCs w:val="17"/>
              </w:rPr>
              <w:t xml:space="preserve">Transversal (D1-D4)</w:t>
            </w:r>
          </w:p>
        </w:tc>
        <w:tc>
          <w:tcPr>
            <w:tcW w:type="dxa" w:w="1260"/>
            <w:tcMar>
              <w:top w:type="dxa" w:w="50"/>
              <w:left w:type="dxa" w:w="80"/>
              <w:bottom w:type="dxa" w:w="50"/>
              <w:right w:type="dxa" w:w="80"/>
            </w:tcMar>
            <w:vAlign w:val="center"/>
          </w:tcPr>
          <w:p>
            <w:pPr>
              <w:keepNext w:val="false"/>
              <w:spacing w:after="20" w:line="240"/>
              <w:jc w:val="left"/>
            </w:pPr>
            <w:r>
              <w:rPr>
                <w:sz w:val="17"/>
                <w:szCs w:val="17"/>
              </w:rPr>
              <w:t xml:space="preserve">OE3 y OE4</w:t>
            </w:r>
          </w:p>
        </w:tc>
        <w:tc>
          <w:tcPr>
            <w:tcW w:type="dxa" w:w="3780"/>
            <w:tcMar>
              <w:top w:type="dxa" w:w="50"/>
              <w:left w:type="dxa" w:w="80"/>
              <w:bottom w:type="dxa" w:w="50"/>
              <w:right w:type="dxa" w:w="80"/>
            </w:tcMar>
            <w:vAlign w:val="center"/>
          </w:tcPr>
          <w:p>
            <w:pPr>
              <w:keepNext w:val="false"/>
              <w:spacing w:after="20" w:line="240"/>
              <w:jc w:val="left"/>
            </w:pPr>
            <w:r>
              <w:rPr>
                <w:sz w:val="17"/>
                <w:szCs w:val="17"/>
              </w:rPr>
              <w:t xml:space="preserve">Comparar modelos internacionales; explorar un mecanismo de gobernanza.</w:t>
            </w:r>
          </w:p>
        </w:tc>
      </w:tr>
      <w:tr>
        <w:trPr>
          <w:cantSplit/>
        </w:trPr>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B3 Conocimiento concentrado en la FACh</w:t>
            </w:r>
          </w:p>
        </w:tc>
        <w:tc>
          <w:tcPr>
            <w:tcW w:type="dxa" w:w="810"/>
            <w:tcMar>
              <w:top w:type="dxa" w:w="50"/>
              <w:left w:type="dxa" w:w="80"/>
              <w:bottom w:type="dxa" w:w="50"/>
              <w:right w:type="dxa" w:w="80"/>
            </w:tcMar>
            <w:vAlign w:val="center"/>
          </w:tcPr>
          <w:p>
            <w:pPr>
              <w:keepNext w:val="false"/>
              <w:spacing w:after="20" w:line="240"/>
              <w:jc w:val="left"/>
            </w:pPr>
            <w:r>
              <w:rPr>
                <w:sz w:val="17"/>
                <w:szCs w:val="17"/>
              </w:rPr>
              <w:t xml:space="preserve">FCE 2 y 5</w:t>
            </w:r>
          </w:p>
        </w:tc>
        <w:tc>
          <w:tcPr>
            <w:tcW w:type="dxa" w:w="1170"/>
            <w:tcMar>
              <w:top w:type="dxa" w:w="50"/>
              <w:left w:type="dxa" w:w="80"/>
              <w:bottom w:type="dxa" w:w="50"/>
              <w:right w:type="dxa" w:w="80"/>
            </w:tcMar>
            <w:vAlign w:val="center"/>
          </w:tcPr>
          <w:p>
            <w:pPr>
              <w:keepNext w:val="false"/>
              <w:spacing w:after="20" w:line="240"/>
              <w:jc w:val="left"/>
            </w:pPr>
            <w:r>
              <w:rPr>
                <w:sz w:val="17"/>
                <w:szCs w:val="17"/>
              </w:rPr>
              <w:t xml:space="preserve">D3</w:t>
            </w:r>
          </w:p>
        </w:tc>
        <w:tc>
          <w:tcPr>
            <w:tcW w:type="dxa" w:w="1260"/>
            <w:tcMar>
              <w:top w:type="dxa" w:w="50"/>
              <w:left w:type="dxa" w:w="80"/>
              <w:bottom w:type="dxa" w:w="50"/>
              <w:right w:type="dxa" w:w="80"/>
            </w:tcMar>
            <w:vAlign w:val="center"/>
          </w:tcPr>
          <w:p>
            <w:pPr>
              <w:keepNext w:val="false"/>
              <w:spacing w:after="20" w:line="240"/>
              <w:jc w:val="left"/>
            </w:pPr>
            <w:r>
              <w:rPr>
                <w:sz w:val="17"/>
                <w:szCs w:val="17"/>
              </w:rPr>
              <w:t xml:space="preserve">OE4</w:t>
            </w:r>
          </w:p>
        </w:tc>
        <w:tc>
          <w:tcPr>
            <w:tcW w:type="dxa" w:w="3780"/>
            <w:tcMar>
              <w:top w:type="dxa" w:w="50"/>
              <w:left w:type="dxa" w:w="80"/>
              <w:bottom w:type="dxa" w:w="50"/>
              <w:right w:type="dxa" w:w="80"/>
            </w:tcMar>
            <w:vAlign w:val="center"/>
          </w:tcPr>
          <w:p>
            <w:pPr>
              <w:keepNext w:val="false"/>
              <w:spacing w:after="20" w:line="240"/>
              <w:jc w:val="left"/>
            </w:pPr>
            <w:r>
              <w:rPr>
                <w:sz w:val="17"/>
                <w:szCs w:val="17"/>
              </w:rPr>
              <w:t xml:space="preserve">Diseñar programa de transferencia y vínculo con academia.</w:t>
            </w:r>
          </w:p>
        </w:tc>
      </w:tr>
      <w:tr>
        <w:trPr>
          <w:cantSplit/>
        </w:trPr>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B2, B7 Acceso de terceros no reglado; uso dual</w:t>
            </w:r>
          </w:p>
        </w:tc>
        <w:tc>
          <w:tcPr>
            <w:tcW w:type="dxa" w:w="810"/>
            <w:tcMar>
              <w:top w:type="dxa" w:w="50"/>
              <w:left w:type="dxa" w:w="80"/>
              <w:bottom w:type="dxa" w:w="50"/>
              <w:right w:type="dxa" w:w="80"/>
            </w:tcMar>
            <w:vAlign w:val="center"/>
          </w:tcPr>
          <w:p>
            <w:pPr>
              <w:keepNext w:val="false"/>
              <w:spacing w:after="20" w:line="240"/>
              <w:jc w:val="left"/>
            </w:pPr>
            <w:r>
              <w:rPr>
                <w:sz w:val="17"/>
                <w:szCs w:val="17"/>
              </w:rPr>
              <w:t xml:space="preserve">FCE 3</w:t>
            </w:r>
          </w:p>
        </w:tc>
        <w:tc>
          <w:tcPr>
            <w:tcW w:type="dxa" w:w="1170"/>
            <w:tcMar>
              <w:top w:type="dxa" w:w="50"/>
              <w:left w:type="dxa" w:w="80"/>
              <w:bottom w:type="dxa" w:w="50"/>
              <w:right w:type="dxa" w:w="80"/>
            </w:tcMar>
            <w:vAlign w:val="center"/>
          </w:tcPr>
          <w:p>
            <w:pPr>
              <w:keepNext w:val="false"/>
              <w:spacing w:after="20" w:line="240"/>
              <w:jc w:val="left"/>
            </w:pPr>
            <w:r>
              <w:rPr>
                <w:sz w:val="17"/>
                <w:szCs w:val="17"/>
              </w:rPr>
              <w:t xml:space="preserve">D2</w:t>
            </w:r>
          </w:p>
        </w:tc>
        <w:tc>
          <w:tcPr>
            <w:tcW w:type="dxa" w:w="1260"/>
            <w:tcMar>
              <w:top w:type="dxa" w:w="50"/>
              <w:left w:type="dxa" w:w="80"/>
              <w:bottom w:type="dxa" w:w="50"/>
              <w:right w:type="dxa" w:w="80"/>
            </w:tcMar>
            <w:vAlign w:val="center"/>
          </w:tcPr>
          <w:p>
            <w:pPr>
              <w:keepNext w:val="false"/>
              <w:spacing w:after="20" w:line="240"/>
              <w:jc w:val="left"/>
            </w:pPr>
            <w:r>
              <w:rPr>
                <w:sz w:val="17"/>
                <w:szCs w:val="17"/>
              </w:rPr>
              <w:t xml:space="preserve">OE4 y OE5</w:t>
            </w:r>
          </w:p>
        </w:tc>
        <w:tc>
          <w:tcPr>
            <w:tcW w:type="dxa" w:w="3780"/>
            <w:tcMar>
              <w:top w:type="dxa" w:w="50"/>
              <w:left w:type="dxa" w:w="80"/>
              <w:bottom w:type="dxa" w:w="50"/>
              <w:right w:type="dxa" w:w="80"/>
            </w:tcMar>
            <w:vAlign w:val="center"/>
          </w:tcPr>
          <w:p>
            <w:pPr>
              <w:keepNext w:val="false"/>
              <w:spacing w:after="20" w:line="240"/>
              <w:jc w:val="left"/>
            </w:pPr>
            <w:r>
              <w:rPr>
                <w:sz w:val="17"/>
                <w:szCs w:val="17"/>
              </w:rPr>
              <w:t xml:space="preserve">Proponer un protocolo de acceso; validar con actores.</w:t>
            </w:r>
          </w:p>
        </w:tc>
      </w:tr>
      <w:tr>
        <w:trPr>
          <w:cantSplit/>
        </w:trPr>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B5 Dependencia del presupuesto fiscal</w:t>
            </w:r>
          </w:p>
        </w:tc>
        <w:tc>
          <w:tcPr>
            <w:tcW w:type="dxa" w:w="810"/>
            <w:tcMar>
              <w:top w:type="dxa" w:w="50"/>
              <w:left w:type="dxa" w:w="80"/>
              <w:bottom w:type="dxa" w:w="50"/>
              <w:right w:type="dxa" w:w="80"/>
            </w:tcMar>
            <w:vAlign w:val="center"/>
          </w:tcPr>
          <w:p>
            <w:pPr>
              <w:keepNext w:val="false"/>
              <w:spacing w:after="20" w:line="240"/>
              <w:jc w:val="left"/>
            </w:pPr>
            <w:r>
              <w:rPr>
                <w:sz w:val="17"/>
                <w:szCs w:val="17"/>
              </w:rPr>
              <w:t xml:space="preserve">FCE 4</w:t>
            </w:r>
          </w:p>
        </w:tc>
        <w:tc>
          <w:tcPr>
            <w:tcW w:type="dxa" w:w="1170"/>
            <w:tcMar>
              <w:top w:type="dxa" w:w="50"/>
              <w:left w:type="dxa" w:w="80"/>
              <w:bottom w:type="dxa" w:w="50"/>
              <w:right w:type="dxa" w:w="80"/>
            </w:tcMar>
            <w:vAlign w:val="center"/>
          </w:tcPr>
          <w:p>
            <w:pPr>
              <w:keepNext w:val="false"/>
              <w:spacing w:after="20" w:line="240"/>
              <w:jc w:val="left"/>
            </w:pPr>
            <w:r>
              <w:rPr>
                <w:sz w:val="17"/>
                <w:szCs w:val="17"/>
              </w:rPr>
              <w:t xml:space="preserve">D1 y D4</w:t>
            </w:r>
          </w:p>
        </w:tc>
        <w:tc>
          <w:tcPr>
            <w:tcW w:type="dxa" w:w="1260"/>
            <w:tcMar>
              <w:top w:type="dxa" w:w="50"/>
              <w:left w:type="dxa" w:w="80"/>
              <w:bottom w:type="dxa" w:w="50"/>
              <w:right w:type="dxa" w:w="80"/>
            </w:tcMar>
            <w:vAlign w:val="center"/>
          </w:tcPr>
          <w:p>
            <w:pPr>
              <w:keepNext w:val="false"/>
              <w:spacing w:after="20" w:line="240"/>
              <w:jc w:val="left"/>
            </w:pPr>
            <w:r>
              <w:rPr>
                <w:sz w:val="17"/>
                <w:szCs w:val="17"/>
              </w:rPr>
              <w:t xml:space="preserve">OE4</w:t>
            </w:r>
          </w:p>
        </w:tc>
        <w:tc>
          <w:tcPr>
            <w:tcW w:type="dxa" w:w="3780"/>
            <w:tcMar>
              <w:top w:type="dxa" w:w="50"/>
              <w:left w:type="dxa" w:w="80"/>
              <w:bottom w:type="dxa" w:w="50"/>
              <w:right w:type="dxa" w:w="80"/>
            </w:tcMar>
            <w:vAlign w:val="center"/>
          </w:tcPr>
          <w:p>
            <w:pPr>
              <w:keepNext w:val="false"/>
              <w:spacing w:after="20" w:line="240"/>
              <w:jc w:val="left"/>
            </w:pPr>
            <w:r>
              <w:rPr>
                <w:sz w:val="17"/>
                <w:szCs w:val="17"/>
              </w:rPr>
              <w:t xml:space="preserve">Evaluar modelos de financiamiento mixto.</w:t>
            </w:r>
          </w:p>
        </w:tc>
      </w:tr>
      <w:tr>
        <w:trPr>
          <w:cantSplit/>
        </w:trPr>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B2, B6 Subutilización del HPC / sin demanda canalizada</w:t>
            </w:r>
          </w:p>
        </w:tc>
        <w:tc>
          <w:tcPr>
            <w:tcW w:type="dxa" w:w="810"/>
            <w:tcMar>
              <w:top w:type="dxa" w:w="50"/>
              <w:left w:type="dxa" w:w="80"/>
              <w:bottom w:type="dxa" w:w="50"/>
              <w:right w:type="dxa" w:w="80"/>
            </w:tcMar>
            <w:vAlign w:val="center"/>
          </w:tcPr>
          <w:p>
            <w:pPr>
              <w:keepNext w:val="false"/>
              <w:spacing w:after="20" w:line="240"/>
              <w:jc w:val="left"/>
            </w:pPr>
            <w:r>
              <w:rPr>
                <w:sz w:val="17"/>
                <w:szCs w:val="17"/>
              </w:rPr>
              <w:t xml:space="preserve">FCE 6</w:t>
            </w:r>
          </w:p>
        </w:tc>
        <w:tc>
          <w:tcPr>
            <w:tcW w:type="dxa" w:w="1170"/>
            <w:tcMar>
              <w:top w:type="dxa" w:w="50"/>
              <w:left w:type="dxa" w:w="80"/>
              <w:bottom w:type="dxa" w:w="50"/>
              <w:right w:type="dxa" w:w="80"/>
            </w:tcMar>
            <w:vAlign w:val="center"/>
          </w:tcPr>
          <w:p>
            <w:pPr>
              <w:keepNext w:val="false"/>
              <w:spacing w:after="20" w:line="240"/>
              <w:jc w:val="left"/>
            </w:pPr>
            <w:r>
              <w:rPr>
                <w:sz w:val="17"/>
                <w:szCs w:val="17"/>
              </w:rPr>
              <w:t xml:space="preserve">D2 y D4</w:t>
            </w:r>
          </w:p>
        </w:tc>
        <w:tc>
          <w:tcPr>
            <w:tcW w:type="dxa" w:w="1260"/>
            <w:tcMar>
              <w:top w:type="dxa" w:w="50"/>
              <w:left w:type="dxa" w:w="80"/>
              <w:bottom w:type="dxa" w:w="50"/>
              <w:right w:type="dxa" w:w="80"/>
            </w:tcMar>
            <w:vAlign w:val="center"/>
          </w:tcPr>
          <w:p>
            <w:pPr>
              <w:keepNext w:val="false"/>
              <w:spacing w:after="20" w:line="240"/>
              <w:jc w:val="left"/>
            </w:pPr>
            <w:r>
              <w:rPr>
                <w:sz w:val="17"/>
                <w:szCs w:val="17"/>
              </w:rPr>
              <w:t xml:space="preserve">OE4</w:t>
            </w:r>
          </w:p>
        </w:tc>
        <w:tc>
          <w:tcPr>
            <w:tcW w:type="dxa" w:w="3780"/>
            <w:tcMar>
              <w:top w:type="dxa" w:w="50"/>
              <w:left w:type="dxa" w:w="80"/>
              <w:bottom w:type="dxa" w:w="50"/>
              <w:right w:type="dxa" w:w="80"/>
            </w:tcMar>
            <w:vAlign w:val="center"/>
          </w:tcPr>
          <w:p>
            <w:pPr>
              <w:keepNext w:val="false"/>
              <w:spacing w:after="20" w:line="240"/>
              <w:jc w:val="left"/>
            </w:pPr>
            <w:r>
              <w:rPr>
                <w:sz w:val="17"/>
                <w:szCs w:val="17"/>
              </w:rPr>
              <w:t xml:space="preserve">Identificar casos de uso prioritarios; proponer un modelo de servicio.</w:t>
            </w:r>
          </w:p>
        </w:tc>
      </w:tr>
      <w:tr>
        <w:trPr>
          <w:cantSplit/>
        </w:trPr>
        <w:tc>
          <w:tcPr>
            <w:tcW w:type="dxa" w:w="1980"/>
            <w:tcMar>
              <w:top w:type="dxa" w:w="50"/>
              <w:left w:type="dxa" w:w="80"/>
              <w:bottom w:type="dxa" w:w="50"/>
              <w:right w:type="dxa" w:w="80"/>
            </w:tcMar>
            <w:vAlign w:val="center"/>
          </w:tcPr>
          <w:p>
            <w:pPr>
              <w:keepNext w:val="false"/>
              <w:spacing w:after="20" w:line="240"/>
              <w:jc w:val="left"/>
            </w:pPr>
            <w:r>
              <w:rPr>
                <w:sz w:val="17"/>
                <w:szCs w:val="17"/>
              </w:rPr>
              <w:t xml:space="preserve">B4 Concentración en Cerrillos; centros regionales en estudio</w:t>
            </w:r>
          </w:p>
        </w:tc>
        <w:tc>
          <w:tcPr>
            <w:tcW w:type="dxa" w:w="810"/>
            <w:tcMar>
              <w:top w:type="dxa" w:w="50"/>
              <w:left w:type="dxa" w:w="80"/>
              <w:bottom w:type="dxa" w:w="50"/>
              <w:right w:type="dxa" w:w="80"/>
            </w:tcMar>
            <w:vAlign w:val="center"/>
          </w:tcPr>
          <w:p>
            <w:pPr>
              <w:keepNext w:val="false"/>
              <w:spacing w:after="20" w:line="240"/>
              <w:jc w:val="left"/>
            </w:pPr>
            <w:r>
              <w:rPr>
                <w:sz w:val="17"/>
                <w:szCs w:val="17"/>
              </w:rPr>
              <w:t xml:space="preserve">FCE 7</w:t>
            </w:r>
          </w:p>
        </w:tc>
        <w:tc>
          <w:tcPr>
            <w:tcW w:type="dxa" w:w="1170"/>
            <w:tcMar>
              <w:top w:type="dxa" w:w="50"/>
              <w:left w:type="dxa" w:w="80"/>
              <w:bottom w:type="dxa" w:w="50"/>
              <w:right w:type="dxa" w:w="80"/>
            </w:tcMar>
            <w:vAlign w:val="center"/>
          </w:tcPr>
          <w:p>
            <w:pPr>
              <w:keepNext w:val="false"/>
              <w:spacing w:after="20" w:line="240"/>
              <w:jc w:val="left"/>
            </w:pPr>
            <w:r>
              <w:rPr>
                <w:sz w:val="17"/>
                <w:szCs w:val="17"/>
              </w:rPr>
              <w:t xml:space="preserve">D2</w:t>
            </w:r>
          </w:p>
        </w:tc>
        <w:tc>
          <w:tcPr>
            <w:tcW w:type="dxa" w:w="1260"/>
            <w:tcMar>
              <w:top w:type="dxa" w:w="50"/>
              <w:left w:type="dxa" w:w="80"/>
              <w:bottom w:type="dxa" w:w="50"/>
              <w:right w:type="dxa" w:w="80"/>
            </w:tcMar>
            <w:vAlign w:val="center"/>
          </w:tcPr>
          <w:p>
            <w:pPr>
              <w:keepNext w:val="false"/>
              <w:spacing w:after="20" w:line="240"/>
              <w:jc w:val="left"/>
            </w:pPr>
            <w:r>
              <w:rPr>
                <w:sz w:val="17"/>
                <w:szCs w:val="17"/>
              </w:rPr>
              <w:t xml:space="preserve">OE3 y OE4</w:t>
            </w:r>
          </w:p>
        </w:tc>
        <w:tc>
          <w:tcPr>
            <w:tcW w:type="dxa" w:w="3780"/>
            <w:tcMar>
              <w:top w:type="dxa" w:w="50"/>
              <w:left w:type="dxa" w:w="80"/>
              <w:bottom w:type="dxa" w:w="50"/>
              <w:right w:type="dxa" w:w="80"/>
            </w:tcMar>
            <w:vAlign w:val="center"/>
          </w:tcPr>
          <w:p>
            <w:pPr>
              <w:keepNext w:val="false"/>
              <w:spacing w:after="20" w:line="240"/>
              <w:jc w:val="left"/>
            </w:pPr>
            <w:r>
              <w:rPr>
                <w:sz w:val="17"/>
                <w:szCs w:val="17"/>
              </w:rPr>
              <w:t xml:space="preserve">Evaluar modelos de operación descentralizada y de réplica regional.</w:t>
            </w:r>
          </w:p>
        </w:tc>
      </w:tr>
    </w:tbl>
    <w:p>
      <w:pPr>
        <w:spacing w:after="200" w:before="60"/>
        <w:jc w:val="center"/>
      </w:pPr>
      <w:r>
        <w:rPr>
          <w:i/>
          <w:iCs/>
          <w:sz w:val="17"/>
          <w:szCs w:val="17"/>
        </w:rPr>
        <w:t xml:space="preserve">Fuente: Elaboración propia. D1: demanda a proveedores nacionales; D2: uso regulado por terceros civiles; D3: transferencia de conocimiento y capital humano; D4: nuevos proyectos y empresas de base tecnológica (dimensiones de 1.2.5). La asignación es una valoración preliminar del autor; la última columna anticipa el tipo de lineamiento a desarrollar en el OE4 y no constituye aún una recomendación.</w:t>
      </w:r>
    </w:p>
    <w:p>
      <w:pPr>
        <w:pStyle w:val="Heading1"/>
        <w:pageBreakBefore/>
      </w:pPr>
      <w:r>
        <w:t xml:space="preserve">CAPÍTULO 5. DESARROLLO DEL OE3: COMPARACIÓN CON EXPERIENCIAS INTERNACIONALES</w:t>
      </w:r>
    </w:p>
    <w:p>
      <w:pPr>
        <w:spacing w:after="140" w:line="300"/>
        <w:jc w:val="both"/>
      </w:pPr>
      <w:r>
        <w:t xml:space="preserve">El tercer objetivo específico —comparar experiencias internacionales de agencias espaciales y evaluar la transferibilidad de sus mecanismos al contexto chileno— cumple una función de bisagra dentro de este avance. Los capítulos previos miraron hacia adentro: el OE1 caracterizó las capacidades del CEN y el OE2 diagnosticó y priorizó las barreras y los factores críticos de éxito. Este capítulo mira hacia afuera. Su premisa es que el problema que enfrenta Chile, disponer de infraestructura espacial sin un modelo que la convierta en articulación productiva, no es inédito: otros países recorrieron antes ese camino y sus aciertos y errores constituyen una fuente de aprendizaje.</w:t>
      </w:r>
    </w:p>
    <w:p>
      <w:pPr>
        <w:spacing w:after="140" w:line="300"/>
        <w:jc w:val="both"/>
      </w:pPr>
      <w:r>
        <w:t xml:space="preserve">El benchmarking no busca copiar modelos, sino destilar principios transferibles. Como advierte la literatura de política de innovación, los arreglos institucionales dependen del contexto: lo que funcionó en Argentina, Brasil o Corea del Sur responde a condiciones históricas, presupuestarias y geopolíticas propias. Por ello el capítulo distingue entre el </w:t>
      </w:r>
      <w:r>
        <w:rPr>
          <w:b/>
          <w:bCs/>
        </w:rPr>
        <w:t xml:space="preserve">mecanismo</w:t>
      </w:r>
      <w:r>
        <w:t xml:space="preserve"> (el principio de diseño, potencialmente transferible) y su </w:t>
      </w:r>
      <w:r>
        <w:rPr>
          <w:b/>
          <w:bCs/>
        </w:rPr>
        <w:t xml:space="preserve">implementación</w:t>
      </w:r>
      <w:r>
        <w:t xml:space="preserve"> (ligada a cada contexto), y, además, evalúa de forma explícita la </w:t>
      </w:r>
      <w:r>
        <w:rPr>
          <w:b/>
          <w:bCs/>
        </w:rPr>
        <w:t xml:space="preserve">transferibilidad</w:t>
      </w:r>
      <w:r>
        <w:t xml:space="preserve"> de cada mecanismo en cuatro dimensiones: institucional, tecnológica, normativa y económica. La identificación de una buena práctica no garantiza su aplicabilidad en Chile.</w:t>
      </w:r>
    </w:p>
    <w:p>
      <w:pPr>
        <w:spacing w:after="140" w:line="300"/>
        <w:jc w:val="both"/>
      </w:pPr>
      <w:r>
        <w:rPr>
          <w:b/>
          <w:bCs/>
        </w:rPr>
        <w:t xml:space="preserve">Nota de alcance y evidencia.</w:t>
      </w:r>
      <w:r>
        <w:t xml:space="preserve"> Al igual que los capítulos del OE1 y el OE2, este benchmarking se construye con fuentes secundarias (documentos institucionales de las agencias, normativa, informes y prensa especializada), clasificadas según los criterios de evidencia de la sección 2.9. No reemplaza un estudio comparado con trabajo de campo en cada país; su propósito es extraer lecciones de diseño que luego se contrastarán con la validación de expertos (OE5). Las cifras y fechas que dependen de una sola fuente se señalan como declaradas.</w:t>
      </w:r>
    </w:p>
    <w:p>
      <w:pPr>
        <w:pStyle w:val="Heading2"/>
      </w:pPr>
      <w:r>
        <w:t xml:space="preserve">5.1 Enfoque metodológico del benchmarking</w:t>
      </w:r>
    </w:p>
    <w:p>
      <w:pPr>
        <w:spacing w:after="140" w:line="300"/>
        <w:jc w:val="both"/>
      </w:pPr>
      <w:r>
        <w:t xml:space="preserve">El benchmarking se desarrolló en cinco pasos: (1) selección de casos según criterios de comparabilidad y relevancia (5.2); (2) definición de una matriz de ocho criterios comunes, que permite una comparación estructurada y no meramente descriptiva (5.3); (3) caracterización individual de cada caso a partir de sus fuentes institucionales (5.4 a 5.8); (4) síntesis comparativa y derivación de patrones y mecanismos (5.9 y 5.10); y (5) evaluación de la transferibilidad de cada mecanismo al contexto chileno, con su decisión asociada y su vínculo con los factores críticos del OE2 (5.11 y 5.12).</w:t>
      </w:r>
    </w:p>
    <w:p>
      <w:pPr>
        <w:spacing w:after="140" w:line="300"/>
        <w:jc w:val="both"/>
      </w:pPr>
      <w:r>
        <w:t xml:space="preserve">Se adoptó un enfoque cualitativo de comparación por casos, coherente con el diseño de estudio de caso de la memoria. La unidad de comparación no es el país en abstracto, sino el arreglo institucional mediante el cual cada Estado organiza su actividad espacial y la vincula con el sistema productivo. Este recorte es deliberado: el objeto de la memoria no es la ingeniería satelital, sino la gobernanza y la transferencia que permiten aprovechar una infraestructura espacial.</w:t>
      </w:r>
    </w:p>
    <w:p>
      <w:pPr>
        <w:pStyle w:val="Heading2"/>
      </w:pPr>
      <w:r>
        <w:t xml:space="preserve">5.2 Selección y justificación de los casos</w:t>
      </w:r>
    </w:p>
    <w:p>
      <w:pPr>
        <w:spacing w:after="140" w:line="300"/>
        <w:jc w:val="both"/>
      </w:pPr>
      <w:r>
        <w:t xml:space="preserve">Se seleccionaron cuatro casos principales y uno complementario que, en conjunto, cubren el espectro de situaciones relevantes para Chile. La lógica de selección combina proximidad regional (para controlar variables de contexto latinoamericano) y diversidad de modelos (para contrastar trayectorias):</w:t>
      </w:r>
    </w:p>
    <w:p>
      <w:pPr>
        <w:pStyle w:val="ListParagraph"/>
        <w:numPr>
          <w:ilvl w:val="0"/>
          <w:numId w:val="2"/>
        </w:numPr>
        <w:spacing w:after="80" w:line="290"/>
        <w:jc w:val="both"/>
      </w:pPr>
      <w:r>
        <w:rPr>
          <w:b/>
          <w:bCs/>
        </w:rPr>
        <w:t xml:space="preserve">Argentina (CONAE):</w:t>
      </w:r>
      <w:r>
        <w:t xml:space="preserve"> referente regional de un modelo civil centralizado articulado con una empresa estatal de base tecnológica (INVAP). Es el caso más citado como aspiración para Chile.</w:t>
      </w:r>
    </w:p>
    <w:p>
      <w:pPr>
        <w:pStyle w:val="ListParagraph"/>
        <w:numPr>
          <w:ilvl w:val="0"/>
          <w:numId w:val="2"/>
        </w:numPr>
        <w:spacing w:after="80" w:line="290"/>
        <w:jc w:val="both"/>
      </w:pPr>
      <w:r>
        <w:rPr>
          <w:b/>
          <w:bCs/>
        </w:rPr>
        <w:t xml:space="preserve">Brasil (AEB):</w:t>
      </w:r>
      <w:r>
        <w:t xml:space="preserve"> referente regional de una transición desde un programa de origen militar hacia una conducción civil, con un sistema de gobernanza que reparte la ejecución entre actores civiles y militares. Es el paralelo más directo con la tensión militar-civil del CEN.</w:t>
      </w:r>
    </w:p>
    <w:p>
      <w:pPr>
        <w:pStyle w:val="ListParagraph"/>
        <w:numPr>
          <w:ilvl w:val="0"/>
          <w:numId w:val="2"/>
        </w:numPr>
        <w:spacing w:after="80" w:line="290"/>
        <w:jc w:val="both"/>
      </w:pPr>
      <w:r>
        <w:rPr>
          <w:b/>
          <w:bCs/>
        </w:rPr>
        <w:t xml:space="preserve">Corea del Sur (KARI / KASA):</w:t>
      </w:r>
      <w:r>
        <w:t xml:space="preserve"> referente extrarregional de un salto desde la dependencia tecnológica hacia una industria con fuerte protagonismo privado, con un mecanismo de transferencia Estado-empresa reciente y documentado.</w:t>
      </w:r>
    </w:p>
    <w:p>
      <w:pPr>
        <w:pStyle w:val="ListParagraph"/>
        <w:numPr>
          <w:ilvl w:val="0"/>
          <w:numId w:val="2"/>
        </w:numPr>
        <w:spacing w:after="80" w:line="290"/>
        <w:jc w:val="both"/>
      </w:pPr>
      <w:r>
        <w:rPr>
          <w:b/>
          <w:bCs/>
        </w:rPr>
        <w:t xml:space="preserve">México (AEM):</w:t>
      </w:r>
      <w:r>
        <w:t xml:space="preserve"> contraejemplo ilustrativo: una agencia espacial civil creada por ley, pero sin infraestructura propia ni presupuesto robusto. Representa el riesgo simétrico al chileno (institucionalidad sin capacidad instalada) y permite valorar el activo que Chile sí posee.</w:t>
      </w:r>
    </w:p>
    <w:p>
      <w:pPr>
        <w:pStyle w:val="ListParagraph"/>
        <w:numPr>
          <w:ilvl w:val="0"/>
          <w:numId w:val="2"/>
        </w:numPr>
        <w:spacing w:after="80" w:line="290"/>
        <w:jc w:val="both"/>
      </w:pPr>
      <w:r>
        <w:rPr>
          <w:b/>
          <w:bCs/>
        </w:rPr>
        <w:t xml:space="preserve">Portugal (Portugal Space), caso complementario:</w:t>
      </w:r>
      <w:r>
        <w:t xml:space="preserve"> país de escala acotada e ingreso tardío al sector que construyó una estrategia explícita con metas cuantificadas; aporta un referente de escala comparable a Chile.</w:t>
      </w:r>
    </w:p>
    <w:p>
      <w:pPr>
        <w:spacing w:after="140" w:line="300"/>
        <w:jc w:val="both"/>
      </w:pPr>
      <w:r>
        <w:t xml:space="preserve">La inclusión de México responde a una decisión analítica: el caso chileno y el mexicano son, en cierto modo, imágenes simétricas. Chile tiene infraestructura de frontera, pero carece de agencia civil; México creó la agencia civil, pero nunca consolidó infraestructura. Compararlos ayuda a precisar qué parte del problema es más difícil de revertir.</w:t>
      </w:r>
    </w:p>
    <w:p>
      <w:pPr>
        <w:spacing w:after="140" w:line="300"/>
        <w:jc w:val="both"/>
      </w:pPr>
      <w:r>
        <w:t xml:space="preserve">Cabe reconocer una limitación de diseño: tres de los casos principales son referentes de trayectoria relativamente exitosa y uno es un contraejemplo, de modo que los patrones identificados describen regularidades observadas en estos casos y no relaciones causales. Además, el éxito de los casos debe matizarse: el programa brasileño ha registrado resultados industriales dispares y mantiene un fuerte rol de organismos militares en la ejecución, y la CONAE atraviesa restricciones presupuestarias recientes. Corea del Sur, por su escala, se incorpora como referente extrarregional de la etapa final del escalamiento y no como modelo directamente comparable.</w:t>
      </w:r>
    </w:p>
    <w:p>
      <w:pPr>
        <w:pStyle w:val="Caption"/>
        <w:keepNext/>
        <w:spacing w:after="80" w:before="200"/>
        <w:jc w:val="center"/>
      </w:pPr>
      <w:r>
        <w:rPr>
          <w:b/>
          <w:bCs/>
        </w:rPr>
        <w:t xml:space="preserve">Tabla </w:t>
      </w:r>
      <w:fldSimple w:instr="SEQ Tabla \* ARABIC">
        <w:r>
          <w:t xml:space="preserve">23</w:t>
        </w:r>
      </w:fldSimple>
      <w:r>
        <w:rPr>
          <w:b/>
          <w:bCs/>
        </w:rPr>
        <w:t xml:space="preserve">. Casos seleccionados y criterio de inclusión</w:t>
      </w:r>
    </w:p>
    <w:tbl>
      <w:tblPr>
        <w:tblW w:type="dxa" w:w="9000"/>
        <w:tblBorders>
          <w:top w:val="single" w:color="A6A6A6" w:sz="4"/>
          <w:left w:val="single" w:color="A6A6A6" w:sz="4"/>
          <w:bottom w:val="single" w:color="A6A6A6" w:sz="4"/>
          <w:right w:val="single" w:color="A6A6A6" w:sz="4"/>
          <w:insideH w:val="single" w:color="A6A6A6" w:sz="4"/>
          <w:insideV w:val="single" w:color="A6A6A6" w:sz="4"/>
        </w:tblBorders>
      </w:tblPr>
      <w:tblGrid>
        <w:gridCol w:w="1170"/>
        <w:gridCol w:w="1530"/>
        <w:gridCol w:w="1080"/>
        <w:gridCol w:w="2250"/>
        <w:gridCol w:w="2970"/>
      </w:tblGrid>
      <w:tr>
        <w:trPr>
          <w:cantSplit/>
          <w:tblHeader/>
        </w:trPr>
        <w:tc>
          <w:tcPr>
            <w:tcW w:type="dxa" w:w="117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Caso</w:t>
            </w:r>
          </w:p>
        </w:tc>
        <w:tc>
          <w:tcPr>
            <w:tcW w:type="dxa" w:w="153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Agencia</w:t>
            </w:r>
          </w:p>
        </w:tc>
        <w:tc>
          <w:tcPr>
            <w:tcW w:type="dxa" w:w="108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Año de creación</w:t>
            </w:r>
          </w:p>
        </w:tc>
        <w:tc>
          <w:tcPr>
            <w:tcW w:type="dxa" w:w="225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Tipo de modelo</w:t>
            </w:r>
          </w:p>
        </w:tc>
        <w:tc>
          <w:tcPr>
            <w:tcW w:type="dxa" w:w="297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Criterio de inclusión</w:t>
            </w:r>
          </w:p>
        </w:tc>
      </w:tr>
      <w:tr>
        <w:trPr>
          <w:cantSplit/>
        </w:trPr>
        <w:tc>
          <w:tcPr>
            <w:tcW w:type="dxa" w:w="1170"/>
            <w:tcMar>
              <w:top w:type="dxa" w:w="50"/>
              <w:left w:type="dxa" w:w="80"/>
              <w:bottom w:type="dxa" w:w="50"/>
              <w:right w:type="dxa" w:w="80"/>
            </w:tcMar>
            <w:vAlign w:val="center"/>
          </w:tcPr>
          <w:p>
            <w:pPr>
              <w:keepNext w:val="false"/>
              <w:spacing w:after="20" w:line="240"/>
              <w:jc w:val="left"/>
            </w:pPr>
            <w:r>
              <w:rPr>
                <w:sz w:val="17"/>
                <w:szCs w:val="17"/>
              </w:rPr>
              <w:t xml:space="preserve">Argentina</w:t>
            </w:r>
          </w:p>
        </w:tc>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CONAE</w:t>
            </w:r>
          </w:p>
        </w:tc>
        <w:tc>
          <w:tcPr>
            <w:tcW w:type="dxa" w:w="1080"/>
            <w:tcMar>
              <w:top w:type="dxa" w:w="50"/>
              <w:left w:type="dxa" w:w="80"/>
              <w:bottom w:type="dxa" w:w="50"/>
              <w:right w:type="dxa" w:w="80"/>
            </w:tcMar>
            <w:vAlign w:val="center"/>
          </w:tcPr>
          <w:p>
            <w:pPr>
              <w:keepNext w:val="false"/>
              <w:spacing w:after="20" w:line="240"/>
              <w:jc w:val="center"/>
            </w:pPr>
            <w:r>
              <w:rPr>
                <w:sz w:val="17"/>
                <w:szCs w:val="17"/>
              </w:rPr>
              <w:t xml:space="preserve">1991</w:t>
            </w:r>
          </w:p>
        </w:tc>
        <w:tc>
          <w:tcPr>
            <w:tcW w:type="dxa" w:w="2250"/>
            <w:tcMar>
              <w:top w:type="dxa" w:w="50"/>
              <w:left w:type="dxa" w:w="80"/>
              <w:bottom w:type="dxa" w:w="50"/>
              <w:right w:type="dxa" w:w="80"/>
            </w:tcMar>
            <w:vAlign w:val="center"/>
          </w:tcPr>
          <w:p>
            <w:pPr>
              <w:keepNext w:val="false"/>
              <w:spacing w:after="20" w:line="240"/>
              <w:jc w:val="left"/>
            </w:pPr>
            <w:r>
              <w:rPr>
                <w:sz w:val="17"/>
                <w:szCs w:val="17"/>
              </w:rPr>
              <w:t xml:space="preserve">Civil centralizado + empresa estatal</w:t>
            </w:r>
          </w:p>
        </w:tc>
        <w:tc>
          <w:tcPr>
            <w:tcW w:type="dxa" w:w="2970"/>
            <w:tcMar>
              <w:top w:type="dxa" w:w="50"/>
              <w:left w:type="dxa" w:w="80"/>
              <w:bottom w:type="dxa" w:w="50"/>
              <w:right w:type="dxa" w:w="80"/>
            </w:tcMar>
            <w:vAlign w:val="center"/>
          </w:tcPr>
          <w:p>
            <w:pPr>
              <w:keepNext w:val="false"/>
              <w:spacing w:after="20" w:line="240"/>
              <w:jc w:val="left"/>
            </w:pPr>
            <w:r>
              <w:rPr>
                <w:sz w:val="17"/>
                <w:szCs w:val="17"/>
              </w:rPr>
              <w:t xml:space="preserve">Referente regional; modelo agencia-empresa (INVAP).</w:t>
            </w:r>
          </w:p>
        </w:tc>
      </w:tr>
      <w:tr>
        <w:trPr>
          <w:cantSplit/>
        </w:trPr>
        <w:tc>
          <w:tcPr>
            <w:tcW w:type="dxa" w:w="1170"/>
            <w:tcMar>
              <w:top w:type="dxa" w:w="50"/>
              <w:left w:type="dxa" w:w="80"/>
              <w:bottom w:type="dxa" w:w="50"/>
              <w:right w:type="dxa" w:w="80"/>
            </w:tcMar>
            <w:vAlign w:val="center"/>
          </w:tcPr>
          <w:p>
            <w:pPr>
              <w:keepNext w:val="false"/>
              <w:spacing w:after="20" w:line="240"/>
              <w:jc w:val="left"/>
            </w:pPr>
            <w:r>
              <w:rPr>
                <w:sz w:val="17"/>
                <w:szCs w:val="17"/>
              </w:rPr>
              <w:t xml:space="preserve">Brasil</w:t>
            </w:r>
          </w:p>
        </w:tc>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AEB</w:t>
            </w:r>
          </w:p>
        </w:tc>
        <w:tc>
          <w:tcPr>
            <w:tcW w:type="dxa" w:w="1080"/>
            <w:tcMar>
              <w:top w:type="dxa" w:w="50"/>
              <w:left w:type="dxa" w:w="80"/>
              <w:bottom w:type="dxa" w:w="50"/>
              <w:right w:type="dxa" w:w="80"/>
            </w:tcMar>
            <w:vAlign w:val="center"/>
          </w:tcPr>
          <w:p>
            <w:pPr>
              <w:keepNext w:val="false"/>
              <w:spacing w:after="20" w:line="240"/>
              <w:jc w:val="center"/>
            </w:pPr>
            <w:r>
              <w:rPr>
                <w:sz w:val="17"/>
                <w:szCs w:val="17"/>
              </w:rPr>
              <w:t xml:space="preserve">1994</w:t>
            </w:r>
          </w:p>
        </w:tc>
        <w:tc>
          <w:tcPr>
            <w:tcW w:type="dxa" w:w="2250"/>
            <w:tcMar>
              <w:top w:type="dxa" w:w="50"/>
              <w:left w:type="dxa" w:w="80"/>
              <w:bottom w:type="dxa" w:w="50"/>
              <w:right w:type="dxa" w:w="80"/>
            </w:tcMar>
            <w:vAlign w:val="center"/>
          </w:tcPr>
          <w:p>
            <w:pPr>
              <w:keepNext w:val="false"/>
              <w:spacing w:after="20" w:line="240"/>
              <w:jc w:val="left"/>
            </w:pPr>
            <w:r>
              <w:rPr>
                <w:sz w:val="17"/>
                <w:szCs w:val="17"/>
              </w:rPr>
              <w:t xml:space="preserve">Civil con sistema de gobernanza (SINDAE)</w:t>
            </w:r>
          </w:p>
        </w:tc>
        <w:tc>
          <w:tcPr>
            <w:tcW w:type="dxa" w:w="2970"/>
            <w:tcMar>
              <w:top w:type="dxa" w:w="50"/>
              <w:left w:type="dxa" w:w="80"/>
              <w:bottom w:type="dxa" w:w="50"/>
              <w:right w:type="dxa" w:w="80"/>
            </w:tcMar>
            <w:vAlign w:val="center"/>
          </w:tcPr>
          <w:p>
            <w:pPr>
              <w:keepNext w:val="false"/>
              <w:spacing w:after="20" w:line="240"/>
              <w:jc w:val="left"/>
            </w:pPr>
            <w:r>
              <w:rPr>
                <w:sz w:val="17"/>
                <w:szCs w:val="17"/>
              </w:rPr>
              <w:t xml:space="preserve">Transición militar → civil; paralelo con el CEN.</w:t>
            </w:r>
          </w:p>
        </w:tc>
      </w:tr>
      <w:tr>
        <w:trPr>
          <w:cantSplit/>
        </w:trPr>
        <w:tc>
          <w:tcPr>
            <w:tcW w:type="dxa" w:w="1170"/>
            <w:tcMar>
              <w:top w:type="dxa" w:w="50"/>
              <w:left w:type="dxa" w:w="80"/>
              <w:bottom w:type="dxa" w:w="50"/>
              <w:right w:type="dxa" w:w="80"/>
            </w:tcMar>
            <w:vAlign w:val="center"/>
          </w:tcPr>
          <w:p>
            <w:pPr>
              <w:keepNext w:val="false"/>
              <w:spacing w:after="20" w:line="240"/>
              <w:jc w:val="left"/>
            </w:pPr>
            <w:r>
              <w:rPr>
                <w:sz w:val="17"/>
                <w:szCs w:val="17"/>
              </w:rPr>
              <w:t xml:space="preserve">Corea del Sur</w:t>
            </w:r>
          </w:p>
        </w:tc>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KARI (hoy con KASA, 2024)</w:t>
            </w:r>
          </w:p>
        </w:tc>
        <w:tc>
          <w:tcPr>
            <w:tcW w:type="dxa" w:w="1080"/>
            <w:tcMar>
              <w:top w:type="dxa" w:w="50"/>
              <w:left w:type="dxa" w:w="80"/>
              <w:bottom w:type="dxa" w:w="50"/>
              <w:right w:type="dxa" w:w="80"/>
            </w:tcMar>
            <w:vAlign w:val="center"/>
          </w:tcPr>
          <w:p>
            <w:pPr>
              <w:keepNext w:val="false"/>
              <w:spacing w:after="20" w:line="240"/>
              <w:jc w:val="center"/>
            </w:pPr>
            <w:r>
              <w:rPr>
                <w:sz w:val="17"/>
                <w:szCs w:val="17"/>
              </w:rPr>
              <w:t xml:space="preserve">1989</w:t>
            </w:r>
          </w:p>
        </w:tc>
        <w:tc>
          <w:tcPr>
            <w:tcW w:type="dxa" w:w="2250"/>
            <w:tcMar>
              <w:top w:type="dxa" w:w="50"/>
              <w:left w:type="dxa" w:w="80"/>
              <w:bottom w:type="dxa" w:w="50"/>
              <w:right w:type="dxa" w:w="80"/>
            </w:tcMar>
            <w:vAlign w:val="center"/>
          </w:tcPr>
          <w:p>
            <w:pPr>
              <w:keepNext w:val="false"/>
              <w:spacing w:after="20" w:line="240"/>
              <w:jc w:val="left"/>
            </w:pPr>
            <w:r>
              <w:rPr>
                <w:sz w:val="17"/>
                <w:szCs w:val="17"/>
              </w:rPr>
              <w:t xml:space="preserve">Instituto público → industria privada</w:t>
            </w:r>
          </w:p>
        </w:tc>
        <w:tc>
          <w:tcPr>
            <w:tcW w:type="dxa" w:w="2970"/>
            <w:tcMar>
              <w:top w:type="dxa" w:w="50"/>
              <w:left w:type="dxa" w:w="80"/>
              <w:bottom w:type="dxa" w:w="50"/>
              <w:right w:type="dxa" w:w="80"/>
            </w:tcMar>
            <w:vAlign w:val="center"/>
          </w:tcPr>
          <w:p>
            <w:pPr>
              <w:keepNext w:val="false"/>
              <w:spacing w:after="20" w:line="240"/>
              <w:jc w:val="left"/>
            </w:pPr>
            <w:r>
              <w:rPr>
                <w:sz w:val="17"/>
                <w:szCs w:val="17"/>
              </w:rPr>
              <w:t xml:space="preserve">Transferencia Estado-empresa reciente y documentada.</w:t>
            </w:r>
          </w:p>
        </w:tc>
      </w:tr>
      <w:tr>
        <w:trPr>
          <w:cantSplit/>
        </w:trPr>
        <w:tc>
          <w:tcPr>
            <w:tcW w:type="dxa" w:w="1170"/>
            <w:tcMar>
              <w:top w:type="dxa" w:w="50"/>
              <w:left w:type="dxa" w:w="80"/>
              <w:bottom w:type="dxa" w:w="50"/>
              <w:right w:type="dxa" w:w="80"/>
            </w:tcMar>
            <w:vAlign w:val="center"/>
          </w:tcPr>
          <w:p>
            <w:pPr>
              <w:keepNext w:val="false"/>
              <w:spacing w:after="20" w:line="240"/>
              <w:jc w:val="left"/>
            </w:pPr>
            <w:r>
              <w:rPr>
                <w:sz w:val="17"/>
                <w:szCs w:val="17"/>
              </w:rPr>
              <w:t xml:space="preserve">México</w:t>
            </w:r>
          </w:p>
        </w:tc>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AEM</w:t>
            </w:r>
          </w:p>
        </w:tc>
        <w:tc>
          <w:tcPr>
            <w:tcW w:type="dxa" w:w="1080"/>
            <w:tcMar>
              <w:top w:type="dxa" w:w="50"/>
              <w:left w:type="dxa" w:w="80"/>
              <w:bottom w:type="dxa" w:w="50"/>
              <w:right w:type="dxa" w:w="80"/>
            </w:tcMar>
            <w:vAlign w:val="center"/>
          </w:tcPr>
          <w:p>
            <w:pPr>
              <w:keepNext w:val="false"/>
              <w:spacing w:after="20" w:line="240"/>
              <w:jc w:val="center"/>
            </w:pPr>
            <w:r>
              <w:rPr>
                <w:sz w:val="17"/>
                <w:szCs w:val="17"/>
              </w:rPr>
              <w:t xml:space="preserve">2010</w:t>
            </w:r>
          </w:p>
        </w:tc>
        <w:tc>
          <w:tcPr>
            <w:tcW w:type="dxa" w:w="2250"/>
            <w:tcMar>
              <w:top w:type="dxa" w:w="50"/>
              <w:left w:type="dxa" w:w="80"/>
              <w:bottom w:type="dxa" w:w="50"/>
              <w:right w:type="dxa" w:w="80"/>
            </w:tcMar>
            <w:vAlign w:val="center"/>
          </w:tcPr>
          <w:p>
            <w:pPr>
              <w:keepNext w:val="false"/>
              <w:spacing w:after="20" w:line="240"/>
              <w:jc w:val="left"/>
            </w:pPr>
            <w:r>
              <w:rPr>
                <w:sz w:val="17"/>
                <w:szCs w:val="17"/>
              </w:rPr>
              <w:t xml:space="preserve">Civil sin infraestructura</w:t>
            </w:r>
          </w:p>
        </w:tc>
        <w:tc>
          <w:tcPr>
            <w:tcW w:type="dxa" w:w="2970"/>
            <w:tcMar>
              <w:top w:type="dxa" w:w="50"/>
              <w:left w:type="dxa" w:w="80"/>
              <w:bottom w:type="dxa" w:w="50"/>
              <w:right w:type="dxa" w:w="80"/>
            </w:tcMar>
            <w:vAlign w:val="center"/>
          </w:tcPr>
          <w:p>
            <w:pPr>
              <w:keepNext w:val="false"/>
              <w:spacing w:after="20" w:line="240"/>
              <w:jc w:val="left"/>
            </w:pPr>
            <w:r>
              <w:rPr>
                <w:sz w:val="17"/>
                <w:szCs w:val="17"/>
              </w:rPr>
              <w:t xml:space="preserve">Contraejemplo: agencia sin capacidad instalada.</w:t>
            </w:r>
          </w:p>
        </w:tc>
      </w:tr>
      <w:tr>
        <w:trPr>
          <w:cantSplit/>
        </w:trPr>
        <w:tc>
          <w:tcPr>
            <w:tcW w:type="dxa" w:w="1170"/>
            <w:tcMar>
              <w:top w:type="dxa" w:w="50"/>
              <w:left w:type="dxa" w:w="80"/>
              <w:bottom w:type="dxa" w:w="50"/>
              <w:right w:type="dxa" w:w="80"/>
            </w:tcMar>
            <w:vAlign w:val="center"/>
          </w:tcPr>
          <w:p>
            <w:pPr>
              <w:keepNext w:val="false"/>
              <w:spacing w:after="20" w:line="240"/>
              <w:jc w:val="left"/>
            </w:pPr>
            <w:r>
              <w:rPr>
                <w:sz w:val="17"/>
                <w:szCs w:val="17"/>
              </w:rPr>
              <w:t xml:space="preserve">Portugal (complementario)</w:t>
            </w:r>
          </w:p>
        </w:tc>
        <w:tc>
          <w:tcPr>
            <w:tcW w:type="dxa" w:w="1530"/>
            <w:tcMar>
              <w:top w:type="dxa" w:w="50"/>
              <w:left w:type="dxa" w:w="80"/>
              <w:bottom w:type="dxa" w:w="50"/>
              <w:right w:type="dxa" w:w="80"/>
            </w:tcMar>
            <w:vAlign w:val="center"/>
          </w:tcPr>
          <w:p>
            <w:pPr>
              <w:keepNext w:val="false"/>
              <w:spacing w:after="20" w:line="240"/>
              <w:jc w:val="left"/>
            </w:pPr>
            <w:r>
              <w:rPr>
                <w:sz w:val="17"/>
                <w:szCs w:val="17"/>
              </w:rPr>
              <w:t xml:space="preserve">Portugal Space</w:t>
            </w:r>
          </w:p>
        </w:tc>
        <w:tc>
          <w:tcPr>
            <w:tcW w:type="dxa" w:w="1080"/>
            <w:tcMar>
              <w:top w:type="dxa" w:w="50"/>
              <w:left w:type="dxa" w:w="80"/>
              <w:bottom w:type="dxa" w:w="50"/>
              <w:right w:type="dxa" w:w="80"/>
            </w:tcMar>
            <w:vAlign w:val="center"/>
          </w:tcPr>
          <w:p>
            <w:pPr>
              <w:keepNext w:val="false"/>
              <w:spacing w:after="20" w:line="240"/>
              <w:jc w:val="center"/>
            </w:pPr>
            <w:r>
              <w:rPr>
                <w:sz w:val="17"/>
                <w:szCs w:val="17"/>
              </w:rPr>
              <w:t xml:space="preserve">n/d</w:t>
            </w:r>
          </w:p>
        </w:tc>
        <w:tc>
          <w:tcPr>
            <w:tcW w:type="dxa" w:w="2250"/>
            <w:tcMar>
              <w:top w:type="dxa" w:w="50"/>
              <w:left w:type="dxa" w:w="80"/>
              <w:bottom w:type="dxa" w:w="50"/>
              <w:right w:type="dxa" w:w="80"/>
            </w:tcMar>
            <w:vAlign w:val="center"/>
          </w:tcPr>
          <w:p>
            <w:pPr>
              <w:keepNext w:val="false"/>
              <w:spacing w:after="20" w:line="240"/>
              <w:jc w:val="left"/>
            </w:pPr>
            <w:r>
              <w:rPr>
                <w:sz w:val="17"/>
                <w:szCs w:val="17"/>
              </w:rPr>
              <w:t xml:space="preserve">Agencia civil con estrategia y metas cuantificadas</w:t>
            </w:r>
          </w:p>
        </w:tc>
        <w:tc>
          <w:tcPr>
            <w:tcW w:type="dxa" w:w="2970"/>
            <w:tcMar>
              <w:top w:type="dxa" w:w="50"/>
              <w:left w:type="dxa" w:w="80"/>
              <w:bottom w:type="dxa" w:w="50"/>
              <w:right w:type="dxa" w:w="80"/>
            </w:tcMar>
            <w:vAlign w:val="center"/>
          </w:tcPr>
          <w:p>
            <w:pPr>
              <w:keepNext w:val="false"/>
              <w:spacing w:after="20" w:line="240"/>
              <w:jc w:val="left"/>
            </w:pPr>
            <w:r>
              <w:rPr>
                <w:sz w:val="17"/>
                <w:szCs w:val="17"/>
              </w:rPr>
              <w:t xml:space="preserve">País pequeño con estrategia explícita; escala comparable.</w:t>
            </w:r>
          </w:p>
        </w:tc>
      </w:tr>
      <w:tr>
        <w:trPr>
          <w:cantSplit/>
        </w:trPr>
        <w:tc>
          <w:tcPr>
            <w:tcW w:type="dxa" w:w="1170"/>
            <w:shd w:fill="FCE4D6" w:color="auto" w:val="clear"/>
            <w:tcMar>
              <w:top w:type="dxa" w:w="50"/>
              <w:left w:type="dxa" w:w="80"/>
              <w:bottom w:type="dxa" w:w="50"/>
              <w:right w:type="dxa" w:w="80"/>
            </w:tcMar>
            <w:vAlign w:val="center"/>
          </w:tcPr>
          <w:p>
            <w:pPr>
              <w:keepNext w:val="false"/>
              <w:spacing w:after="20" w:line="240"/>
              <w:jc w:val="left"/>
            </w:pPr>
            <w:r>
              <w:rPr>
                <w:sz w:val="17"/>
                <w:szCs w:val="17"/>
              </w:rPr>
              <w:t xml:space="preserve">Chile</w:t>
            </w:r>
          </w:p>
        </w:tc>
        <w:tc>
          <w:tcPr>
            <w:tcW w:type="dxa" w:w="1530"/>
            <w:shd w:fill="FCE4D6" w:color="auto" w:val="clear"/>
            <w:tcMar>
              <w:top w:type="dxa" w:w="50"/>
              <w:left w:type="dxa" w:w="80"/>
              <w:bottom w:type="dxa" w:w="50"/>
              <w:right w:type="dxa" w:w="80"/>
            </w:tcMar>
            <w:vAlign w:val="center"/>
          </w:tcPr>
          <w:p>
            <w:pPr>
              <w:keepNext w:val="false"/>
              <w:spacing w:after="20" w:line="240"/>
              <w:jc w:val="left"/>
            </w:pPr>
            <w:r>
              <w:rPr>
                <w:sz w:val="17"/>
                <w:szCs w:val="17"/>
              </w:rPr>
              <w:t xml:space="preserve">CEN / FACh</w:t>
            </w:r>
          </w:p>
        </w:tc>
        <w:tc>
          <w:tcPr>
            <w:tcW w:type="dxa" w:w="1080"/>
            <w:shd w:fill="FCE4D6" w:color="auto" w:val="clear"/>
            <w:tcMar>
              <w:top w:type="dxa" w:w="50"/>
              <w:left w:type="dxa" w:w="80"/>
              <w:bottom w:type="dxa" w:w="50"/>
              <w:right w:type="dxa" w:w="80"/>
            </w:tcMar>
            <w:vAlign w:val="center"/>
          </w:tcPr>
          <w:p>
            <w:pPr>
              <w:keepNext w:val="false"/>
              <w:spacing w:after="20" w:line="240"/>
              <w:jc w:val="left"/>
            </w:pPr>
            <w:r>
              <w:rPr>
                <w:sz w:val="17"/>
                <w:szCs w:val="17"/>
              </w:rPr>
              <w:t xml:space="preserve">2025</w:t>
            </w:r>
          </w:p>
        </w:tc>
        <w:tc>
          <w:tcPr>
            <w:tcW w:type="dxa" w:w="2250"/>
            <w:shd w:fill="FCE4D6" w:color="auto" w:val="clear"/>
            <w:tcMar>
              <w:top w:type="dxa" w:w="50"/>
              <w:left w:type="dxa" w:w="80"/>
              <w:bottom w:type="dxa" w:w="50"/>
              <w:right w:type="dxa" w:w="80"/>
            </w:tcMar>
            <w:vAlign w:val="center"/>
          </w:tcPr>
          <w:p>
            <w:pPr>
              <w:keepNext w:val="false"/>
              <w:spacing w:after="20" w:line="240"/>
              <w:jc w:val="left"/>
            </w:pPr>
            <w:r>
              <w:rPr>
                <w:sz w:val="17"/>
                <w:szCs w:val="17"/>
              </w:rPr>
              <w:t xml:space="preserve">Militar; infraestructura sin agencia civil</w:t>
            </w:r>
          </w:p>
        </w:tc>
        <w:tc>
          <w:tcPr>
            <w:tcW w:type="dxa" w:w="2970"/>
            <w:shd w:fill="FCE4D6" w:color="auto" w:val="clear"/>
            <w:tcMar>
              <w:top w:type="dxa" w:w="50"/>
              <w:left w:type="dxa" w:w="80"/>
              <w:bottom w:type="dxa" w:w="50"/>
              <w:right w:type="dxa" w:w="80"/>
            </w:tcMar>
            <w:vAlign w:val="center"/>
          </w:tcPr>
          <w:p>
            <w:pPr>
              <w:keepNext w:val="false"/>
              <w:spacing w:after="20" w:line="240"/>
              <w:jc w:val="left"/>
            </w:pPr>
            <w:r>
              <w:rPr>
                <w:sz w:val="17"/>
                <w:szCs w:val="17"/>
              </w:rPr>
              <w:t xml:space="preserve">Caso de estudio de la memoria.</w:t>
            </w:r>
          </w:p>
        </w:tc>
      </w:tr>
    </w:tbl>
    <w:p>
      <w:pPr>
        <w:spacing w:after="200" w:before="60"/>
        <w:jc w:val="center"/>
      </w:pPr>
      <w:r>
        <w:rPr>
          <w:i/>
          <w:iCs/>
          <w:sz w:val="17"/>
          <w:szCs w:val="17"/>
        </w:rPr>
        <w:t xml:space="preserve">Fuente: Elaboración propia a partir de las fuentes de los apartados 5.4 a 5.8.</w:t>
      </w:r>
    </w:p>
    <w:p>
      <w:pPr>
        <w:pStyle w:val="Heading2"/>
      </w:pPr>
      <w:r>
        <w:t xml:space="preserve">5.3 Matriz de criterios de comparación</w:t>
      </w:r>
    </w:p>
    <w:p>
      <w:pPr>
        <w:spacing w:after="140" w:line="300"/>
        <w:jc w:val="both"/>
      </w:pPr>
      <w:r>
        <w:t xml:space="preserve">Para que la comparación fuera estructurada y conectara con el diagnóstico del OE2, se definieron ocho criterios agrupados en tres dimensiones. Cada criterio se eligió por su correspondencia con una barrera o un factor crítico identificado previamente (Tabla 24).</w:t>
      </w:r>
    </w:p>
    <w:p>
      <w:pPr>
        <w:pStyle w:val="Caption"/>
        <w:keepNext/>
        <w:spacing w:after="80" w:before="200"/>
        <w:jc w:val="center"/>
      </w:pPr>
      <w:r>
        <w:rPr>
          <w:b/>
          <w:bCs/>
        </w:rPr>
        <w:t xml:space="preserve">Tabla </w:t>
      </w:r>
      <w:fldSimple w:instr="SEQ Tabla \* ARABIC">
        <w:r>
          <w:t xml:space="preserve">24</w:t>
        </w:r>
      </w:fldSimple>
      <w:r>
        <w:rPr>
          <w:b/>
          <w:bCs/>
        </w:rPr>
        <w:t xml:space="preserve">. Criterios de comparación y su vínculo con el diagnóstico del OE2</w:t>
      </w:r>
    </w:p>
    <w:tbl>
      <w:tblPr>
        <w:tblW w:type="dxa" w:w="9000"/>
        <w:tblBorders>
          <w:top w:val="single" w:color="A6A6A6" w:sz="4"/>
          <w:left w:val="single" w:color="A6A6A6" w:sz="4"/>
          <w:bottom w:val="single" w:color="A6A6A6" w:sz="4"/>
          <w:right w:val="single" w:color="A6A6A6" w:sz="4"/>
          <w:insideH w:val="single" w:color="A6A6A6" w:sz="4"/>
          <w:insideV w:val="single" w:color="A6A6A6" w:sz="4"/>
        </w:tblBorders>
      </w:tblPr>
      <w:tblGrid>
        <w:gridCol w:w="1260"/>
        <w:gridCol w:w="2160"/>
        <w:gridCol w:w="3060"/>
        <w:gridCol w:w="2520"/>
      </w:tblGrid>
      <w:tr>
        <w:trPr>
          <w:cantSplit/>
          <w:tblHeader/>
        </w:trPr>
        <w:tc>
          <w:tcPr>
            <w:tcW w:type="dxa" w:w="126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Dimensión</w:t>
            </w:r>
          </w:p>
        </w:tc>
        <w:tc>
          <w:tcPr>
            <w:tcW w:type="dxa" w:w="216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Criterio</w:t>
            </w:r>
          </w:p>
        </w:tc>
        <w:tc>
          <w:tcPr>
            <w:tcW w:type="dxa" w:w="306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Pregunta que responde</w:t>
            </w:r>
          </w:p>
        </w:tc>
        <w:tc>
          <w:tcPr>
            <w:tcW w:type="dxa" w:w="252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Vínculo con el OE2</w:t>
            </w:r>
          </w:p>
        </w:tc>
      </w:tr>
      <w:tr>
        <w:trPr>
          <w:cantSplit/>
        </w:trPr>
        <w:tc>
          <w:tcPr>
            <w:tcW w:type="dxa" w:w="1260"/>
            <w:tcMar>
              <w:top w:type="dxa" w:w="50"/>
              <w:left w:type="dxa" w:w="80"/>
              <w:bottom w:type="dxa" w:w="50"/>
              <w:right w:type="dxa" w:w="80"/>
            </w:tcMar>
            <w:vAlign w:val="center"/>
          </w:tcPr>
          <w:p>
            <w:pPr>
              <w:keepNext w:val="false"/>
              <w:spacing w:after="20" w:line="240"/>
              <w:jc w:val="left"/>
            </w:pPr>
            <w:r>
              <w:rPr>
                <w:sz w:val="17"/>
                <w:szCs w:val="17"/>
              </w:rPr>
              <w:t xml:space="preserve">Gobernanza</w:t>
            </w:r>
          </w:p>
        </w:tc>
        <w:tc>
          <w:tcPr>
            <w:tcW w:type="dxa" w:w="2160"/>
            <w:tcMar>
              <w:top w:type="dxa" w:w="50"/>
              <w:left w:type="dxa" w:w="80"/>
              <w:bottom w:type="dxa" w:w="50"/>
              <w:right w:type="dxa" w:w="80"/>
            </w:tcMar>
            <w:vAlign w:val="center"/>
          </w:tcPr>
          <w:p>
            <w:pPr>
              <w:keepNext w:val="false"/>
              <w:spacing w:after="20" w:line="240"/>
              <w:jc w:val="left"/>
            </w:pPr>
            <w:r>
              <w:rPr>
                <w:sz w:val="17"/>
                <w:szCs w:val="17"/>
              </w:rPr>
              <w:t xml:space="preserve">1. Naturaleza institucional</w:t>
            </w:r>
          </w:p>
        </w:tc>
        <w:tc>
          <w:tcPr>
            <w:tcW w:type="dxa" w:w="3060"/>
            <w:tcMar>
              <w:top w:type="dxa" w:w="50"/>
              <w:left w:type="dxa" w:w="80"/>
              <w:bottom w:type="dxa" w:w="50"/>
              <w:right w:type="dxa" w:w="80"/>
            </w:tcMar>
            <w:vAlign w:val="center"/>
          </w:tcPr>
          <w:p>
            <w:pPr>
              <w:keepNext w:val="false"/>
              <w:spacing w:after="20" w:line="240"/>
              <w:jc w:val="left"/>
            </w:pPr>
            <w:r>
              <w:rPr>
                <w:sz w:val="17"/>
                <w:szCs w:val="17"/>
              </w:rPr>
              <w:t xml:space="preserve">¿La conducción es civil o militar y de quién depende?</w:t>
            </w:r>
          </w:p>
        </w:tc>
        <w:tc>
          <w:tcPr>
            <w:tcW w:type="dxa" w:w="2520"/>
            <w:tcMar>
              <w:top w:type="dxa" w:w="50"/>
              <w:left w:type="dxa" w:w="80"/>
              <w:bottom w:type="dxa" w:w="50"/>
              <w:right w:type="dxa" w:w="80"/>
            </w:tcMar>
            <w:vAlign w:val="center"/>
          </w:tcPr>
          <w:p>
            <w:pPr>
              <w:keepNext w:val="false"/>
              <w:spacing w:after="20" w:line="240"/>
              <w:jc w:val="left"/>
            </w:pPr>
            <w:r>
              <w:rPr>
                <w:sz w:val="17"/>
                <w:szCs w:val="17"/>
              </w:rPr>
              <w:t xml:space="preserve">B1 / FCE 1</w:t>
            </w:r>
          </w:p>
        </w:tc>
      </w:tr>
      <w:tr>
        <w:trPr>
          <w:cantSplit/>
        </w:trPr>
        <w:tc>
          <w:tcPr>
            <w:tcW w:type="dxa" w:w="1260"/>
            <w:tcMar>
              <w:top w:type="dxa" w:w="50"/>
              <w:left w:type="dxa" w:w="80"/>
              <w:bottom w:type="dxa" w:w="50"/>
              <w:right w:type="dxa" w:w="80"/>
            </w:tcMar>
            <w:vAlign w:val="center"/>
          </w:tcPr>
          <w:p>
            <w:pPr>
              <w:keepNext w:val="false"/>
              <w:spacing w:after="20" w:line="240"/>
              <w:jc w:val="left"/>
            </w:pPr>
            <w:r>
              <w:rPr>
                <w:sz w:val="17"/>
                <w:szCs w:val="17"/>
              </w:rPr>
              <w:t xml:space="preserve">Gobernanza</w:t>
            </w:r>
          </w:p>
        </w:tc>
        <w:tc>
          <w:tcPr>
            <w:tcW w:type="dxa" w:w="2160"/>
            <w:tcMar>
              <w:top w:type="dxa" w:w="50"/>
              <w:left w:type="dxa" w:w="80"/>
              <w:bottom w:type="dxa" w:w="50"/>
              <w:right w:type="dxa" w:w="80"/>
            </w:tcMar>
            <w:vAlign w:val="center"/>
          </w:tcPr>
          <w:p>
            <w:pPr>
              <w:keepNext w:val="false"/>
              <w:spacing w:after="20" w:line="240"/>
              <w:jc w:val="left"/>
            </w:pPr>
            <w:r>
              <w:rPr>
                <w:sz w:val="17"/>
                <w:szCs w:val="17"/>
              </w:rPr>
              <w:t xml:space="preserve">2. Instrumento de planificación</w:t>
            </w:r>
          </w:p>
        </w:tc>
        <w:tc>
          <w:tcPr>
            <w:tcW w:type="dxa" w:w="3060"/>
            <w:tcMar>
              <w:top w:type="dxa" w:w="50"/>
              <w:left w:type="dxa" w:w="80"/>
              <w:bottom w:type="dxa" w:w="50"/>
              <w:right w:type="dxa" w:w="80"/>
            </w:tcMar>
            <w:vAlign w:val="center"/>
          </w:tcPr>
          <w:p>
            <w:pPr>
              <w:keepNext w:val="false"/>
              <w:spacing w:after="20" w:line="240"/>
              <w:jc w:val="left"/>
            </w:pPr>
            <w:r>
              <w:rPr>
                <w:sz w:val="17"/>
                <w:szCs w:val="17"/>
              </w:rPr>
              <w:t xml:space="preserve">¿Existe un plan de largo plazo con rango normativo?</w:t>
            </w:r>
          </w:p>
        </w:tc>
        <w:tc>
          <w:tcPr>
            <w:tcW w:type="dxa" w:w="2520"/>
            <w:tcMar>
              <w:top w:type="dxa" w:w="50"/>
              <w:left w:type="dxa" w:w="80"/>
              <w:bottom w:type="dxa" w:w="50"/>
              <w:right w:type="dxa" w:w="80"/>
            </w:tcMar>
            <w:vAlign w:val="center"/>
          </w:tcPr>
          <w:p>
            <w:pPr>
              <w:keepNext w:val="false"/>
              <w:spacing w:after="20" w:line="240"/>
              <w:jc w:val="left"/>
            </w:pPr>
            <w:r>
              <w:rPr>
                <w:sz w:val="17"/>
                <w:szCs w:val="17"/>
              </w:rPr>
              <w:t xml:space="preserve">B5 / FCE 4</w:t>
            </w:r>
          </w:p>
        </w:tc>
      </w:tr>
      <w:tr>
        <w:trPr>
          <w:cantSplit/>
        </w:trPr>
        <w:tc>
          <w:tcPr>
            <w:tcW w:type="dxa" w:w="1260"/>
            <w:tcMar>
              <w:top w:type="dxa" w:w="50"/>
              <w:left w:type="dxa" w:w="80"/>
              <w:bottom w:type="dxa" w:w="50"/>
              <w:right w:type="dxa" w:w="80"/>
            </w:tcMar>
            <w:vAlign w:val="center"/>
          </w:tcPr>
          <w:p>
            <w:pPr>
              <w:keepNext w:val="false"/>
              <w:spacing w:after="20" w:line="240"/>
              <w:jc w:val="left"/>
            </w:pPr>
            <w:r>
              <w:rPr>
                <w:sz w:val="17"/>
                <w:szCs w:val="17"/>
              </w:rPr>
              <w:t xml:space="preserve">Gobernanza</w:t>
            </w:r>
          </w:p>
        </w:tc>
        <w:tc>
          <w:tcPr>
            <w:tcW w:type="dxa" w:w="2160"/>
            <w:tcMar>
              <w:top w:type="dxa" w:w="50"/>
              <w:left w:type="dxa" w:w="80"/>
              <w:bottom w:type="dxa" w:w="50"/>
              <w:right w:type="dxa" w:w="80"/>
            </w:tcMar>
            <w:vAlign w:val="center"/>
          </w:tcPr>
          <w:p>
            <w:pPr>
              <w:keepNext w:val="false"/>
              <w:spacing w:after="20" w:line="240"/>
              <w:jc w:val="left"/>
            </w:pPr>
            <w:r>
              <w:rPr>
                <w:sz w:val="17"/>
                <w:szCs w:val="17"/>
              </w:rPr>
              <w:t xml:space="preserve">3. Coordinación del ecosistema</w:t>
            </w:r>
          </w:p>
        </w:tc>
        <w:tc>
          <w:tcPr>
            <w:tcW w:type="dxa" w:w="3060"/>
            <w:tcMar>
              <w:top w:type="dxa" w:w="50"/>
              <w:left w:type="dxa" w:w="80"/>
              <w:bottom w:type="dxa" w:w="50"/>
              <w:right w:type="dxa" w:w="80"/>
            </w:tcMar>
            <w:vAlign w:val="center"/>
          </w:tcPr>
          <w:p>
            <w:pPr>
              <w:keepNext w:val="false"/>
              <w:spacing w:after="20" w:line="240"/>
              <w:jc w:val="left"/>
            </w:pPr>
            <w:r>
              <w:rPr>
                <w:sz w:val="17"/>
                <w:szCs w:val="17"/>
              </w:rPr>
              <w:t xml:space="preserve">¿Cómo se articulan los múltiples actores?</w:t>
            </w:r>
          </w:p>
        </w:tc>
        <w:tc>
          <w:tcPr>
            <w:tcW w:type="dxa" w:w="2520"/>
            <w:tcMar>
              <w:top w:type="dxa" w:w="50"/>
              <w:left w:type="dxa" w:w="80"/>
              <w:bottom w:type="dxa" w:w="50"/>
              <w:right w:type="dxa" w:w="80"/>
            </w:tcMar>
            <w:vAlign w:val="center"/>
          </w:tcPr>
          <w:p>
            <w:pPr>
              <w:keepNext w:val="false"/>
              <w:spacing w:after="20" w:line="240"/>
              <w:jc w:val="left"/>
            </w:pPr>
            <w:r>
              <w:rPr>
                <w:sz w:val="17"/>
                <w:szCs w:val="17"/>
              </w:rPr>
              <w:t xml:space="preserve">B1 / FCE 1</w:t>
            </w:r>
          </w:p>
        </w:tc>
      </w:tr>
      <w:tr>
        <w:trPr>
          <w:cantSplit/>
        </w:trPr>
        <w:tc>
          <w:tcPr>
            <w:tcW w:type="dxa" w:w="1260"/>
            <w:tcMar>
              <w:top w:type="dxa" w:w="50"/>
              <w:left w:type="dxa" w:w="80"/>
              <w:bottom w:type="dxa" w:w="50"/>
              <w:right w:type="dxa" w:w="80"/>
            </w:tcMar>
            <w:vAlign w:val="center"/>
          </w:tcPr>
          <w:p>
            <w:pPr>
              <w:keepNext w:val="false"/>
              <w:spacing w:after="20" w:line="240"/>
              <w:jc w:val="left"/>
            </w:pPr>
            <w:r>
              <w:rPr>
                <w:sz w:val="17"/>
                <w:szCs w:val="17"/>
              </w:rPr>
              <w:t xml:space="preserve">Ejecución</w:t>
            </w:r>
          </w:p>
        </w:tc>
        <w:tc>
          <w:tcPr>
            <w:tcW w:type="dxa" w:w="2160"/>
            <w:tcMar>
              <w:top w:type="dxa" w:w="50"/>
              <w:left w:type="dxa" w:w="80"/>
              <w:bottom w:type="dxa" w:w="50"/>
              <w:right w:type="dxa" w:w="80"/>
            </w:tcMar>
            <w:vAlign w:val="center"/>
          </w:tcPr>
          <w:p>
            <w:pPr>
              <w:keepNext w:val="false"/>
              <w:spacing w:after="20" w:line="240"/>
              <w:jc w:val="left"/>
            </w:pPr>
            <w:r>
              <w:rPr>
                <w:sz w:val="17"/>
                <w:szCs w:val="17"/>
              </w:rPr>
              <w:t xml:space="preserve">4. Modelo de ejecución técnica</w:t>
            </w:r>
          </w:p>
        </w:tc>
        <w:tc>
          <w:tcPr>
            <w:tcW w:type="dxa" w:w="3060"/>
            <w:tcMar>
              <w:top w:type="dxa" w:w="50"/>
              <w:left w:type="dxa" w:w="80"/>
              <w:bottom w:type="dxa" w:w="50"/>
              <w:right w:type="dxa" w:w="80"/>
            </w:tcMar>
            <w:vAlign w:val="center"/>
          </w:tcPr>
          <w:p>
            <w:pPr>
              <w:keepNext w:val="false"/>
              <w:spacing w:after="20" w:line="240"/>
              <w:jc w:val="left"/>
            </w:pPr>
            <w:r>
              <w:rPr>
                <w:sz w:val="17"/>
                <w:szCs w:val="17"/>
              </w:rPr>
              <w:t xml:space="preserve">¿Quién construye los sistemas: la agencia, una empresa, la industria?</w:t>
            </w:r>
          </w:p>
        </w:tc>
        <w:tc>
          <w:tcPr>
            <w:tcW w:type="dxa" w:w="2520"/>
            <w:tcMar>
              <w:top w:type="dxa" w:w="50"/>
              <w:left w:type="dxa" w:w="80"/>
              <w:bottom w:type="dxa" w:w="50"/>
              <w:right w:type="dxa" w:w="80"/>
            </w:tcMar>
            <w:vAlign w:val="center"/>
          </w:tcPr>
          <w:p>
            <w:pPr>
              <w:keepNext w:val="false"/>
              <w:spacing w:after="20" w:line="240"/>
              <w:jc w:val="left"/>
            </w:pPr>
            <w:r>
              <w:rPr>
                <w:sz w:val="17"/>
                <w:szCs w:val="17"/>
              </w:rPr>
              <w:t xml:space="preserve">B3 / FCE 2</w:t>
            </w:r>
          </w:p>
        </w:tc>
      </w:tr>
      <w:tr>
        <w:trPr>
          <w:cantSplit/>
        </w:trPr>
        <w:tc>
          <w:tcPr>
            <w:tcW w:type="dxa" w:w="1260"/>
            <w:tcMar>
              <w:top w:type="dxa" w:w="50"/>
              <w:left w:type="dxa" w:w="80"/>
              <w:bottom w:type="dxa" w:w="50"/>
              <w:right w:type="dxa" w:w="80"/>
            </w:tcMar>
            <w:vAlign w:val="center"/>
          </w:tcPr>
          <w:p>
            <w:pPr>
              <w:keepNext w:val="false"/>
              <w:spacing w:after="20" w:line="240"/>
              <w:jc w:val="left"/>
            </w:pPr>
            <w:r>
              <w:rPr>
                <w:sz w:val="17"/>
                <w:szCs w:val="17"/>
              </w:rPr>
              <w:t xml:space="preserve">Ejecución</w:t>
            </w:r>
          </w:p>
        </w:tc>
        <w:tc>
          <w:tcPr>
            <w:tcW w:type="dxa" w:w="2160"/>
            <w:tcMar>
              <w:top w:type="dxa" w:w="50"/>
              <w:left w:type="dxa" w:w="80"/>
              <w:bottom w:type="dxa" w:w="50"/>
              <w:right w:type="dxa" w:w="80"/>
            </w:tcMar>
            <w:vAlign w:val="center"/>
          </w:tcPr>
          <w:p>
            <w:pPr>
              <w:keepNext w:val="false"/>
              <w:spacing w:after="20" w:line="240"/>
              <w:jc w:val="left"/>
            </w:pPr>
            <w:r>
              <w:rPr>
                <w:sz w:val="17"/>
                <w:szCs w:val="17"/>
              </w:rPr>
              <w:t xml:space="preserve">5. Rol de la industria y proveedores</w:t>
            </w:r>
          </w:p>
        </w:tc>
        <w:tc>
          <w:tcPr>
            <w:tcW w:type="dxa" w:w="3060"/>
            <w:tcMar>
              <w:top w:type="dxa" w:w="50"/>
              <w:left w:type="dxa" w:w="80"/>
              <w:bottom w:type="dxa" w:w="50"/>
              <w:right w:type="dxa" w:w="80"/>
            </w:tcMar>
            <w:vAlign w:val="center"/>
          </w:tcPr>
          <w:p>
            <w:pPr>
              <w:keepNext w:val="false"/>
              <w:spacing w:after="20" w:line="240"/>
              <w:jc w:val="left"/>
            </w:pPr>
            <w:r>
              <w:rPr>
                <w:sz w:val="17"/>
                <w:szCs w:val="17"/>
              </w:rPr>
              <w:t xml:space="preserve">¿Existe una red de proveedores nacionales?</w:t>
            </w:r>
          </w:p>
        </w:tc>
        <w:tc>
          <w:tcPr>
            <w:tcW w:type="dxa" w:w="2520"/>
            <w:tcMar>
              <w:top w:type="dxa" w:w="50"/>
              <w:left w:type="dxa" w:w="80"/>
              <w:bottom w:type="dxa" w:w="50"/>
              <w:right w:type="dxa" w:w="80"/>
            </w:tcMar>
            <w:vAlign w:val="center"/>
          </w:tcPr>
          <w:p>
            <w:pPr>
              <w:keepNext w:val="false"/>
              <w:spacing w:after="20" w:line="240"/>
              <w:jc w:val="left"/>
            </w:pPr>
            <w:r>
              <w:rPr>
                <w:sz w:val="17"/>
                <w:szCs w:val="17"/>
              </w:rPr>
              <w:t xml:space="preserve">FCE 2 y FCE 5</w:t>
            </w:r>
          </w:p>
        </w:tc>
      </w:tr>
      <w:tr>
        <w:trPr>
          <w:cantSplit/>
        </w:trPr>
        <w:tc>
          <w:tcPr>
            <w:tcW w:type="dxa" w:w="1260"/>
            <w:tcMar>
              <w:top w:type="dxa" w:w="50"/>
              <w:left w:type="dxa" w:w="80"/>
              <w:bottom w:type="dxa" w:w="50"/>
              <w:right w:type="dxa" w:w="80"/>
            </w:tcMar>
            <w:vAlign w:val="center"/>
          </w:tcPr>
          <w:p>
            <w:pPr>
              <w:keepNext w:val="false"/>
              <w:spacing w:after="20" w:line="240"/>
              <w:jc w:val="left"/>
            </w:pPr>
            <w:r>
              <w:rPr>
                <w:sz w:val="17"/>
                <w:szCs w:val="17"/>
              </w:rPr>
              <w:t xml:space="preserve">Transferencia</w:t>
            </w:r>
          </w:p>
        </w:tc>
        <w:tc>
          <w:tcPr>
            <w:tcW w:type="dxa" w:w="2160"/>
            <w:tcMar>
              <w:top w:type="dxa" w:w="50"/>
              <w:left w:type="dxa" w:w="80"/>
              <w:bottom w:type="dxa" w:w="50"/>
              <w:right w:type="dxa" w:w="80"/>
            </w:tcMar>
            <w:vAlign w:val="center"/>
          </w:tcPr>
          <w:p>
            <w:pPr>
              <w:keepNext w:val="false"/>
              <w:spacing w:after="20" w:line="240"/>
              <w:jc w:val="left"/>
            </w:pPr>
            <w:r>
              <w:rPr>
                <w:sz w:val="17"/>
                <w:szCs w:val="17"/>
              </w:rPr>
              <w:t xml:space="preserve">6. Mecanismos de transferencia</w:t>
            </w:r>
          </w:p>
        </w:tc>
        <w:tc>
          <w:tcPr>
            <w:tcW w:type="dxa" w:w="3060"/>
            <w:tcMar>
              <w:top w:type="dxa" w:w="50"/>
              <w:left w:type="dxa" w:w="80"/>
              <w:bottom w:type="dxa" w:w="50"/>
              <w:right w:type="dxa" w:w="80"/>
            </w:tcMar>
            <w:vAlign w:val="center"/>
          </w:tcPr>
          <w:p>
            <w:pPr>
              <w:keepNext w:val="false"/>
              <w:spacing w:after="20" w:line="240"/>
              <w:jc w:val="left"/>
            </w:pPr>
            <w:r>
              <w:rPr>
                <w:sz w:val="17"/>
                <w:szCs w:val="17"/>
              </w:rPr>
              <w:t xml:space="preserve">¿Qué vías formales trasladan tecnología al sector productivo?</w:t>
            </w:r>
          </w:p>
        </w:tc>
        <w:tc>
          <w:tcPr>
            <w:tcW w:type="dxa" w:w="2520"/>
            <w:tcMar>
              <w:top w:type="dxa" w:w="50"/>
              <w:left w:type="dxa" w:w="80"/>
              <w:bottom w:type="dxa" w:w="50"/>
              <w:right w:type="dxa" w:w="80"/>
            </w:tcMar>
            <w:vAlign w:val="center"/>
          </w:tcPr>
          <w:p>
            <w:pPr>
              <w:keepNext w:val="false"/>
              <w:spacing w:after="20" w:line="240"/>
              <w:jc w:val="left"/>
            </w:pPr>
            <w:r>
              <w:rPr>
                <w:sz w:val="17"/>
                <w:szCs w:val="17"/>
              </w:rPr>
              <w:t xml:space="preserve">FCE 2 y FCE 3</w:t>
            </w:r>
          </w:p>
        </w:tc>
      </w:tr>
      <w:tr>
        <w:trPr>
          <w:cantSplit/>
        </w:trPr>
        <w:tc>
          <w:tcPr>
            <w:tcW w:type="dxa" w:w="1260"/>
            <w:tcMar>
              <w:top w:type="dxa" w:w="50"/>
              <w:left w:type="dxa" w:w="80"/>
              <w:bottom w:type="dxa" w:w="50"/>
              <w:right w:type="dxa" w:w="80"/>
            </w:tcMar>
            <w:vAlign w:val="center"/>
          </w:tcPr>
          <w:p>
            <w:pPr>
              <w:keepNext w:val="false"/>
              <w:spacing w:after="20" w:line="240"/>
              <w:jc w:val="left"/>
            </w:pPr>
            <w:r>
              <w:rPr>
                <w:sz w:val="17"/>
                <w:szCs w:val="17"/>
              </w:rPr>
              <w:t xml:space="preserve">Transferencia</w:t>
            </w:r>
          </w:p>
        </w:tc>
        <w:tc>
          <w:tcPr>
            <w:tcW w:type="dxa" w:w="2160"/>
            <w:tcMar>
              <w:top w:type="dxa" w:w="50"/>
              <w:left w:type="dxa" w:w="80"/>
              <w:bottom w:type="dxa" w:w="50"/>
              <w:right w:type="dxa" w:w="80"/>
            </w:tcMar>
            <w:vAlign w:val="center"/>
          </w:tcPr>
          <w:p>
            <w:pPr>
              <w:keepNext w:val="false"/>
              <w:spacing w:after="20" w:line="240"/>
              <w:jc w:val="left"/>
            </w:pPr>
            <w:r>
              <w:rPr>
                <w:sz w:val="17"/>
                <w:szCs w:val="17"/>
              </w:rPr>
              <w:t xml:space="preserve">7. Política de datos y acceso</w:t>
            </w:r>
          </w:p>
        </w:tc>
        <w:tc>
          <w:tcPr>
            <w:tcW w:type="dxa" w:w="3060"/>
            <w:tcMar>
              <w:top w:type="dxa" w:w="50"/>
              <w:left w:type="dxa" w:w="80"/>
              <w:bottom w:type="dxa" w:w="50"/>
              <w:right w:type="dxa" w:w="80"/>
            </w:tcMar>
            <w:vAlign w:val="center"/>
          </w:tcPr>
          <w:p>
            <w:pPr>
              <w:keepNext w:val="false"/>
              <w:spacing w:after="20" w:line="240"/>
              <w:jc w:val="left"/>
            </w:pPr>
            <w:r>
              <w:rPr>
                <w:sz w:val="17"/>
                <w:szCs w:val="17"/>
              </w:rPr>
              <w:t xml:space="preserve">¿Los datos y servicios se abren a terceros?</w:t>
            </w:r>
          </w:p>
        </w:tc>
        <w:tc>
          <w:tcPr>
            <w:tcW w:type="dxa" w:w="2520"/>
            <w:tcMar>
              <w:top w:type="dxa" w:w="50"/>
              <w:left w:type="dxa" w:w="80"/>
              <w:bottom w:type="dxa" w:w="50"/>
              <w:right w:type="dxa" w:w="80"/>
            </w:tcMar>
            <w:vAlign w:val="center"/>
          </w:tcPr>
          <w:p>
            <w:pPr>
              <w:keepNext w:val="false"/>
              <w:spacing w:after="20" w:line="240"/>
              <w:jc w:val="left"/>
            </w:pPr>
            <w:r>
              <w:rPr>
                <w:sz w:val="17"/>
                <w:szCs w:val="17"/>
              </w:rPr>
              <w:t xml:space="preserve">B2 / FCE 3 y FCE 6</w:t>
            </w:r>
          </w:p>
        </w:tc>
      </w:tr>
      <w:tr>
        <w:trPr>
          <w:cantSplit/>
        </w:trPr>
        <w:tc>
          <w:tcPr>
            <w:tcW w:type="dxa" w:w="1260"/>
            <w:tcMar>
              <w:top w:type="dxa" w:w="50"/>
              <w:left w:type="dxa" w:w="80"/>
              <w:bottom w:type="dxa" w:w="50"/>
              <w:right w:type="dxa" w:w="80"/>
            </w:tcMar>
            <w:vAlign w:val="center"/>
          </w:tcPr>
          <w:p>
            <w:pPr>
              <w:keepNext w:val="false"/>
              <w:spacing w:after="20" w:line="240"/>
              <w:jc w:val="left"/>
            </w:pPr>
            <w:r>
              <w:rPr>
                <w:sz w:val="17"/>
                <w:szCs w:val="17"/>
              </w:rPr>
              <w:t xml:space="preserve">Transferencia</w:t>
            </w:r>
          </w:p>
        </w:tc>
        <w:tc>
          <w:tcPr>
            <w:tcW w:type="dxa" w:w="2160"/>
            <w:tcMar>
              <w:top w:type="dxa" w:w="50"/>
              <w:left w:type="dxa" w:w="80"/>
              <w:bottom w:type="dxa" w:w="50"/>
              <w:right w:type="dxa" w:w="80"/>
            </w:tcMar>
            <w:vAlign w:val="center"/>
          </w:tcPr>
          <w:p>
            <w:pPr>
              <w:keepNext w:val="false"/>
              <w:spacing w:after="20" w:line="240"/>
              <w:jc w:val="left"/>
            </w:pPr>
            <w:r>
              <w:rPr>
                <w:sz w:val="17"/>
                <w:szCs w:val="17"/>
              </w:rPr>
              <w:t xml:space="preserve">8. Resultado industrial observado</w:t>
            </w:r>
          </w:p>
        </w:tc>
        <w:tc>
          <w:tcPr>
            <w:tcW w:type="dxa" w:w="3060"/>
            <w:tcMar>
              <w:top w:type="dxa" w:w="50"/>
              <w:left w:type="dxa" w:w="80"/>
              <w:bottom w:type="dxa" w:w="50"/>
              <w:right w:type="dxa" w:w="80"/>
            </w:tcMar>
            <w:vAlign w:val="center"/>
          </w:tcPr>
          <w:p>
            <w:pPr>
              <w:keepNext w:val="false"/>
              <w:spacing w:after="20" w:line="240"/>
              <w:jc w:val="left"/>
            </w:pPr>
            <w:r>
              <w:rPr>
                <w:sz w:val="17"/>
                <w:szCs w:val="17"/>
              </w:rPr>
              <w:t xml:space="preserve">¿Qué industria o exportación se generó?</w:t>
            </w:r>
          </w:p>
        </w:tc>
        <w:tc>
          <w:tcPr>
            <w:tcW w:type="dxa" w:w="2520"/>
            <w:tcMar>
              <w:top w:type="dxa" w:w="50"/>
              <w:left w:type="dxa" w:w="80"/>
              <w:bottom w:type="dxa" w:w="50"/>
              <w:right w:type="dxa" w:w="80"/>
            </w:tcMar>
            <w:vAlign w:val="center"/>
          </w:tcPr>
          <w:p>
            <w:pPr>
              <w:keepNext w:val="false"/>
              <w:spacing w:after="20" w:line="240"/>
              <w:jc w:val="left"/>
            </w:pPr>
            <w:r>
              <w:rPr>
                <w:sz w:val="17"/>
                <w:szCs w:val="17"/>
              </w:rPr>
              <w:t xml:space="preserve">Dimensiones de escalamiento (1.2.5)</w:t>
            </w:r>
          </w:p>
        </w:tc>
      </w:tr>
    </w:tbl>
    <w:p>
      <w:pPr>
        <w:spacing w:after="200" w:before="60"/>
        <w:jc w:val="center"/>
      </w:pPr>
      <w:r>
        <w:rPr>
          <w:i/>
          <w:iCs/>
          <w:sz w:val="17"/>
          <w:szCs w:val="17"/>
        </w:rPr>
        <w:t xml:space="preserve">Fuente: Elaboración propia.</w:t>
      </w:r>
    </w:p>
    <w:p>
      <w:pPr>
        <w:pStyle w:val="Heading2"/>
      </w:pPr>
      <w:r>
        <w:t xml:space="preserve">5.4 Caso 1 — Argentina: la Comisión Nacional de Actividades Espaciales (CONAE)</w:t>
      </w:r>
    </w:p>
    <w:p>
      <w:pPr>
        <w:pStyle w:val="Heading3"/>
      </w:pPr>
      <w:r>
        <w:t xml:space="preserve">5.4.1 Naturaleza institucional y planificación</w:t>
      </w:r>
    </w:p>
    <w:p>
      <w:pPr>
        <w:spacing w:after="140" w:line="300"/>
        <w:jc w:val="both"/>
      </w:pPr>
      <w:r>
        <w:t xml:space="preserve">La CONAE fue creada en 1991 mediante el Decreto N.º 995/91 como el único organismo del Estado nacional competente para entender, diseñar, ejecutar, controlar, gestionar y administrar proyectos en materia espacial, en reemplazo de la antigua Comisión Nacional de Investigaciones Espaciales (Boletín Oficial de la República Argentina, 2019; Mars Society Argentina, s.f.). Su rasgo definitorio es el carácter civil: nació y se mantuvo como organismo descentralizado dependiente de carteras civiles, con una dependencia que varió en el tiempo, del Ministerio de Relaciones Exteriores a las áreas de ciencia, tecnología e innovación (Boletín Oficial de la República Argentina, 2022, 2026).</w:t>
      </w:r>
    </w:p>
    <w:p>
      <w:pPr>
        <w:spacing w:after="140" w:line="300"/>
        <w:jc w:val="both"/>
      </w:pPr>
      <w:r>
        <w:t xml:space="preserve">La actividad se ordena mediante el Plan Espacial Nacional, hoja de ruta de largo plazo cuya primera versión (Argentina en el Espacio 1995-2006) fue aprobada por decreto. Este instrumento dotó a la política espacial de una continuidad plurianual que trascendió los ciclos de gobierno, aunque no la inmunizó frente a los vaivenes presupuestarios recientes (Espaciotech, 2026).</w:t>
      </w:r>
    </w:p>
    <w:p>
      <w:pPr>
        <w:pStyle w:val="Heading3"/>
      </w:pPr>
      <w:r>
        <w:t xml:space="preserve">5.4.2 Modelo de ejecución: la articulación CONAE–INVAP</w:t>
      </w:r>
    </w:p>
    <w:p>
      <w:pPr>
        <w:spacing w:after="140" w:line="300"/>
        <w:jc w:val="both"/>
      </w:pPr>
      <w:r>
        <w:t xml:space="preserve">El elemento más relevante del caso argentino para esta memoria es el modelo de ejecución agencia-empresa. La CONAE define las misiones, desarrolla las cargas útiles e instrumentos científicos y actúa como arquitecto de misión; INVAP, empresa de alta tecnología propiedad de la provincia de Río Negro, actúa como contratista principal del diseño y la construcción de los satélites (INVAP, 2024, 2025). El caso paradigmático es la constelación SAOCOM, dos satélites de observación de la Tierra equipados con radar de apertura sintética (SAR) en banda L, una tecnología compleja sin experiencia previa en el país, que convirtió a Argentina en uno de los pocos estados capaces de construir ese tipo de plataforma (INVAP, 2024; GlobalSecurity, 2020).</w:t>
      </w:r>
    </w:p>
    <w:p>
      <w:pPr>
        <w:spacing w:after="140" w:line="300"/>
        <w:jc w:val="both"/>
      </w:pPr>
      <w:r>
        <w:t xml:space="preserve">La virtud de este arreglo es que el conocimiento no quedó encapsulado en el organismo público: la demanda sostenida de la agencia alimentó la acumulación de capacidades en una empresa que hoy exporta tecnología (reactores, radares, satélites). Es decir, la agencia operó como cliente ancla de una capacidad industrial nacional.</w:t>
      </w:r>
    </w:p>
    <w:p>
      <w:pPr>
        <w:pStyle w:val="Heading3"/>
      </w:pPr>
      <w:r>
        <w:t xml:space="preserve">5.4.3 Datos, cooperación internacional y resultado</w:t>
      </w:r>
    </w:p>
    <w:p>
      <w:pPr>
        <w:spacing w:after="140" w:line="300"/>
        <w:jc w:val="both"/>
      </w:pPr>
      <w:r>
        <w:t xml:space="preserve">La CONAE mantiene una política de datos abiertos: los productos SAOCOM y de otras misiones se distribuyen mediante catálogos geoespaciales de acceso libre, con aplicaciones en producción agropecuaria y gestión de emergencias (CONAE, s.f.; INVAP, 2020). Además, SAOCOM se integra en el Sistema Italo-Argentino de Satélites para la Gestión de Emergencias (SIASGE), en cooperación con la Agencia Espacial Italiana, lo que ilustra el uso de alianzas internacionales para amplificar el valor de la capacidad nacional (INVAP, 2020).</w:t>
      </w:r>
    </w:p>
    <w:p>
      <w:pPr>
        <w:spacing w:after="140" w:line="300"/>
        <w:jc w:val="both"/>
      </w:pPr>
      <w:r>
        <w:t xml:space="preserve">La CONAE atraviesa, según prensa reciente, una situación presupuestaria crítica, con recortes que afectan su operación (El Destape, 2025). Esto matiza la lectura del caso: un buen diseño institucional no es suficiente si no se acompaña de financiamiento sostenido, una lección directamente pertinente para el FCE 4 del CEN.</w:t>
      </w:r>
    </w:p>
    <w:p>
      <w:pPr>
        <w:pStyle w:val="Heading2"/>
      </w:pPr>
      <w:r>
        <w:t xml:space="preserve">5.5 Caso 2 — Brasil: la Agencia Espacial Brasileña (AEB)</w:t>
      </w:r>
    </w:p>
    <w:p>
      <w:pPr>
        <w:pStyle w:val="Heading3"/>
      </w:pPr>
      <w:r>
        <w:t xml:space="preserve">5.5.1 La transición de lo militar a lo civil</w:t>
      </w:r>
    </w:p>
    <w:p>
      <w:pPr>
        <w:spacing w:after="140" w:line="300"/>
        <w:jc w:val="both"/>
      </w:pPr>
      <w:r>
        <w:t xml:space="preserve">El programa espacial brasileño se inició en los años sesenta bajo conducción militar. El punto de inflexión llegó en 1994 con la creación de la AEB, que estableció el control civil del programa y lo liberó de parte de las restricciones y suspicacias internacionales asociadas a su origen militar, facilitando la cooperación externa (AEB, 2020a, 2020b). La AEB es una entidad civil descentralizada, vinculada al Ministerio de Ciencia, Tecnología e Innovación (AEB, 2020b). Este tránsito es el paralelo más directo con la tensión de origen del CEN descrita en el OE1 y el OE2, aunque conviene matizar que los resultados industriales del programa brasileño han sido dispares y que la ejecución sigue apoyándose en organismos militares.</w:t>
      </w:r>
    </w:p>
    <w:p>
      <w:pPr>
        <w:pStyle w:val="Heading3"/>
      </w:pPr>
      <w:r>
        <w:t xml:space="preserve">5.5.2 El SINDAE: gobernanza de sistema</w:t>
      </w:r>
    </w:p>
    <w:p>
      <w:pPr>
        <w:spacing w:after="140" w:line="300"/>
        <w:jc w:val="both"/>
      </w:pPr>
      <w:r>
        <w:t xml:space="preserve">La gobernanza se organiza mediante el Sistema Nacional de Desenvolvimento das Atividades Espaciais (SINDAE), instituido por decreto en 1996 ante el carácter multisectorial del programa. En este sistema, la AEB es el órgano central: formula la política (PNDAE) y el plan decenal (PNAE) y coordina su ejecución. La ejecución técnica recae en dos órganos sectoriales: el INPE (Instituto Nacional de Pesquisas Espaciais), civil, y el DCTA (Departamento de Ciência e Tecnologia Aeroespacial), dependiente de la Aeronáutica del Ministerio de Defensa (AEB, 2020a). La AEB cuenta además con un Consejo Superior con representantes de varios ministerios, de la comunidad científica y del sector industrial.</w:t>
      </w:r>
    </w:p>
    <w:p>
      <w:pPr>
        <w:spacing w:after="140" w:line="300"/>
        <w:jc w:val="both"/>
      </w:pPr>
      <w:r>
        <w:t xml:space="preserve">La lección de diseño es clave para Chile: Brasil no eliminó lo militar del programa espacial; lo subordinó a una conducción civil. El DCTA (militar) ejecuta proyectos estratégicos, pero no conduce la política del sector. Esta separación entre conducción (civil) y ejecución (civil y militar) ofrece una plantilla potencialmente aplicable a la tensión FACh-civil del CEN, cuya transferibilidad se evalúa en la sección 5.11.</w:t>
      </w:r>
    </w:p>
    <w:p>
      <w:pPr>
        <w:pStyle w:val="Heading3"/>
      </w:pPr>
      <w:r>
        <w:t xml:space="preserve">5.5.3 Planificación, transferencia e industria</w:t>
      </w:r>
    </w:p>
    <w:p>
      <w:pPr>
        <w:spacing w:after="140" w:line="300"/>
        <w:jc w:val="both"/>
      </w:pPr>
      <w:r>
        <w:t xml:space="preserve">El instrumento de planificación vigente es el Programa Nacional de Atividades Espaciais (PNAE) 2022-2031, orientado explícitamente a atender necesidades reales de la sociedad (AEB, 2022). En materia de transferencia, la AEB dispone de instrumentos como la encomienda tecnológica (ETEC), contratación pública de desarrollo con riesgo tecnológico compartido, y recientemente formalizó una política de innovación para fortalecer el sector espacial nacional (AEB, s.f.; Meganesia, 2026). Brasil cuenta además con infraestructura de lanzamiento (centros de Alcântara y Barreira do Inferno), un activo del que Chile carece.</w:t>
      </w:r>
    </w:p>
    <w:p>
      <w:pPr>
        <w:pStyle w:val="Heading2"/>
      </w:pPr>
      <w:r>
        <w:t xml:space="preserve">5.6 Caso 3 — Corea del Sur: del KARI estatal a la industria privada</w:t>
      </w:r>
    </w:p>
    <w:p>
      <w:pPr>
        <w:pStyle w:val="Heading3"/>
      </w:pPr>
      <w:r>
        <w:t xml:space="preserve">5.6.1 Una trayectoria de industrialización dirigida</w:t>
      </w:r>
    </w:p>
    <w:p>
      <w:pPr>
        <w:spacing w:after="140" w:line="300"/>
        <w:jc w:val="both"/>
      </w:pPr>
      <w:r>
        <w:t xml:space="preserve">Corea del Sur estableció el KARI (Korea Aerospace Research Institute) en 1989 con el objetivo explícito de impulsar el crecimiento de su industria aeroespacial doméstica (CSIS, 2024). A diferencia de los casos latinoamericanos, el coreano ilustra la etapa final del escalamiento: el traspaso del liderazgo desde el Estado hacia una industria privada competitiva; por eso se incluye a pesar de estar fuera de la región. En 2024, Corea reorganizó su institucionalidad creando la agencia KASA (Korea AeroSpace Administration) para ganar eficiencia y ambición estratégica (CSIS, 2024).</w:t>
      </w:r>
    </w:p>
    <w:p>
      <w:pPr>
        <w:pStyle w:val="Heading3"/>
      </w:pPr>
      <w:r>
        <w:t xml:space="preserve">5.6.2 La transferencia del cohete Nuri: un mecanismo documentado</w:t>
      </w:r>
    </w:p>
    <w:p>
      <w:pPr>
        <w:spacing w:after="140" w:line="300"/>
        <w:jc w:val="both"/>
      </w:pPr>
      <w:r>
        <w:t xml:space="preserve">El mecanismo más ilustrativo es la transferencia del vehículo lanzador Nuri (KSLV-II) al sector privado. Tras desarrollarlo bajo liderazgo estatal durante más de una década (2010-2023), con la participación de más de 300 empresas, KARI firmó en 2025 un acuerdo para transferir la tecnología del cohete a Hanwha Aerospace, con el objetivo declarado de formar un operador privado competitivo, en analogía explícita con la transferencia de la NASA hacia operadores privados estadounidenses (KARI, s.f.; Chosun, 2025; Hanwha, 2025; Korea Times, 2025). Dos rasgos de este mecanismo son decisivos para el CEN:</w:t>
      </w:r>
    </w:p>
    <w:p>
      <w:pPr>
        <w:pStyle w:val="ListParagraph"/>
        <w:numPr>
          <w:ilvl w:val="0"/>
          <w:numId w:val="2"/>
        </w:numPr>
        <w:spacing w:after="80" w:line="290"/>
        <w:jc w:val="both"/>
      </w:pPr>
      <w:r>
        <w:t xml:space="preserve">La transferencia fue formal, contractual y onerosa (con un valor económico explícito), no una cesión informal ni una mera colaboración; esto crea obligaciones, derechos de uso y continuidad.</w:t>
      </w:r>
    </w:p>
    <w:p>
      <w:pPr>
        <w:pStyle w:val="ListParagraph"/>
        <w:numPr>
          <w:ilvl w:val="0"/>
          <w:numId w:val="2"/>
        </w:numPr>
        <w:spacing w:after="80" w:line="290"/>
        <w:jc w:val="both"/>
      </w:pPr>
      <w:r>
        <w:t xml:space="preserve">Estuvo precedida por años de participación de proveedores privados en el desarrollo. La capacidad de absorción (Cohen &amp; Levinthal, 1990) de la empresa receptora no se improvisó: se construyó durante el propio proyecto estatal.</w:t>
      </w:r>
    </w:p>
    <w:p>
      <w:pPr>
        <w:spacing w:after="140" w:line="300"/>
        <w:jc w:val="both"/>
      </w:pPr>
      <w:r>
        <w:t xml:space="preserve">Corea complementó el mecanismo con una revisión de su marco legal para clarificar las licencias de transferencia tecnológica, fijar responsabilidades de comercialización e incentivar la adopción privada, convirtiendo el marco jurídico en un catalizador para transformar inversión pública en valor comercial (International Astronautical Federation [IAF], 2026).</w:t>
      </w:r>
    </w:p>
    <w:p>
      <w:pPr>
        <w:pStyle w:val="Heading2"/>
      </w:pPr>
      <w:r>
        <w:t xml:space="preserve">5.7 Caso 4 — México: la AEM como contraejemplo</w:t>
      </w:r>
    </w:p>
    <w:p>
      <w:pPr>
        <w:spacing w:after="140" w:line="300"/>
        <w:jc w:val="both"/>
      </w:pPr>
      <w:r>
        <w:t xml:space="preserve">La Agencia Espacial Mexicana (AEM) fue creada por ley publicada en el Diario Oficial de la Federación el 30 de julio de 2010 y comenzó a operar con presupuesto propio hacia 2013, como organismo descentralizado sectorizado inicialmente en la Secretaría de Comunicaciones y Transportes (AEM, 2020; Reconoce, 2012). A diferencia de CONAE o AEB, la AEM no dispone de infraestructura propia (centros de ensamblaje, laboratorios o estaciones): su mandato se centró en promover y coordinar educación, investigación y desarrollo de actividades espaciales (AEM, 2020).</w:t>
      </w:r>
    </w:p>
    <w:p>
      <w:pPr>
        <w:spacing w:after="140" w:line="300"/>
        <w:jc w:val="both"/>
      </w:pPr>
      <w:r>
        <w:t xml:space="preserve">El caso mexicano funciona como advertencia: una agencia civil con mandato legal, pero sin capacidad instalada ni financiamiento robusto, tiende a quedar reducida a un rol de coordinación con bajo impacto industrial; de hecho, su institucionalidad fue reestructurada en 2025 (Springer Nature, 2025). Para Chile, la lección es doble: (i) la institucionalidad civil es necesaria pero no suficiente si no se acompaña de capacidad instalada y presupuesto, y el CEN precisamente aporta la capacidad instalada que a México le faltó; y (ii) crear una agencia no debe confundirse con resolver el aprovechamiento de las capacidades, si no se la dota de activos y recursos.</w:t>
      </w:r>
    </w:p>
    <w:p>
      <w:pPr>
        <w:pStyle w:val="Heading2"/>
      </w:pPr>
      <w:r>
        <w:t xml:space="preserve">5.8 Caso complementario — Portugal: Portugal Espaço 2030</w:t>
      </w:r>
    </w:p>
    <w:p>
      <w:pPr>
        <w:spacing w:after="140" w:line="300"/>
        <w:jc w:val="both"/>
      </w:pPr>
      <w:r>
        <w:t xml:space="preserve">Portugal comparte con Chile una escala acotada y un ingreso relativamente tardío al sector, pero construyó una estrategia explícita con metas cuantificadas. Se presenta como caso complementario de apoyo, sin alterar la estructura de los cuatro casos principales de la matriz comparativa. La Tabla 25 resume su arreglo según los criterios de la sección 5.3.</w:t>
      </w:r>
    </w:p>
    <w:p>
      <w:pPr>
        <w:pStyle w:val="Caption"/>
        <w:keepNext/>
        <w:spacing w:after="80" w:before="200"/>
        <w:jc w:val="center"/>
      </w:pPr>
      <w:r>
        <w:rPr>
          <w:b/>
          <w:bCs/>
        </w:rPr>
        <w:t xml:space="preserve">Tabla </w:t>
      </w:r>
      <w:fldSimple w:instr="SEQ Tabla \* ARABIC">
        <w:r>
          <w:t xml:space="preserve">25</w:t>
        </w:r>
      </w:fldSimple>
      <w:r>
        <w:rPr>
          <w:b/>
          <w:bCs/>
        </w:rPr>
        <w:t xml:space="preserve">. Portugal (Portugal Espaço 2030) según los criterios de comparación</w:t>
      </w:r>
    </w:p>
    <w:tbl>
      <w:tblPr>
        <w:tblW w:type="dxa" w:w="9000"/>
        <w:tblBorders>
          <w:top w:val="single" w:color="A6A6A6" w:sz="4"/>
          <w:left w:val="single" w:color="A6A6A6" w:sz="4"/>
          <w:bottom w:val="single" w:color="A6A6A6" w:sz="4"/>
          <w:right w:val="single" w:color="A6A6A6" w:sz="4"/>
          <w:insideH w:val="single" w:color="A6A6A6" w:sz="4"/>
          <w:insideV w:val="single" w:color="A6A6A6" w:sz="4"/>
        </w:tblBorders>
      </w:tblPr>
      <w:tblGrid>
        <w:gridCol w:w="2340"/>
        <w:gridCol w:w="5040"/>
        <w:gridCol w:w="1620"/>
      </w:tblGrid>
      <w:tr>
        <w:trPr>
          <w:cantSplit/>
          <w:tblHeader/>
        </w:trPr>
        <w:tc>
          <w:tcPr>
            <w:tcW w:type="dxa" w:w="234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Criterio</w:t>
            </w:r>
          </w:p>
        </w:tc>
        <w:tc>
          <w:tcPr>
            <w:tcW w:type="dxa" w:w="504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Hallazgo</w:t>
            </w:r>
          </w:p>
        </w:tc>
        <w:tc>
          <w:tcPr>
            <w:tcW w:type="dxa" w:w="162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Conf.</w:t>
            </w:r>
          </w:p>
        </w:tc>
      </w:tr>
      <w:tr>
        <w:trPr>
          <w:cantSplit/>
        </w:trPr>
        <w:tc>
          <w:tcPr>
            <w:tcW w:type="dxa" w:w="2340"/>
            <w:tcMar>
              <w:top w:type="dxa" w:w="50"/>
              <w:left w:type="dxa" w:w="80"/>
              <w:bottom w:type="dxa" w:w="50"/>
              <w:right w:type="dxa" w:w="80"/>
            </w:tcMar>
            <w:vAlign w:val="center"/>
          </w:tcPr>
          <w:p>
            <w:pPr>
              <w:keepNext w:val="false"/>
              <w:spacing w:after="20" w:line="240"/>
              <w:jc w:val="left"/>
            </w:pPr>
            <w:r>
              <w:rPr>
                <w:sz w:val="17"/>
                <w:szCs w:val="17"/>
              </w:rPr>
              <w:t xml:space="preserve">1. Naturaleza institucional</w:t>
            </w:r>
          </w:p>
        </w:tc>
        <w:tc>
          <w:tcPr>
            <w:tcW w:type="dxa" w:w="5040"/>
            <w:tcMar>
              <w:top w:type="dxa" w:w="50"/>
              <w:left w:type="dxa" w:w="80"/>
              <w:bottom w:type="dxa" w:w="50"/>
              <w:right w:type="dxa" w:w="80"/>
            </w:tcMar>
            <w:vAlign w:val="center"/>
          </w:tcPr>
          <w:p>
            <w:pPr>
              <w:keepNext w:val="false"/>
              <w:spacing w:after="20" w:line="240"/>
              <w:jc w:val="left"/>
            </w:pPr>
            <w:r>
              <w:rPr>
                <w:sz w:val="17"/>
                <w:szCs w:val="17"/>
              </w:rPr>
              <w:t xml:space="preserve">La Agência Espacial Portuguesa (Portugal Space) fue creada por el Gobierno para implementar la Estrategia Nacional para el Espacio «Portugal Espaço 2030».</w:t>
            </w:r>
          </w:p>
        </w:tc>
        <w:tc>
          <w:tcPr>
            <w:tcW w:type="dxa" w:w="1620"/>
            <w:tcMar>
              <w:top w:type="dxa" w:w="50"/>
              <w:left w:type="dxa" w:w="80"/>
              <w:bottom w:type="dxa" w:w="50"/>
              <w:right w:type="dxa" w:w="80"/>
            </w:tcMar>
            <w:vAlign w:val="center"/>
          </w:tcPr>
          <w:p>
            <w:pPr>
              <w:keepNext w:val="false"/>
              <w:spacing w:after="20" w:line="240"/>
              <w:jc w:val="center"/>
            </w:pPr>
            <w:r>
              <w:rPr>
                <w:sz w:val="17"/>
                <w:szCs w:val="17"/>
              </w:rPr>
              <w:t xml:space="preserve">Media</w:t>
            </w:r>
          </w:p>
        </w:tc>
      </w:tr>
      <w:tr>
        <w:trPr>
          <w:cantSplit/>
        </w:trPr>
        <w:tc>
          <w:tcPr>
            <w:tcW w:type="dxa" w:w="2340"/>
            <w:tcMar>
              <w:top w:type="dxa" w:w="50"/>
              <w:left w:type="dxa" w:w="80"/>
              <w:bottom w:type="dxa" w:w="50"/>
              <w:right w:type="dxa" w:w="80"/>
            </w:tcMar>
            <w:vAlign w:val="center"/>
          </w:tcPr>
          <w:p>
            <w:pPr>
              <w:keepNext w:val="false"/>
              <w:spacing w:after="20" w:line="240"/>
              <w:jc w:val="left"/>
            </w:pPr>
            <w:r>
              <w:rPr>
                <w:sz w:val="17"/>
                <w:szCs w:val="17"/>
              </w:rPr>
              <w:t xml:space="preserve">2. Instrumento de planificación</w:t>
            </w:r>
          </w:p>
        </w:tc>
        <w:tc>
          <w:tcPr>
            <w:tcW w:type="dxa" w:w="5040"/>
            <w:tcMar>
              <w:top w:type="dxa" w:w="50"/>
              <w:left w:type="dxa" w:w="80"/>
              <w:bottom w:type="dxa" w:w="50"/>
              <w:right w:type="dxa" w:w="80"/>
            </w:tcMar>
            <w:vAlign w:val="center"/>
          </w:tcPr>
          <w:p>
            <w:pPr>
              <w:keepNext w:val="false"/>
              <w:spacing w:after="20" w:line="240"/>
              <w:jc w:val="left"/>
            </w:pPr>
            <w:r>
              <w:rPr>
                <w:sz w:val="17"/>
                <w:szCs w:val="17"/>
              </w:rPr>
              <w:t xml:space="preserve">La estrategia busca multiplicar por diez la inversión en espacio hacia 2030, alcanzar cerca de 500 millones de euros anuales en actividades espaciales y crear alrededor de mil empleos calificados (2020-2030), con un balance 50/50 entre sector público y privado.</w:t>
            </w:r>
          </w:p>
        </w:tc>
        <w:tc>
          <w:tcPr>
            <w:tcW w:type="dxa" w:w="1620"/>
            <w:tcMar>
              <w:top w:type="dxa" w:w="50"/>
              <w:left w:type="dxa" w:w="80"/>
              <w:bottom w:type="dxa" w:w="50"/>
              <w:right w:type="dxa" w:w="80"/>
            </w:tcMar>
            <w:vAlign w:val="center"/>
          </w:tcPr>
          <w:p>
            <w:pPr>
              <w:keepNext w:val="false"/>
              <w:spacing w:after="20" w:line="240"/>
              <w:jc w:val="center"/>
            </w:pPr>
            <w:r>
              <w:rPr>
                <w:sz w:val="17"/>
                <w:szCs w:val="17"/>
              </w:rPr>
              <w:t xml:space="preserve">Media</w:t>
            </w:r>
          </w:p>
        </w:tc>
      </w:tr>
      <w:tr>
        <w:trPr>
          <w:cantSplit/>
        </w:trPr>
        <w:tc>
          <w:tcPr>
            <w:tcW w:type="dxa" w:w="2340"/>
            <w:tcMar>
              <w:top w:type="dxa" w:w="50"/>
              <w:left w:type="dxa" w:w="80"/>
              <w:bottom w:type="dxa" w:w="50"/>
              <w:right w:type="dxa" w:w="80"/>
            </w:tcMar>
            <w:vAlign w:val="center"/>
          </w:tcPr>
          <w:p>
            <w:pPr>
              <w:keepNext w:val="false"/>
              <w:spacing w:after="20" w:line="240"/>
              <w:jc w:val="left"/>
            </w:pPr>
            <w:r>
              <w:rPr>
                <w:sz w:val="17"/>
                <w:szCs w:val="17"/>
              </w:rPr>
              <w:t xml:space="preserve">3. Coordinación del ecosistema</w:t>
            </w:r>
          </w:p>
        </w:tc>
        <w:tc>
          <w:tcPr>
            <w:tcW w:type="dxa" w:w="5040"/>
            <w:tcMar>
              <w:top w:type="dxa" w:w="50"/>
              <w:left w:type="dxa" w:w="80"/>
              <w:bottom w:type="dxa" w:w="50"/>
              <w:right w:type="dxa" w:w="80"/>
            </w:tcMar>
            <w:vAlign w:val="center"/>
          </w:tcPr>
          <w:p>
            <w:pPr>
              <w:keepNext w:val="false"/>
              <w:spacing w:after="20" w:line="240"/>
              <w:jc w:val="left"/>
            </w:pPr>
            <w:r>
              <w:rPr>
                <w:sz w:val="17"/>
                <w:szCs w:val="17"/>
              </w:rPr>
              <w:t xml:space="preserve">Coordinación a cargo de la agencia en torno a la estrategia nacional; detalle de mecanismos n/d.</w:t>
            </w:r>
          </w:p>
        </w:tc>
        <w:tc>
          <w:tcPr>
            <w:tcW w:type="dxa" w:w="1620"/>
            <w:tcMar>
              <w:top w:type="dxa" w:w="50"/>
              <w:left w:type="dxa" w:w="80"/>
              <w:bottom w:type="dxa" w:w="50"/>
              <w:right w:type="dxa" w:w="80"/>
            </w:tcMar>
            <w:vAlign w:val="center"/>
          </w:tcPr>
          <w:p>
            <w:pPr>
              <w:keepNext w:val="false"/>
              <w:spacing w:after="20" w:line="240"/>
              <w:jc w:val="center"/>
            </w:pPr>
            <w:r>
              <w:rPr>
                <w:sz w:val="17"/>
                <w:szCs w:val="17"/>
              </w:rPr>
              <w:t xml:space="preserve">Baja</w:t>
            </w:r>
          </w:p>
        </w:tc>
      </w:tr>
      <w:tr>
        <w:trPr>
          <w:cantSplit/>
        </w:trPr>
        <w:tc>
          <w:tcPr>
            <w:tcW w:type="dxa" w:w="2340"/>
            <w:tcMar>
              <w:top w:type="dxa" w:w="50"/>
              <w:left w:type="dxa" w:w="80"/>
              <w:bottom w:type="dxa" w:w="50"/>
              <w:right w:type="dxa" w:w="80"/>
            </w:tcMar>
            <w:vAlign w:val="center"/>
          </w:tcPr>
          <w:p>
            <w:pPr>
              <w:keepNext w:val="false"/>
              <w:spacing w:after="20" w:line="240"/>
              <w:jc w:val="left"/>
            </w:pPr>
            <w:r>
              <w:rPr>
                <w:sz w:val="17"/>
                <w:szCs w:val="17"/>
              </w:rPr>
              <w:t xml:space="preserve">4-6. Ejecución, industria y transferencia</w:t>
            </w:r>
          </w:p>
        </w:tc>
        <w:tc>
          <w:tcPr>
            <w:tcW w:type="dxa" w:w="5040"/>
            <w:tcMar>
              <w:top w:type="dxa" w:w="50"/>
              <w:left w:type="dxa" w:w="80"/>
              <w:bottom w:type="dxa" w:w="50"/>
              <w:right w:type="dxa" w:w="80"/>
            </w:tcMar>
            <w:vAlign w:val="center"/>
          </w:tcPr>
          <w:p>
            <w:pPr>
              <w:keepNext w:val="false"/>
              <w:spacing w:after="20" w:line="240"/>
              <w:jc w:val="left"/>
            </w:pPr>
            <w:r>
              <w:rPr>
                <w:sz w:val="17"/>
                <w:szCs w:val="17"/>
              </w:rPr>
              <w:t xml:space="preserve">n/d en las fuentes revisadas; se profundizará con fuentes primarias.</w:t>
            </w:r>
          </w:p>
        </w:tc>
        <w:tc>
          <w:tcPr>
            <w:tcW w:type="dxa" w:w="1620"/>
            <w:tcMar>
              <w:top w:type="dxa" w:w="50"/>
              <w:left w:type="dxa" w:w="80"/>
              <w:bottom w:type="dxa" w:w="50"/>
              <w:right w:type="dxa" w:w="80"/>
            </w:tcMar>
            <w:vAlign w:val="center"/>
          </w:tcPr>
          <w:p>
            <w:pPr>
              <w:keepNext w:val="false"/>
              <w:spacing w:after="20" w:line="240"/>
              <w:jc w:val="center"/>
            </w:pPr>
            <w:r>
              <w:rPr>
                <w:sz w:val="17"/>
                <w:szCs w:val="17"/>
              </w:rPr>
              <w:t xml:space="preserve">Muy baja</w:t>
            </w:r>
          </w:p>
        </w:tc>
      </w:tr>
      <w:tr>
        <w:trPr>
          <w:cantSplit/>
        </w:trPr>
        <w:tc>
          <w:tcPr>
            <w:tcW w:type="dxa" w:w="2340"/>
            <w:tcMar>
              <w:top w:type="dxa" w:w="50"/>
              <w:left w:type="dxa" w:w="80"/>
              <w:bottom w:type="dxa" w:w="50"/>
              <w:right w:type="dxa" w:w="80"/>
            </w:tcMar>
            <w:vAlign w:val="center"/>
          </w:tcPr>
          <w:p>
            <w:pPr>
              <w:keepNext w:val="false"/>
              <w:spacing w:after="20" w:line="240"/>
              <w:jc w:val="left"/>
            </w:pPr>
            <w:r>
              <w:rPr>
                <w:sz w:val="17"/>
                <w:szCs w:val="17"/>
              </w:rPr>
              <w:t xml:space="preserve">7. Marco legal e infraestructura</w:t>
            </w:r>
          </w:p>
        </w:tc>
        <w:tc>
          <w:tcPr>
            <w:tcW w:type="dxa" w:w="5040"/>
            <w:tcMar>
              <w:top w:type="dxa" w:w="50"/>
              <w:left w:type="dxa" w:w="80"/>
              <w:bottom w:type="dxa" w:w="50"/>
              <w:right w:type="dxa" w:w="80"/>
            </w:tcMar>
            <w:vAlign w:val="center"/>
          </w:tcPr>
          <w:p>
            <w:pPr>
              <w:keepNext w:val="false"/>
              <w:spacing w:after="20" w:line="240"/>
              <w:jc w:val="left"/>
            </w:pPr>
            <w:r>
              <w:rPr>
                <w:sz w:val="17"/>
                <w:szCs w:val="17"/>
              </w:rPr>
              <w:t xml:space="preserve">Ley del Espacio de 2019, modificada en 2024 para licenciar puertos espaciales; el puerto espacial de Santa María (Azores) recibió su licencia de operación en 2025.</w:t>
            </w:r>
          </w:p>
        </w:tc>
        <w:tc>
          <w:tcPr>
            <w:tcW w:type="dxa" w:w="1620"/>
            <w:tcMar>
              <w:top w:type="dxa" w:w="50"/>
              <w:left w:type="dxa" w:w="80"/>
              <w:bottom w:type="dxa" w:w="50"/>
              <w:right w:type="dxa" w:w="80"/>
            </w:tcMar>
            <w:vAlign w:val="center"/>
          </w:tcPr>
          <w:p>
            <w:pPr>
              <w:keepNext w:val="false"/>
              <w:spacing w:after="20" w:line="240"/>
              <w:jc w:val="center"/>
            </w:pPr>
            <w:r>
              <w:rPr>
                <w:sz w:val="17"/>
                <w:szCs w:val="17"/>
              </w:rPr>
              <w:t xml:space="preserve">Media</w:t>
            </w:r>
          </w:p>
        </w:tc>
      </w:tr>
      <w:tr>
        <w:trPr>
          <w:cantSplit/>
        </w:trPr>
        <w:tc>
          <w:tcPr>
            <w:tcW w:type="dxa" w:w="2340"/>
            <w:tcMar>
              <w:top w:type="dxa" w:w="50"/>
              <w:left w:type="dxa" w:w="80"/>
              <w:bottom w:type="dxa" w:w="50"/>
              <w:right w:type="dxa" w:w="80"/>
            </w:tcMar>
            <w:vAlign w:val="center"/>
          </w:tcPr>
          <w:p>
            <w:pPr>
              <w:keepNext w:val="false"/>
              <w:spacing w:after="20" w:line="240"/>
              <w:jc w:val="left"/>
            </w:pPr>
            <w:r>
              <w:rPr>
                <w:sz w:val="17"/>
                <w:szCs w:val="17"/>
              </w:rPr>
              <w:t xml:space="preserve">8. Resultado económico</w:t>
            </w:r>
          </w:p>
        </w:tc>
        <w:tc>
          <w:tcPr>
            <w:tcW w:type="dxa" w:w="5040"/>
            <w:tcMar>
              <w:top w:type="dxa" w:w="50"/>
              <w:left w:type="dxa" w:w="80"/>
              <w:bottom w:type="dxa" w:w="50"/>
              <w:right w:type="dxa" w:w="80"/>
            </w:tcMar>
            <w:vAlign w:val="center"/>
          </w:tcPr>
          <w:p>
            <w:pPr>
              <w:keepNext w:val="false"/>
              <w:spacing w:after="20" w:line="240"/>
              <w:jc w:val="left"/>
            </w:pPr>
            <w:r>
              <w:rPr>
                <w:sz w:val="17"/>
                <w:szCs w:val="17"/>
              </w:rPr>
              <w:t xml:space="preserve">Una estimación de la consultora Novaspace cifra en unos 1.200 millones de euros el aporte del sector espacial a la economía portuguesa entre 2019 y 2024.</w:t>
            </w:r>
          </w:p>
        </w:tc>
        <w:tc>
          <w:tcPr>
            <w:tcW w:type="dxa" w:w="1620"/>
            <w:tcMar>
              <w:top w:type="dxa" w:w="50"/>
              <w:left w:type="dxa" w:w="80"/>
              <w:bottom w:type="dxa" w:w="50"/>
              <w:right w:type="dxa" w:w="80"/>
            </w:tcMar>
            <w:vAlign w:val="center"/>
          </w:tcPr>
          <w:p>
            <w:pPr>
              <w:keepNext w:val="false"/>
              <w:spacing w:after="20" w:line="240"/>
              <w:jc w:val="center"/>
            </w:pPr>
            <w:r>
              <w:rPr>
                <w:sz w:val="17"/>
                <w:szCs w:val="17"/>
              </w:rPr>
              <w:t xml:space="preserve">Baja</w:t>
            </w:r>
          </w:p>
        </w:tc>
      </w:tr>
    </w:tbl>
    <w:p>
      <w:pPr>
        <w:spacing w:after="200" w:before="60"/>
        <w:jc w:val="center"/>
      </w:pPr>
      <w:r>
        <w:rPr>
          <w:i/>
          <w:iCs/>
          <w:sz w:val="17"/>
          <w:szCs w:val="17"/>
        </w:rPr>
        <w:t xml:space="preserve">Fuente: Elaboración propia a partir de Portugal Space (s.f.), Gobierno de Portugal (2019), VdA (2025) y KeepTrack (2026). n/d: no disponible en las fuentes revisadas.</w:t>
      </w:r>
    </w:p>
    <w:p>
      <w:pPr>
        <w:spacing w:after="140" w:line="300"/>
        <w:jc w:val="both"/>
      </w:pPr>
      <w:r>
        <w:rPr>
          <w:b/>
          <w:bCs/>
        </w:rPr>
        <w:t xml:space="preserve">Lección para el CEN:</w:t>
      </w:r>
      <w:r>
        <w:t xml:space="preserve"> Portugal muestra cómo un país pequeño articula una estrategia con metas cuantificadas, marco legal propio y balance público-privado explícito. Refuerza los patrones 2 y 3 (planificación de largo plazo con rango normativo y mecanismos formales) y ofrece un referente de escala comparable a Chile, distinto de los grandes casos regionales. Dado que las fuentes revisadas son secundarias y no detallan sus mecanismos de transferencia, no se incorpora a la matriz de ocho criterios.</w:t>
      </w:r>
    </w:p>
    <w:p>
      <w:pPr>
        <w:pStyle w:val="Heading2"/>
      </w:pPr>
      <w:r>
        <w:t xml:space="preserve">5.9 Matriz comparativa y patrones comunes</w:t>
      </w:r>
    </w:p>
    <w:p>
      <w:pPr>
        <w:pStyle w:val="Caption"/>
        <w:keepNext/>
        <w:spacing w:after="80" w:before="200"/>
        <w:jc w:val="center"/>
      </w:pPr>
      <w:r>
        <w:rPr>
          <w:b/>
          <w:bCs/>
        </w:rPr>
        <w:t xml:space="preserve">Figura </w:t>
      </w:r>
      <w:fldSimple w:instr="SEQ Figura \* ARABIC">
        <w:r>
          <w:t xml:space="preserve">6</w:t>
        </w:r>
      </w:fldSimple>
      <w:r>
        <w:rPr>
          <w:b/>
          <w:bCs/>
        </w:rPr>
        <w:t xml:space="preserve">. Mapa comparativo: ¿qué aporta cada caso al CEN?</w:t>
      </w:r>
    </w:p>
    <w:p>
      <w:pPr>
        <w:keepNext/>
        <w:spacing w:after="60"/>
        <w:jc w:val="center"/>
      </w:pPr>
      <w:r>
        <w:drawing>
          <wp:inline distT="0" distB="0" distL="0" distR="0">
            <wp:extent cx="5334000" cy="2400300"/>
            <wp:effectExtent t="0" r="0" b="0" l="0"/>
            <wp:docPr id="1" name="fig:comp" descr="Mapa comparativo: ¿qué aporta cada caso al CEN?" title="Mapa comparativo: ¿qué aporta cada caso al C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00300"/>
                    </a:xfrm>
                    <a:prstGeom prst="rect">
                      <a:avLst/>
                    </a:prstGeom>
                  </pic:spPr>
                </pic:pic>
              </a:graphicData>
            </a:graphic>
          </wp:inline>
        </w:drawing>
      </w:r>
    </w:p>
    <w:p>
      <w:pPr>
        <w:spacing w:after="200" w:before="60"/>
        <w:jc w:val="center"/>
      </w:pPr>
      <w:r>
        <w:rPr>
          <w:i/>
          <w:iCs/>
          <w:sz w:val="17"/>
          <w:szCs w:val="17"/>
        </w:rPr>
        <w:t xml:space="preserve">Fuente: Elaboración propia.</w:t>
      </w:r>
    </w:p>
    <w:p>
      <w:pPr>
        <w:spacing w:after="140" w:line="300"/>
        <w:jc w:val="both"/>
      </w:pPr>
      <w:r>
        <w:t xml:space="preserve">Cada referente aporta un mecanismo distinto, que el CEN puede combinar de forma secuencial. La columna chilena representa el sistema espacial nacional (FACh, Minciencia, Subtel y CEN) y no el CEN aislado, para hacerlo comparable con las agencias y sistemas extranjeros.</w:t>
      </w:r>
    </w:p>
    <w:p>
      <w:pPr>
        <w:spacing w:after="140" w:line="300"/>
        <w:jc w:val="both"/>
      </w:pPr>
      <w:r>
        <w:t xml:space="preserve">La Tabla 26 integra los cuatro casos principales y el caso chileno según los ocho criterios de la Tabla 24. La lectura por filas permite ubicar al CEN en el espectro internacional; la lectura por columnas revela los patrones comunes.</w:t>
      </w:r>
    </w:p>
    <w:p>
      <w:pPr>
        <w:pStyle w:val="Caption"/>
        <w:keepNext/>
        <w:spacing w:after="80" w:before="200"/>
        <w:jc w:val="center"/>
      </w:pPr>
      <w:r>
        <w:rPr>
          <w:b/>
          <w:bCs/>
        </w:rPr>
        <w:t xml:space="preserve">Tabla </w:t>
      </w:r>
      <w:fldSimple w:instr="SEQ Tabla \* ARABIC">
        <w:r>
          <w:t xml:space="preserve">26</w:t>
        </w:r>
      </w:fldSimple>
      <w:r>
        <w:rPr>
          <w:b/>
          <w:bCs/>
        </w:rPr>
        <w:t xml:space="preserve">. Matriz comparativa de modelos institucionales de agencias espaciales</w:t>
      </w:r>
    </w:p>
    <w:tbl>
      <w:tblPr>
        <w:tblW w:type="dxa" w:w="9000"/>
        <w:tblBorders>
          <w:top w:val="single" w:color="A6A6A6" w:sz="4"/>
          <w:left w:val="single" w:color="A6A6A6" w:sz="4"/>
          <w:bottom w:val="single" w:color="A6A6A6" w:sz="4"/>
          <w:right w:val="single" w:color="A6A6A6" w:sz="4"/>
          <w:insideH w:val="single" w:color="A6A6A6" w:sz="4"/>
          <w:insideV w:val="single" w:color="A6A6A6" w:sz="4"/>
        </w:tblBorders>
      </w:tblPr>
      <w:tblGrid>
        <w:gridCol w:w="1500"/>
        <w:gridCol w:w="1500"/>
        <w:gridCol w:w="1500"/>
        <w:gridCol w:w="1500"/>
        <w:gridCol w:w="1500"/>
        <w:gridCol w:w="1500"/>
      </w:tblGrid>
      <w:tr>
        <w:trPr>
          <w:cantSplit/>
          <w:tblHeader/>
        </w:trPr>
        <w:tc>
          <w:tcPr>
            <w:tcW w:type="dxa" w:w="1500"/>
            <w:shd w:fill="1F3864" w:color="auto" w:val="clear"/>
            <w:tcMar>
              <w:top w:type="dxa" w:w="50"/>
              <w:left w:type="dxa" w:w="80"/>
              <w:bottom w:type="dxa" w:w="50"/>
              <w:right w:type="dxa" w:w="80"/>
            </w:tcMar>
            <w:vAlign w:val="center"/>
          </w:tcPr>
          <w:p>
            <w:pPr>
              <w:spacing w:after="20" w:line="240"/>
              <w:jc w:val="center"/>
            </w:pPr>
            <w:r>
              <w:rPr>
                <w:b/>
                <w:bCs/>
                <w:color w:val="FFFFFF"/>
                <w:sz w:val="15"/>
                <w:szCs w:val="15"/>
              </w:rPr>
              <w:t xml:space="preserve">Criterio</w:t>
            </w:r>
          </w:p>
        </w:tc>
        <w:tc>
          <w:tcPr>
            <w:tcW w:type="dxa" w:w="1500"/>
            <w:shd w:fill="1F3864" w:color="auto" w:val="clear"/>
            <w:tcMar>
              <w:top w:type="dxa" w:w="50"/>
              <w:left w:type="dxa" w:w="80"/>
              <w:bottom w:type="dxa" w:w="50"/>
              <w:right w:type="dxa" w:w="80"/>
            </w:tcMar>
            <w:vAlign w:val="center"/>
          </w:tcPr>
          <w:p>
            <w:pPr>
              <w:spacing w:after="20" w:line="240"/>
              <w:jc w:val="center"/>
            </w:pPr>
            <w:r>
              <w:rPr>
                <w:b/>
                <w:bCs/>
                <w:color w:val="FFFFFF"/>
                <w:sz w:val="15"/>
                <w:szCs w:val="15"/>
              </w:rPr>
              <w:t xml:space="preserve">CONAE (Argentina)</w:t>
            </w:r>
          </w:p>
        </w:tc>
        <w:tc>
          <w:tcPr>
            <w:tcW w:type="dxa" w:w="1500"/>
            <w:shd w:fill="1F3864" w:color="auto" w:val="clear"/>
            <w:tcMar>
              <w:top w:type="dxa" w:w="50"/>
              <w:left w:type="dxa" w:w="80"/>
              <w:bottom w:type="dxa" w:w="50"/>
              <w:right w:type="dxa" w:w="80"/>
            </w:tcMar>
            <w:vAlign w:val="center"/>
          </w:tcPr>
          <w:p>
            <w:pPr>
              <w:spacing w:after="20" w:line="240"/>
              <w:jc w:val="center"/>
            </w:pPr>
            <w:r>
              <w:rPr>
                <w:b/>
                <w:bCs/>
                <w:color w:val="FFFFFF"/>
                <w:sz w:val="15"/>
                <w:szCs w:val="15"/>
              </w:rPr>
              <w:t xml:space="preserve">AEB (Brasil)</w:t>
            </w:r>
          </w:p>
        </w:tc>
        <w:tc>
          <w:tcPr>
            <w:tcW w:type="dxa" w:w="1500"/>
            <w:shd w:fill="1F3864" w:color="auto" w:val="clear"/>
            <w:tcMar>
              <w:top w:type="dxa" w:w="50"/>
              <w:left w:type="dxa" w:w="80"/>
              <w:bottom w:type="dxa" w:w="50"/>
              <w:right w:type="dxa" w:w="80"/>
            </w:tcMar>
            <w:vAlign w:val="center"/>
          </w:tcPr>
          <w:p>
            <w:pPr>
              <w:spacing w:after="20" w:line="240"/>
              <w:jc w:val="center"/>
            </w:pPr>
            <w:r>
              <w:rPr>
                <w:b/>
                <w:bCs/>
                <w:color w:val="FFFFFF"/>
                <w:sz w:val="15"/>
                <w:szCs w:val="15"/>
              </w:rPr>
              <w:t xml:space="preserve">KARI/KASA (Corea)</w:t>
            </w:r>
          </w:p>
        </w:tc>
        <w:tc>
          <w:tcPr>
            <w:tcW w:type="dxa" w:w="1500"/>
            <w:shd w:fill="1F3864" w:color="auto" w:val="clear"/>
            <w:tcMar>
              <w:top w:type="dxa" w:w="50"/>
              <w:left w:type="dxa" w:w="80"/>
              <w:bottom w:type="dxa" w:w="50"/>
              <w:right w:type="dxa" w:w="80"/>
            </w:tcMar>
            <w:vAlign w:val="center"/>
          </w:tcPr>
          <w:p>
            <w:pPr>
              <w:spacing w:after="20" w:line="240"/>
              <w:jc w:val="center"/>
            </w:pPr>
            <w:r>
              <w:rPr>
                <w:b/>
                <w:bCs/>
                <w:color w:val="FFFFFF"/>
                <w:sz w:val="15"/>
                <w:szCs w:val="15"/>
              </w:rPr>
              <w:t xml:space="preserve">AEM (México)</w:t>
            </w:r>
          </w:p>
        </w:tc>
        <w:tc>
          <w:tcPr>
            <w:tcW w:type="dxa" w:w="1500"/>
            <w:shd w:fill="1F3864" w:color="auto" w:val="clear"/>
            <w:tcMar>
              <w:top w:type="dxa" w:w="50"/>
              <w:left w:type="dxa" w:w="80"/>
              <w:bottom w:type="dxa" w:w="50"/>
              <w:right w:type="dxa" w:w="80"/>
            </w:tcMar>
            <w:vAlign w:val="center"/>
          </w:tcPr>
          <w:p>
            <w:pPr>
              <w:spacing w:after="20" w:line="240"/>
              <w:jc w:val="center"/>
            </w:pPr>
            <w:r>
              <w:rPr>
                <w:b/>
                <w:bCs/>
                <w:color w:val="FFFFFF"/>
                <w:sz w:val="15"/>
                <w:szCs w:val="15"/>
              </w:rPr>
              <w:t xml:space="preserve">Sistema espacial chileno (FACh–CEN)</w:t>
            </w:r>
          </w:p>
        </w:tc>
      </w:tr>
      <w:tr>
        <w:trPr>
          <w:cantSplit/>
        </w:trPr>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Naturaleza institucional</w:t>
            </w:r>
          </w:p>
        </w:tc>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Civil, descentralizado</w:t>
            </w:r>
          </w:p>
        </w:tc>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Civil, con órgano central (SINDAE)</w:t>
            </w:r>
          </w:p>
        </w:tc>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Instituto público civil → KASA</w:t>
            </w:r>
          </w:p>
        </w:tc>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Civil, descentralizado</w:t>
            </w:r>
          </w:p>
        </w:tc>
        <w:tc>
          <w:tcPr>
            <w:tcW w:type="dxa" w:w="1500"/>
            <w:shd w:fill="FCE4D6" w:color="auto" w:val="clear"/>
            <w:tcMar>
              <w:top w:type="dxa" w:w="50"/>
              <w:left w:type="dxa" w:w="80"/>
              <w:bottom w:type="dxa" w:w="50"/>
              <w:right w:type="dxa" w:w="80"/>
            </w:tcMar>
            <w:vAlign w:val="center"/>
          </w:tcPr>
          <w:p>
            <w:pPr>
              <w:keepNext w:val="false"/>
              <w:spacing w:after="20" w:line="240"/>
              <w:jc w:val="left"/>
            </w:pPr>
            <w:r>
              <w:rPr>
                <w:sz w:val="15"/>
                <w:szCs w:val="15"/>
              </w:rPr>
              <w:t xml:space="preserve">Militar (FACh), sin agencia civil</w:t>
            </w:r>
          </w:p>
        </w:tc>
      </w:tr>
      <w:tr>
        <w:trPr>
          <w:cantSplit/>
        </w:trPr>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Instrumento de planificación</w:t>
            </w:r>
          </w:p>
        </w:tc>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Plan Espacial Nacional (decreto)</w:t>
            </w:r>
          </w:p>
        </w:tc>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PNDAE + PNAE 2022-2031</w:t>
            </w:r>
          </w:p>
        </w:tc>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Planes de largo plazo con metas de industria</w:t>
            </w:r>
          </w:p>
        </w:tc>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Política espacial (débil ejecución)</w:t>
            </w:r>
          </w:p>
        </w:tc>
        <w:tc>
          <w:tcPr>
            <w:tcW w:type="dxa" w:w="1500"/>
            <w:shd w:fill="FCE4D6" w:color="auto" w:val="clear"/>
            <w:tcMar>
              <w:top w:type="dxa" w:w="50"/>
              <w:left w:type="dxa" w:w="80"/>
              <w:bottom w:type="dxa" w:w="50"/>
              <w:right w:type="dxa" w:w="80"/>
            </w:tcMar>
            <w:vAlign w:val="center"/>
          </w:tcPr>
          <w:p>
            <w:pPr>
              <w:keepNext w:val="false"/>
              <w:spacing w:after="20" w:line="240"/>
              <w:jc w:val="left"/>
            </w:pPr>
            <w:r>
              <w:rPr>
                <w:sz w:val="15"/>
                <w:szCs w:val="15"/>
              </w:rPr>
              <w:t xml:space="preserve">Política Nacional Espacial (2025)</w:t>
            </w:r>
          </w:p>
        </w:tc>
      </w:tr>
      <w:tr>
        <w:trPr>
          <w:cantSplit/>
        </w:trPr>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Coordinación del ecosistema</w:t>
            </w:r>
          </w:p>
        </w:tc>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Agencia como conductor único</w:t>
            </w:r>
          </w:p>
        </w:tc>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SINDAE: órgano central + consejo</w:t>
            </w:r>
          </w:p>
        </w:tc>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Agencia + consorcios industriales</w:t>
            </w:r>
          </w:p>
        </w:tc>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Coordinación sin recursos</w:t>
            </w:r>
          </w:p>
        </w:tc>
        <w:tc>
          <w:tcPr>
            <w:tcW w:type="dxa" w:w="1500"/>
            <w:shd w:fill="FCE4D6" w:color="auto" w:val="clear"/>
            <w:tcMar>
              <w:top w:type="dxa" w:w="50"/>
              <w:left w:type="dxa" w:w="80"/>
              <w:bottom w:type="dxa" w:w="50"/>
              <w:right w:type="dxa" w:w="80"/>
            </w:tcMar>
            <w:vAlign w:val="center"/>
          </w:tcPr>
          <w:p>
            <w:pPr>
              <w:keepNext w:val="false"/>
              <w:spacing w:after="20" w:line="240"/>
              <w:jc w:val="left"/>
            </w:pPr>
            <w:r>
              <w:rPr>
                <w:sz w:val="15"/>
                <w:szCs w:val="15"/>
              </w:rPr>
              <w:t xml:space="preserve">Dispersa entre carteras</w:t>
            </w:r>
          </w:p>
        </w:tc>
      </w:tr>
      <w:tr>
        <w:trPr>
          <w:cantSplit/>
        </w:trPr>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Modelo de ejecución técnica</w:t>
            </w:r>
          </w:p>
        </w:tc>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Agencia + INVAP (empresa estatal)</w:t>
            </w:r>
          </w:p>
        </w:tc>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AEB conduce; INPE y DCTA ejecutan</w:t>
            </w:r>
          </w:p>
        </w:tc>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KARI con +300 empresas</w:t>
            </w:r>
          </w:p>
        </w:tc>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Sin ejecución propia</w:t>
            </w:r>
          </w:p>
        </w:tc>
        <w:tc>
          <w:tcPr>
            <w:tcW w:type="dxa" w:w="1500"/>
            <w:shd w:fill="FCE4D6" w:color="auto" w:val="clear"/>
            <w:tcMar>
              <w:top w:type="dxa" w:w="50"/>
              <w:left w:type="dxa" w:w="80"/>
              <w:bottom w:type="dxa" w:w="50"/>
              <w:right w:type="dxa" w:w="80"/>
            </w:tcMar>
            <w:vAlign w:val="center"/>
          </w:tcPr>
          <w:p>
            <w:pPr>
              <w:keepNext w:val="false"/>
              <w:spacing w:after="20" w:line="240"/>
              <w:jc w:val="left"/>
            </w:pPr>
            <w:r>
              <w:rPr>
                <w:sz w:val="15"/>
                <w:szCs w:val="15"/>
              </w:rPr>
              <w:t xml:space="preserve">CEN/FACh; sin red de proveedores</w:t>
            </w:r>
          </w:p>
        </w:tc>
      </w:tr>
      <w:tr>
        <w:trPr>
          <w:cantSplit/>
        </w:trPr>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Rol de la industria</w:t>
            </w:r>
          </w:p>
        </w:tc>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Empresa-vehículo exportadora</w:t>
            </w:r>
          </w:p>
        </w:tc>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Industria vía ETEC y contratos</w:t>
            </w:r>
          </w:p>
        </w:tc>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Protagonismo privado creciente</w:t>
            </w:r>
          </w:p>
        </w:tc>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Industria incipiente</w:t>
            </w:r>
          </w:p>
        </w:tc>
        <w:tc>
          <w:tcPr>
            <w:tcW w:type="dxa" w:w="1500"/>
            <w:shd w:fill="FCE4D6" w:color="auto" w:val="clear"/>
            <w:tcMar>
              <w:top w:type="dxa" w:w="50"/>
              <w:left w:type="dxa" w:w="80"/>
              <w:bottom w:type="dxa" w:w="50"/>
              <w:right w:type="dxa" w:w="80"/>
            </w:tcMar>
            <w:vAlign w:val="center"/>
          </w:tcPr>
          <w:p>
            <w:pPr>
              <w:keepNext w:val="false"/>
              <w:spacing w:after="20" w:line="240"/>
              <w:jc w:val="left"/>
            </w:pPr>
            <w:r>
              <w:rPr>
                <w:sz w:val="15"/>
                <w:szCs w:val="15"/>
              </w:rPr>
              <w:t xml:space="preserve">Proveedores no articulados</w:t>
            </w:r>
          </w:p>
        </w:tc>
      </w:tr>
      <w:tr>
        <w:trPr>
          <w:cantSplit/>
        </w:trPr>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Mecanismos de transferencia</w:t>
            </w:r>
          </w:p>
        </w:tc>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Articulación agencia-empresa</w:t>
            </w:r>
          </w:p>
        </w:tc>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Encomienda tecnológica (ETEC)</w:t>
            </w:r>
          </w:p>
        </w:tc>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Transferencia contractual onerosa</w:t>
            </w:r>
          </w:p>
        </w:tc>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Programas de formación</w:t>
            </w:r>
          </w:p>
        </w:tc>
        <w:tc>
          <w:tcPr>
            <w:tcW w:type="dxa" w:w="1500"/>
            <w:shd w:fill="FCE4D6" w:color="auto" w:val="clear"/>
            <w:tcMar>
              <w:top w:type="dxa" w:w="50"/>
              <w:left w:type="dxa" w:w="80"/>
              <w:bottom w:type="dxa" w:w="50"/>
              <w:right w:type="dxa" w:w="80"/>
            </w:tcMar>
            <w:vAlign w:val="center"/>
          </w:tcPr>
          <w:p>
            <w:pPr>
              <w:keepNext w:val="false"/>
              <w:spacing w:after="20" w:line="240"/>
              <w:jc w:val="left"/>
            </w:pPr>
            <w:r>
              <w:rPr>
                <w:sz w:val="15"/>
                <w:szCs w:val="15"/>
              </w:rPr>
              <w:t xml:space="preserve">Sin mecanismos sistematizados</w:t>
            </w:r>
          </w:p>
        </w:tc>
      </w:tr>
      <w:tr>
        <w:trPr>
          <w:cantSplit/>
        </w:trPr>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Política de datos / acceso</w:t>
            </w:r>
          </w:p>
        </w:tc>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Datos SAOCOM abiertos</w:t>
            </w:r>
          </w:p>
        </w:tc>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Difusión orientada a lo social</w:t>
            </w:r>
          </w:p>
        </w:tc>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Datos orientados al mercado</w:t>
            </w:r>
          </w:p>
        </w:tc>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Limitada</w:t>
            </w:r>
          </w:p>
        </w:tc>
        <w:tc>
          <w:tcPr>
            <w:tcW w:type="dxa" w:w="1500"/>
            <w:shd w:fill="FCE4D6" w:color="auto" w:val="clear"/>
            <w:tcMar>
              <w:top w:type="dxa" w:w="50"/>
              <w:left w:type="dxa" w:w="80"/>
              <w:bottom w:type="dxa" w:w="50"/>
              <w:right w:type="dxa" w:w="80"/>
            </w:tcMar>
            <w:vAlign w:val="center"/>
          </w:tcPr>
          <w:p>
            <w:pPr>
              <w:keepNext w:val="false"/>
              <w:spacing w:after="20" w:line="240"/>
              <w:jc w:val="left"/>
            </w:pPr>
            <w:r>
              <w:rPr>
                <w:sz w:val="15"/>
                <w:szCs w:val="15"/>
              </w:rPr>
              <w:t xml:space="preserve">Sin reglamento de acceso</w:t>
            </w:r>
          </w:p>
        </w:tc>
      </w:tr>
      <w:tr>
        <w:trPr>
          <w:cantSplit/>
        </w:trPr>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Resultado industrial observado</w:t>
            </w:r>
          </w:p>
        </w:tc>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Satélites SAR, exportación tecnológica</w:t>
            </w:r>
          </w:p>
        </w:tc>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Lanzadores, satélites, cooperación</w:t>
            </w:r>
          </w:p>
        </w:tc>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Lanzador Nuri a privado</w:t>
            </w:r>
          </w:p>
        </w:tc>
        <w:tc>
          <w:tcPr>
            <w:tcW w:type="dxa" w:w="1500"/>
            <w:tcMar>
              <w:top w:type="dxa" w:w="50"/>
              <w:left w:type="dxa" w:w="80"/>
              <w:bottom w:type="dxa" w:w="50"/>
              <w:right w:type="dxa" w:w="80"/>
            </w:tcMar>
            <w:vAlign w:val="center"/>
          </w:tcPr>
          <w:p>
            <w:pPr>
              <w:keepNext w:val="false"/>
              <w:spacing w:after="20" w:line="240"/>
              <w:jc w:val="left"/>
            </w:pPr>
            <w:r>
              <w:rPr>
                <w:sz w:val="15"/>
                <w:szCs w:val="15"/>
              </w:rPr>
              <w:t xml:space="preserve">Bajo impacto industrial</w:t>
            </w:r>
          </w:p>
        </w:tc>
        <w:tc>
          <w:tcPr>
            <w:tcW w:type="dxa" w:w="1500"/>
            <w:shd w:fill="FCE4D6" w:color="auto" w:val="clear"/>
            <w:tcMar>
              <w:top w:type="dxa" w:w="50"/>
              <w:left w:type="dxa" w:w="80"/>
              <w:bottom w:type="dxa" w:w="50"/>
              <w:right w:type="dxa" w:w="80"/>
            </w:tcMar>
            <w:vAlign w:val="center"/>
          </w:tcPr>
          <w:p>
            <w:pPr>
              <w:keepNext w:val="false"/>
              <w:spacing w:after="20" w:line="240"/>
              <w:jc w:val="left"/>
            </w:pPr>
            <w:r>
              <w:rPr>
                <w:sz w:val="15"/>
                <w:szCs w:val="15"/>
              </w:rPr>
              <w:t xml:space="preserve">Por construir</w:t>
            </w:r>
          </w:p>
        </w:tc>
      </w:tr>
    </w:tbl>
    <w:p>
      <w:pPr>
        <w:spacing w:after="200" w:before="60"/>
        <w:jc w:val="center"/>
      </w:pPr>
      <w:r>
        <w:rPr>
          <w:i/>
          <w:iCs/>
          <w:sz w:val="17"/>
          <w:szCs w:val="17"/>
        </w:rPr>
        <w:t xml:space="preserve">Fuente: Elaboración propia a partir de las fuentes de los apartados 5.4 a 5.7.</w:t>
      </w:r>
    </w:p>
    <w:p>
      <w:pPr>
        <w:spacing w:after="140" w:line="300"/>
        <w:jc w:val="both"/>
      </w:pPr>
      <w:r>
        <w:t xml:space="preserve">Del análisis emergen cuatro patrones comunes a los casos exitosos (CONAE, AEB, KARI), de los que México se aparta por carecer de capacidad instalada y el CEN por su conducción militar:</w:t>
      </w:r>
    </w:p>
    <w:p>
      <w:pPr>
        <w:pStyle w:val="ListParagraph"/>
        <w:numPr>
          <w:ilvl w:val="0"/>
          <w:numId w:val="2"/>
        </w:numPr>
        <w:spacing w:after="80" w:line="290"/>
        <w:jc w:val="both"/>
      </w:pPr>
      <w:r>
        <w:rPr>
          <w:b/>
          <w:bCs/>
        </w:rPr>
        <w:t xml:space="preserve">Patrón 1: conducción civil.</w:t>
      </w:r>
      <w:r>
        <w:t xml:space="preserve"> En los tres casos exitosos la conducción estratégica del sector es civil, aun cuando la ejecución técnica pueda recaer, total o parcialmente, en organismos militares (como el DCTA brasileño). Ninguno hace descansar la gobernanza del sector en la institucionalidad de defensa.</w:t>
      </w:r>
    </w:p>
    <w:p>
      <w:pPr>
        <w:pStyle w:val="ListParagraph"/>
        <w:numPr>
          <w:ilvl w:val="0"/>
          <w:numId w:val="2"/>
        </w:numPr>
        <w:spacing w:after="80" w:line="290"/>
        <w:jc w:val="both"/>
      </w:pPr>
      <w:r>
        <w:rPr>
          <w:b/>
          <w:bCs/>
        </w:rPr>
        <w:t xml:space="preserve">Patrón 2: planificación de largo plazo con rango normativo.</w:t>
      </w:r>
      <w:r>
        <w:t xml:space="preserve"> Todos cuentan con un plan plurianual que protege la continuidad frente a los ciclos políticos (aunque no frente a los recortes, como muestra el caso argentino reciente).</w:t>
      </w:r>
    </w:p>
    <w:p>
      <w:pPr>
        <w:pStyle w:val="ListParagraph"/>
        <w:numPr>
          <w:ilvl w:val="0"/>
          <w:numId w:val="2"/>
        </w:numPr>
        <w:spacing w:after="80" w:line="290"/>
        <w:jc w:val="both"/>
      </w:pPr>
      <w:r>
        <w:rPr>
          <w:b/>
          <w:bCs/>
        </w:rPr>
        <w:t xml:space="preserve">Patrón 3: transferencia mediante mecanismos formales.</w:t>
      </w:r>
      <w:r>
        <w:t xml:space="preserve"> La tecnología no se difundió sola: hubo una empresa-vehículo (CONAE-INVAP), instrumentos de contratación de innovación (AEB) o contratos de transferencia (KARI). La informalidad no genera industria.</w:t>
      </w:r>
    </w:p>
    <w:p>
      <w:pPr>
        <w:pStyle w:val="ListParagraph"/>
        <w:numPr>
          <w:ilvl w:val="0"/>
          <w:numId w:val="2"/>
        </w:numPr>
        <w:spacing w:after="80" w:line="290"/>
        <w:jc w:val="both"/>
      </w:pPr>
      <w:r>
        <w:rPr>
          <w:b/>
          <w:bCs/>
        </w:rPr>
        <w:t xml:space="preserve">Patrón 4: preparación de la capacidad de absorción.</w:t>
      </w:r>
      <w:r>
        <w:t xml:space="preserve"> Los receptores de la tecnología (empresas, proveedores) se prepararon durante el propio desarrollo estatal, no después. La transferencia es el final de un proceso, no un acto aislado.</w:t>
      </w:r>
    </w:p>
    <w:p>
      <w:pPr>
        <w:spacing w:after="140" w:line="300"/>
        <w:jc w:val="both"/>
      </w:pPr>
      <w:r>
        <w:t xml:space="preserve">La Figura 7 posiciona los casos en dos ejes que sintetizan el diagnóstico: el grado de institucionalidad civil (horizontal) y el grado de capacidad instalada (vertical).</w:t>
      </w:r>
    </w:p>
    <w:p>
      <w:pPr>
        <w:pStyle w:val="Caption"/>
        <w:keepNext/>
        <w:spacing w:after="80" w:before="200"/>
        <w:jc w:val="center"/>
      </w:pPr>
      <w:r>
        <w:rPr>
          <w:b/>
          <w:bCs/>
        </w:rPr>
        <w:t xml:space="preserve">Figura </w:t>
      </w:r>
      <w:fldSimple w:instr="SEQ Figura \* ARABIC">
        <w:r>
          <w:t xml:space="preserve">7</w:t>
        </w:r>
      </w:fldSimple>
      <w:r>
        <w:rPr>
          <w:b/>
          <w:bCs/>
        </w:rPr>
        <w:t xml:space="preserve">. Posicionamiento de los casos según institucionalidad civil y capacidad instalada</w:t>
      </w:r>
    </w:p>
    <w:p>
      <w:pPr>
        <w:keepNext/>
        <w:spacing w:after="60"/>
        <w:jc w:val="center"/>
      </w:pPr>
      <w:r>
        <w:drawing>
          <wp:inline distT="0" distB="0" distL="0" distR="0">
            <wp:extent cx="5334000" cy="2390775"/>
            <wp:effectExtent t="0" r="0" b="0" l="0"/>
            <wp:docPr id="1" name="fig:cuad" descr="Posicionamiento de los casos según institucionalidad civil y capacidad instalada" title="Posicionamiento de los casos según institucionalidad civil y capacidad instal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390775"/>
                    </a:xfrm>
                    <a:prstGeom prst="rect">
                      <a:avLst/>
                    </a:prstGeom>
                  </pic:spPr>
                </pic:pic>
              </a:graphicData>
            </a:graphic>
          </wp:inline>
        </w:drawing>
      </w:r>
    </w:p>
    <w:p>
      <w:pPr>
        <w:spacing w:after="200" w:before="60"/>
        <w:jc w:val="center"/>
      </w:pPr>
      <w:r>
        <w:rPr>
          <w:i/>
          <w:iCs/>
          <w:sz w:val="17"/>
          <w:szCs w:val="17"/>
        </w:rPr>
        <w:t xml:space="preserve">Fuente: Elaboración propia.</w:t>
      </w:r>
    </w:p>
    <w:p>
      <w:pPr>
        <w:spacing w:after="140" w:line="300"/>
        <w:jc w:val="both"/>
      </w:pPr>
      <w:r>
        <w:t xml:space="preserve">El cuadrante objetivo combina capacidad instalada y conducción civil; Chile debe desplazarse horizontalmente (flecha) sin perder su capacidad instalada.</w:t>
      </w:r>
    </w:p>
    <w:p>
      <w:pPr>
        <w:pStyle w:val="Heading2"/>
      </w:pPr>
      <w:r>
        <w:t xml:space="preserve">5.10 Mecanismos de transferencia derivados</w:t>
      </w:r>
    </w:p>
    <w:p>
      <w:pPr>
        <w:spacing w:after="140" w:line="300"/>
        <w:jc w:val="both"/>
      </w:pPr>
      <w:r>
        <w:t xml:space="preserve">A partir de los patrones identificados se derivan siete mecanismos de transferencia tecnológica y articulación potencialmente adaptables al caso chileno. Se presentan como hipótesis de diseño, insumo para el OE4 y la validación del OE5, y no como recomendaciones definitivas. Cada mecanismo se vincula con los factores críticos del OE2 que ayudaría a resolver y se acompaña de las condiciones que requeriría (Tabla 27).</w:t>
      </w:r>
    </w:p>
    <w:p>
      <w:pPr>
        <w:pStyle w:val="Caption"/>
        <w:keepNext/>
        <w:spacing w:after="80" w:before="200"/>
        <w:jc w:val="center"/>
      </w:pPr>
      <w:r>
        <w:rPr>
          <w:b/>
          <w:bCs/>
        </w:rPr>
        <w:t xml:space="preserve">Tabla </w:t>
      </w:r>
      <w:fldSimple w:instr="SEQ Tabla \* ARABIC">
        <w:r>
          <w:t xml:space="preserve">27</w:t>
        </w:r>
      </w:fldSimple>
      <w:r>
        <w:rPr>
          <w:b/>
          <w:bCs/>
        </w:rPr>
        <w:t xml:space="preserve">. Mecanismos de transferencia derivados de la comparación internacional</w:t>
      </w:r>
    </w:p>
    <w:tbl>
      <w:tblPr>
        <w:tblW w:type="dxa" w:w="9000"/>
        <w:tblBorders>
          <w:top w:val="single" w:color="A6A6A6" w:sz="4"/>
          <w:left w:val="single" w:color="A6A6A6" w:sz="4"/>
          <w:bottom w:val="single" w:color="A6A6A6" w:sz="4"/>
          <w:right w:val="single" w:color="A6A6A6" w:sz="4"/>
          <w:insideH w:val="single" w:color="A6A6A6" w:sz="4"/>
          <w:insideV w:val="single" w:color="A6A6A6" w:sz="4"/>
        </w:tblBorders>
      </w:tblPr>
      <w:tblGrid>
        <w:gridCol w:w="630"/>
        <w:gridCol w:w="2430"/>
        <w:gridCol w:w="1620"/>
        <w:gridCol w:w="1080"/>
        <w:gridCol w:w="3240"/>
      </w:tblGrid>
      <w:tr>
        <w:trPr>
          <w:cantSplit/>
          <w:tblHeader/>
        </w:trPr>
        <w:tc>
          <w:tcPr>
            <w:tcW w:type="dxa" w:w="63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N.º</w:t>
            </w:r>
          </w:p>
        </w:tc>
        <w:tc>
          <w:tcPr>
            <w:tcW w:type="dxa" w:w="243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Mecanismo</w:t>
            </w:r>
          </w:p>
        </w:tc>
        <w:tc>
          <w:tcPr>
            <w:tcW w:type="dxa" w:w="162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Referencia</w:t>
            </w:r>
          </w:p>
        </w:tc>
        <w:tc>
          <w:tcPr>
            <w:tcW w:type="dxa" w:w="108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FCE (OE2)</w:t>
            </w:r>
          </w:p>
        </w:tc>
        <w:tc>
          <w:tcPr>
            <w:tcW w:type="dxa" w:w="324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Condición habilitante</w:t>
            </w:r>
          </w:p>
        </w:tc>
      </w:tr>
      <w:tr>
        <w:trPr>
          <w:cantSplit/>
        </w:trPr>
        <w:tc>
          <w:tcPr>
            <w:tcW w:type="dxa" w:w="630"/>
            <w:tcMar>
              <w:top w:type="dxa" w:w="50"/>
              <w:left w:type="dxa" w:w="80"/>
              <w:bottom w:type="dxa" w:w="50"/>
              <w:right w:type="dxa" w:w="80"/>
            </w:tcMar>
            <w:vAlign w:val="center"/>
          </w:tcPr>
          <w:p>
            <w:pPr>
              <w:keepNext w:val="false"/>
              <w:spacing w:after="20" w:line="240"/>
              <w:jc w:val="left"/>
            </w:pPr>
            <w:r>
              <w:rPr>
                <w:sz w:val="17"/>
                <w:szCs w:val="17"/>
              </w:rPr>
              <w:t xml:space="preserve">M1</w:t>
            </w:r>
          </w:p>
        </w:tc>
        <w:tc>
          <w:tcPr>
            <w:tcW w:type="dxa" w:w="2430"/>
            <w:tcMar>
              <w:top w:type="dxa" w:w="50"/>
              <w:left w:type="dxa" w:w="80"/>
              <w:bottom w:type="dxa" w:w="50"/>
              <w:right w:type="dxa" w:w="80"/>
            </w:tcMar>
            <w:vAlign w:val="center"/>
          </w:tcPr>
          <w:p>
            <w:pPr>
              <w:keepNext w:val="false"/>
              <w:spacing w:after="20" w:line="240"/>
              <w:jc w:val="left"/>
            </w:pPr>
            <w:r>
              <w:rPr>
                <w:sz w:val="17"/>
                <w:szCs w:val="17"/>
              </w:rPr>
              <w:t xml:space="preserve">Conducción civil con ejecución sectorial compartida</w:t>
            </w:r>
          </w:p>
        </w:tc>
        <w:tc>
          <w:tcPr>
            <w:tcW w:type="dxa" w:w="1620"/>
            <w:tcMar>
              <w:top w:type="dxa" w:w="50"/>
              <w:left w:type="dxa" w:w="80"/>
              <w:bottom w:type="dxa" w:w="50"/>
              <w:right w:type="dxa" w:w="80"/>
            </w:tcMar>
            <w:vAlign w:val="center"/>
          </w:tcPr>
          <w:p>
            <w:pPr>
              <w:keepNext w:val="false"/>
              <w:spacing w:after="20" w:line="240"/>
              <w:jc w:val="left"/>
            </w:pPr>
            <w:r>
              <w:rPr>
                <w:sz w:val="17"/>
                <w:szCs w:val="17"/>
              </w:rPr>
              <w:t xml:space="preserve">AEB / SINDAE</w:t>
            </w:r>
          </w:p>
        </w:tc>
        <w:tc>
          <w:tcPr>
            <w:tcW w:type="dxa" w:w="1080"/>
            <w:tcMar>
              <w:top w:type="dxa" w:w="50"/>
              <w:left w:type="dxa" w:w="80"/>
              <w:bottom w:type="dxa" w:w="50"/>
              <w:right w:type="dxa" w:w="80"/>
            </w:tcMar>
            <w:vAlign w:val="center"/>
          </w:tcPr>
          <w:p>
            <w:pPr>
              <w:keepNext w:val="false"/>
              <w:spacing w:after="20" w:line="240"/>
              <w:jc w:val="left"/>
            </w:pPr>
            <w:r>
              <w:rPr>
                <w:sz w:val="17"/>
                <w:szCs w:val="17"/>
              </w:rPr>
              <w:t xml:space="preserve">FCE 1</w:t>
            </w:r>
          </w:p>
        </w:tc>
        <w:tc>
          <w:tcPr>
            <w:tcW w:type="dxa" w:w="3240"/>
            <w:tcMar>
              <w:top w:type="dxa" w:w="50"/>
              <w:left w:type="dxa" w:w="80"/>
              <w:bottom w:type="dxa" w:w="50"/>
              <w:right w:type="dxa" w:w="80"/>
            </w:tcMar>
            <w:vAlign w:val="center"/>
          </w:tcPr>
          <w:p>
            <w:pPr>
              <w:keepNext w:val="false"/>
              <w:spacing w:after="20" w:line="240"/>
              <w:jc w:val="left"/>
            </w:pPr>
            <w:r>
              <w:rPr>
                <w:sz w:val="17"/>
                <w:szCs w:val="17"/>
              </w:rPr>
              <w:t xml:space="preserve">Voluntad política; acuerdo FACh-civil; marco legal.</w:t>
            </w:r>
          </w:p>
        </w:tc>
      </w:tr>
      <w:tr>
        <w:trPr>
          <w:cantSplit/>
        </w:trPr>
        <w:tc>
          <w:tcPr>
            <w:tcW w:type="dxa" w:w="630"/>
            <w:tcMar>
              <w:top w:type="dxa" w:w="50"/>
              <w:left w:type="dxa" w:w="80"/>
              <w:bottom w:type="dxa" w:w="50"/>
              <w:right w:type="dxa" w:w="80"/>
            </w:tcMar>
            <w:vAlign w:val="center"/>
          </w:tcPr>
          <w:p>
            <w:pPr>
              <w:keepNext w:val="false"/>
              <w:spacing w:after="20" w:line="240"/>
              <w:jc w:val="left"/>
            </w:pPr>
            <w:r>
              <w:rPr>
                <w:sz w:val="17"/>
                <w:szCs w:val="17"/>
              </w:rPr>
              <w:t xml:space="preserve">M2</w:t>
            </w:r>
          </w:p>
        </w:tc>
        <w:tc>
          <w:tcPr>
            <w:tcW w:type="dxa" w:w="2430"/>
            <w:tcMar>
              <w:top w:type="dxa" w:w="50"/>
              <w:left w:type="dxa" w:w="80"/>
              <w:bottom w:type="dxa" w:w="50"/>
              <w:right w:type="dxa" w:w="80"/>
            </w:tcMar>
            <w:vAlign w:val="center"/>
          </w:tcPr>
          <w:p>
            <w:pPr>
              <w:keepNext w:val="false"/>
              <w:spacing w:after="20" w:line="240"/>
              <w:jc w:val="left"/>
            </w:pPr>
            <w:r>
              <w:rPr>
                <w:sz w:val="17"/>
                <w:szCs w:val="17"/>
              </w:rPr>
              <w:t xml:space="preserve">Entidad o empresa-vehículo de base tecnológica</w:t>
            </w:r>
          </w:p>
        </w:tc>
        <w:tc>
          <w:tcPr>
            <w:tcW w:type="dxa" w:w="1620"/>
            <w:tcMar>
              <w:top w:type="dxa" w:w="50"/>
              <w:left w:type="dxa" w:w="80"/>
              <w:bottom w:type="dxa" w:w="50"/>
              <w:right w:type="dxa" w:w="80"/>
            </w:tcMar>
            <w:vAlign w:val="center"/>
          </w:tcPr>
          <w:p>
            <w:pPr>
              <w:keepNext w:val="false"/>
              <w:spacing w:after="20" w:line="240"/>
              <w:jc w:val="left"/>
            </w:pPr>
            <w:r>
              <w:rPr>
                <w:sz w:val="17"/>
                <w:szCs w:val="17"/>
              </w:rPr>
              <w:t xml:space="preserve">CONAE-INVAP</w:t>
            </w:r>
          </w:p>
        </w:tc>
        <w:tc>
          <w:tcPr>
            <w:tcW w:type="dxa" w:w="1080"/>
            <w:tcMar>
              <w:top w:type="dxa" w:w="50"/>
              <w:left w:type="dxa" w:w="80"/>
              <w:bottom w:type="dxa" w:w="50"/>
              <w:right w:type="dxa" w:w="80"/>
            </w:tcMar>
            <w:vAlign w:val="center"/>
          </w:tcPr>
          <w:p>
            <w:pPr>
              <w:keepNext w:val="false"/>
              <w:spacing w:after="20" w:line="240"/>
              <w:jc w:val="left"/>
            </w:pPr>
            <w:r>
              <w:rPr>
                <w:sz w:val="17"/>
                <w:szCs w:val="17"/>
              </w:rPr>
              <w:t xml:space="preserve">FCE 2, FCE 5</w:t>
            </w:r>
          </w:p>
        </w:tc>
        <w:tc>
          <w:tcPr>
            <w:tcW w:type="dxa" w:w="3240"/>
            <w:tcMar>
              <w:top w:type="dxa" w:w="50"/>
              <w:left w:type="dxa" w:w="80"/>
              <w:bottom w:type="dxa" w:w="50"/>
              <w:right w:type="dxa" w:w="80"/>
            </w:tcMar>
            <w:vAlign w:val="center"/>
          </w:tcPr>
          <w:p>
            <w:pPr>
              <w:keepNext w:val="false"/>
              <w:spacing w:after="20" w:line="240"/>
              <w:jc w:val="left"/>
            </w:pPr>
            <w:r>
              <w:rPr>
                <w:sz w:val="17"/>
                <w:szCs w:val="17"/>
              </w:rPr>
              <w:t xml:space="preserve">Masa crítica de ingeniería; demanda sostenida del programa; programas de formación vinculados a la academia.</w:t>
            </w:r>
          </w:p>
        </w:tc>
      </w:tr>
      <w:tr>
        <w:trPr>
          <w:cantSplit/>
        </w:trPr>
        <w:tc>
          <w:tcPr>
            <w:tcW w:type="dxa" w:w="630"/>
            <w:tcMar>
              <w:top w:type="dxa" w:w="50"/>
              <w:left w:type="dxa" w:w="80"/>
              <w:bottom w:type="dxa" w:w="50"/>
              <w:right w:type="dxa" w:w="80"/>
            </w:tcMar>
            <w:vAlign w:val="center"/>
          </w:tcPr>
          <w:p>
            <w:pPr>
              <w:keepNext w:val="false"/>
              <w:spacing w:after="20" w:line="240"/>
              <w:jc w:val="left"/>
            </w:pPr>
            <w:r>
              <w:rPr>
                <w:sz w:val="17"/>
                <w:szCs w:val="17"/>
              </w:rPr>
              <w:t xml:space="preserve">M3</w:t>
            </w:r>
          </w:p>
        </w:tc>
        <w:tc>
          <w:tcPr>
            <w:tcW w:type="dxa" w:w="2430"/>
            <w:tcMar>
              <w:top w:type="dxa" w:w="50"/>
              <w:left w:type="dxa" w:w="80"/>
              <w:bottom w:type="dxa" w:w="50"/>
              <w:right w:type="dxa" w:w="80"/>
            </w:tcMar>
            <w:vAlign w:val="center"/>
          </w:tcPr>
          <w:p>
            <w:pPr>
              <w:keepNext w:val="false"/>
              <w:spacing w:after="20" w:line="240"/>
              <w:jc w:val="left"/>
            </w:pPr>
            <w:r>
              <w:rPr>
                <w:sz w:val="17"/>
                <w:szCs w:val="17"/>
              </w:rPr>
              <w:t xml:space="preserve">Instrumentos de contratación de innovación (encomienda)</w:t>
            </w:r>
          </w:p>
        </w:tc>
        <w:tc>
          <w:tcPr>
            <w:tcW w:type="dxa" w:w="1620"/>
            <w:tcMar>
              <w:top w:type="dxa" w:w="50"/>
              <w:left w:type="dxa" w:w="80"/>
              <w:bottom w:type="dxa" w:w="50"/>
              <w:right w:type="dxa" w:w="80"/>
            </w:tcMar>
            <w:vAlign w:val="center"/>
          </w:tcPr>
          <w:p>
            <w:pPr>
              <w:keepNext w:val="false"/>
              <w:spacing w:after="20" w:line="240"/>
              <w:jc w:val="left"/>
            </w:pPr>
            <w:r>
              <w:rPr>
                <w:sz w:val="17"/>
                <w:szCs w:val="17"/>
              </w:rPr>
              <w:t xml:space="preserve">ETEC (AEB)</w:t>
            </w:r>
          </w:p>
        </w:tc>
        <w:tc>
          <w:tcPr>
            <w:tcW w:type="dxa" w:w="1080"/>
            <w:tcMar>
              <w:top w:type="dxa" w:w="50"/>
              <w:left w:type="dxa" w:w="80"/>
              <w:bottom w:type="dxa" w:w="50"/>
              <w:right w:type="dxa" w:w="80"/>
            </w:tcMar>
            <w:vAlign w:val="center"/>
          </w:tcPr>
          <w:p>
            <w:pPr>
              <w:keepNext w:val="false"/>
              <w:spacing w:after="20" w:line="240"/>
              <w:jc w:val="left"/>
            </w:pPr>
            <w:r>
              <w:rPr>
                <w:sz w:val="17"/>
                <w:szCs w:val="17"/>
              </w:rPr>
              <w:t xml:space="preserve">FCE 2, FCE 4</w:t>
            </w:r>
          </w:p>
        </w:tc>
        <w:tc>
          <w:tcPr>
            <w:tcW w:type="dxa" w:w="3240"/>
            <w:tcMar>
              <w:top w:type="dxa" w:w="50"/>
              <w:left w:type="dxa" w:w="80"/>
              <w:bottom w:type="dxa" w:w="50"/>
              <w:right w:type="dxa" w:w="80"/>
            </w:tcMar>
            <w:vAlign w:val="center"/>
          </w:tcPr>
          <w:p>
            <w:pPr>
              <w:keepNext w:val="false"/>
              <w:spacing w:after="20" w:line="240"/>
              <w:jc w:val="left"/>
            </w:pPr>
            <w:r>
              <w:rPr>
                <w:sz w:val="17"/>
                <w:szCs w:val="17"/>
              </w:rPr>
              <w:t xml:space="preserve">Adecuación de la compra pública; fondos de innovación.</w:t>
            </w:r>
          </w:p>
        </w:tc>
      </w:tr>
      <w:tr>
        <w:trPr>
          <w:cantSplit/>
        </w:trPr>
        <w:tc>
          <w:tcPr>
            <w:tcW w:type="dxa" w:w="630"/>
            <w:tcMar>
              <w:top w:type="dxa" w:w="50"/>
              <w:left w:type="dxa" w:w="80"/>
              <w:bottom w:type="dxa" w:w="50"/>
              <w:right w:type="dxa" w:w="80"/>
            </w:tcMar>
            <w:vAlign w:val="center"/>
          </w:tcPr>
          <w:p>
            <w:pPr>
              <w:keepNext w:val="false"/>
              <w:spacing w:after="20" w:line="240"/>
              <w:jc w:val="left"/>
            </w:pPr>
            <w:r>
              <w:rPr>
                <w:sz w:val="17"/>
                <w:szCs w:val="17"/>
              </w:rPr>
              <w:t xml:space="preserve">M4</w:t>
            </w:r>
          </w:p>
        </w:tc>
        <w:tc>
          <w:tcPr>
            <w:tcW w:type="dxa" w:w="2430"/>
            <w:tcMar>
              <w:top w:type="dxa" w:w="50"/>
              <w:left w:type="dxa" w:w="80"/>
              <w:bottom w:type="dxa" w:w="50"/>
              <w:right w:type="dxa" w:w="80"/>
            </w:tcMar>
            <w:vAlign w:val="center"/>
          </w:tcPr>
          <w:p>
            <w:pPr>
              <w:keepNext w:val="false"/>
              <w:spacing w:after="20" w:line="240"/>
              <w:jc w:val="left"/>
            </w:pPr>
            <w:r>
              <w:rPr>
                <w:sz w:val="17"/>
                <w:szCs w:val="17"/>
              </w:rPr>
              <w:t xml:space="preserve">Transferencia formal y contractual al sector privado</w:t>
            </w:r>
          </w:p>
        </w:tc>
        <w:tc>
          <w:tcPr>
            <w:tcW w:type="dxa" w:w="1620"/>
            <w:tcMar>
              <w:top w:type="dxa" w:w="50"/>
              <w:left w:type="dxa" w:w="80"/>
              <w:bottom w:type="dxa" w:w="50"/>
              <w:right w:type="dxa" w:w="80"/>
            </w:tcMar>
            <w:vAlign w:val="center"/>
          </w:tcPr>
          <w:p>
            <w:pPr>
              <w:keepNext w:val="false"/>
              <w:spacing w:after="20" w:line="240"/>
              <w:jc w:val="left"/>
            </w:pPr>
            <w:r>
              <w:rPr>
                <w:sz w:val="17"/>
                <w:szCs w:val="17"/>
              </w:rPr>
              <w:t xml:space="preserve">KARI-Hanwha</w:t>
            </w:r>
          </w:p>
        </w:tc>
        <w:tc>
          <w:tcPr>
            <w:tcW w:type="dxa" w:w="1080"/>
            <w:tcMar>
              <w:top w:type="dxa" w:w="50"/>
              <w:left w:type="dxa" w:w="80"/>
              <w:bottom w:type="dxa" w:w="50"/>
              <w:right w:type="dxa" w:w="80"/>
            </w:tcMar>
            <w:vAlign w:val="center"/>
          </w:tcPr>
          <w:p>
            <w:pPr>
              <w:keepNext w:val="false"/>
              <w:spacing w:after="20" w:line="240"/>
              <w:jc w:val="left"/>
            </w:pPr>
            <w:r>
              <w:rPr>
                <w:sz w:val="17"/>
                <w:szCs w:val="17"/>
              </w:rPr>
              <w:t xml:space="preserve">FCE 2, FCE 6</w:t>
            </w:r>
          </w:p>
        </w:tc>
        <w:tc>
          <w:tcPr>
            <w:tcW w:type="dxa" w:w="3240"/>
            <w:tcMar>
              <w:top w:type="dxa" w:w="50"/>
              <w:left w:type="dxa" w:w="80"/>
              <w:bottom w:type="dxa" w:w="50"/>
              <w:right w:type="dxa" w:w="80"/>
            </w:tcMar>
            <w:vAlign w:val="center"/>
          </w:tcPr>
          <w:p>
            <w:pPr>
              <w:keepNext w:val="false"/>
              <w:spacing w:after="20" w:line="240"/>
              <w:jc w:val="left"/>
            </w:pPr>
            <w:r>
              <w:rPr>
                <w:sz w:val="17"/>
                <w:szCs w:val="17"/>
              </w:rPr>
              <w:t xml:space="preserve">Capacidad de absorción previa; marco de licencias.</w:t>
            </w:r>
          </w:p>
        </w:tc>
      </w:tr>
      <w:tr>
        <w:trPr>
          <w:cantSplit/>
        </w:trPr>
        <w:tc>
          <w:tcPr>
            <w:tcW w:type="dxa" w:w="630"/>
            <w:tcMar>
              <w:top w:type="dxa" w:w="50"/>
              <w:left w:type="dxa" w:w="80"/>
              <w:bottom w:type="dxa" w:w="50"/>
              <w:right w:type="dxa" w:w="80"/>
            </w:tcMar>
            <w:vAlign w:val="center"/>
          </w:tcPr>
          <w:p>
            <w:pPr>
              <w:keepNext w:val="false"/>
              <w:spacing w:after="20" w:line="240"/>
              <w:jc w:val="left"/>
            </w:pPr>
            <w:r>
              <w:rPr>
                <w:sz w:val="17"/>
                <w:szCs w:val="17"/>
              </w:rPr>
              <w:t xml:space="preserve">M5</w:t>
            </w:r>
          </w:p>
        </w:tc>
        <w:tc>
          <w:tcPr>
            <w:tcW w:type="dxa" w:w="2430"/>
            <w:tcMar>
              <w:top w:type="dxa" w:w="50"/>
              <w:left w:type="dxa" w:w="80"/>
              <w:bottom w:type="dxa" w:w="50"/>
              <w:right w:type="dxa" w:w="80"/>
            </w:tcMar>
            <w:vAlign w:val="center"/>
          </w:tcPr>
          <w:p>
            <w:pPr>
              <w:keepNext w:val="false"/>
              <w:spacing w:after="20" w:line="240"/>
              <w:jc w:val="left"/>
            </w:pPr>
            <w:r>
              <w:rPr>
                <w:sz w:val="17"/>
                <w:szCs w:val="17"/>
              </w:rPr>
              <w:t xml:space="preserve">Política de datos abiertos y acceso regulado de terceros</w:t>
            </w:r>
          </w:p>
        </w:tc>
        <w:tc>
          <w:tcPr>
            <w:tcW w:type="dxa" w:w="1620"/>
            <w:tcMar>
              <w:top w:type="dxa" w:w="50"/>
              <w:left w:type="dxa" w:w="80"/>
              <w:bottom w:type="dxa" w:w="50"/>
              <w:right w:type="dxa" w:w="80"/>
            </w:tcMar>
            <w:vAlign w:val="center"/>
          </w:tcPr>
          <w:p>
            <w:pPr>
              <w:keepNext w:val="false"/>
              <w:spacing w:after="20" w:line="240"/>
              <w:jc w:val="left"/>
            </w:pPr>
            <w:r>
              <w:rPr>
                <w:sz w:val="17"/>
                <w:szCs w:val="17"/>
              </w:rPr>
              <w:t xml:space="preserve">Catálogos SAOCOM</w:t>
            </w:r>
          </w:p>
        </w:tc>
        <w:tc>
          <w:tcPr>
            <w:tcW w:type="dxa" w:w="1080"/>
            <w:tcMar>
              <w:top w:type="dxa" w:w="50"/>
              <w:left w:type="dxa" w:w="80"/>
              <w:bottom w:type="dxa" w:w="50"/>
              <w:right w:type="dxa" w:w="80"/>
            </w:tcMar>
            <w:vAlign w:val="center"/>
          </w:tcPr>
          <w:p>
            <w:pPr>
              <w:keepNext w:val="false"/>
              <w:spacing w:after="20" w:line="240"/>
              <w:jc w:val="left"/>
            </w:pPr>
            <w:r>
              <w:rPr>
                <w:sz w:val="17"/>
                <w:szCs w:val="17"/>
              </w:rPr>
              <w:t xml:space="preserve">FCE 3, FCE 6</w:t>
            </w:r>
          </w:p>
        </w:tc>
        <w:tc>
          <w:tcPr>
            <w:tcW w:type="dxa" w:w="3240"/>
            <w:tcMar>
              <w:top w:type="dxa" w:w="50"/>
              <w:left w:type="dxa" w:w="80"/>
              <w:bottom w:type="dxa" w:w="50"/>
              <w:right w:type="dxa" w:w="80"/>
            </w:tcMar>
            <w:vAlign w:val="center"/>
          </w:tcPr>
          <w:p>
            <w:pPr>
              <w:keepNext w:val="false"/>
              <w:spacing w:after="20" w:line="240"/>
              <w:jc w:val="left"/>
            </w:pPr>
            <w:r>
              <w:rPr>
                <w:sz w:val="17"/>
                <w:szCs w:val="17"/>
              </w:rPr>
              <w:t xml:space="preserve">Reglamento de acceso; protocolo de seguridad y uso dual; origen de los datos verificado.</w:t>
            </w:r>
          </w:p>
        </w:tc>
      </w:tr>
      <w:tr>
        <w:trPr>
          <w:cantSplit/>
        </w:trPr>
        <w:tc>
          <w:tcPr>
            <w:tcW w:type="dxa" w:w="630"/>
            <w:tcMar>
              <w:top w:type="dxa" w:w="50"/>
              <w:left w:type="dxa" w:w="80"/>
              <w:bottom w:type="dxa" w:w="50"/>
              <w:right w:type="dxa" w:w="80"/>
            </w:tcMar>
            <w:vAlign w:val="center"/>
          </w:tcPr>
          <w:p>
            <w:pPr>
              <w:keepNext w:val="false"/>
              <w:spacing w:after="20" w:line="240"/>
              <w:jc w:val="left"/>
            </w:pPr>
            <w:r>
              <w:rPr>
                <w:sz w:val="17"/>
                <w:szCs w:val="17"/>
              </w:rPr>
              <w:t xml:space="preserve">M6</w:t>
            </w:r>
          </w:p>
        </w:tc>
        <w:tc>
          <w:tcPr>
            <w:tcW w:type="dxa" w:w="2430"/>
            <w:tcMar>
              <w:top w:type="dxa" w:w="50"/>
              <w:left w:type="dxa" w:w="80"/>
              <w:bottom w:type="dxa" w:w="50"/>
              <w:right w:type="dxa" w:w="80"/>
            </w:tcMar>
            <w:vAlign w:val="center"/>
          </w:tcPr>
          <w:p>
            <w:pPr>
              <w:keepNext w:val="false"/>
              <w:spacing w:after="20" w:line="240"/>
              <w:jc w:val="left"/>
            </w:pPr>
            <w:r>
              <w:rPr>
                <w:sz w:val="17"/>
                <w:szCs w:val="17"/>
              </w:rPr>
              <w:t xml:space="preserve">Alianzas internacionales de cooperación</w:t>
            </w:r>
          </w:p>
        </w:tc>
        <w:tc>
          <w:tcPr>
            <w:tcW w:type="dxa" w:w="1620"/>
            <w:tcMar>
              <w:top w:type="dxa" w:w="50"/>
              <w:left w:type="dxa" w:w="80"/>
              <w:bottom w:type="dxa" w:w="50"/>
              <w:right w:type="dxa" w:w="80"/>
            </w:tcMar>
            <w:vAlign w:val="center"/>
          </w:tcPr>
          <w:p>
            <w:pPr>
              <w:keepNext w:val="false"/>
              <w:spacing w:after="20" w:line="240"/>
              <w:jc w:val="left"/>
            </w:pPr>
            <w:r>
              <w:rPr>
                <w:sz w:val="17"/>
                <w:szCs w:val="17"/>
              </w:rPr>
              <w:t xml:space="preserve">SIASGE (CONAE-ASI)</w:t>
            </w:r>
          </w:p>
        </w:tc>
        <w:tc>
          <w:tcPr>
            <w:tcW w:type="dxa" w:w="1080"/>
            <w:tcMar>
              <w:top w:type="dxa" w:w="50"/>
              <w:left w:type="dxa" w:w="80"/>
              <w:bottom w:type="dxa" w:w="50"/>
              <w:right w:type="dxa" w:w="80"/>
            </w:tcMar>
            <w:vAlign w:val="center"/>
          </w:tcPr>
          <w:p>
            <w:pPr>
              <w:keepNext w:val="false"/>
              <w:spacing w:after="20" w:line="240"/>
              <w:jc w:val="left"/>
            </w:pPr>
            <w:r>
              <w:rPr>
                <w:sz w:val="17"/>
                <w:szCs w:val="17"/>
              </w:rPr>
              <w:t xml:space="preserve">FCE 4, FCE 6</w:t>
            </w:r>
          </w:p>
        </w:tc>
        <w:tc>
          <w:tcPr>
            <w:tcW w:type="dxa" w:w="3240"/>
            <w:tcMar>
              <w:top w:type="dxa" w:w="50"/>
              <w:left w:type="dxa" w:w="80"/>
              <w:bottom w:type="dxa" w:w="50"/>
              <w:right w:type="dxa" w:w="80"/>
            </w:tcMar>
            <w:vAlign w:val="center"/>
          </w:tcPr>
          <w:p>
            <w:pPr>
              <w:keepNext w:val="false"/>
              <w:spacing w:after="20" w:line="240"/>
              <w:jc w:val="left"/>
            </w:pPr>
            <w:r>
              <w:rPr>
                <w:sz w:val="17"/>
                <w:szCs w:val="17"/>
              </w:rPr>
              <w:t xml:space="preserve">Convenios bilaterales; complementariedad de capacidades.</w:t>
            </w:r>
          </w:p>
        </w:tc>
      </w:tr>
      <w:tr>
        <w:trPr>
          <w:cantSplit/>
        </w:trPr>
        <w:tc>
          <w:tcPr>
            <w:tcW w:type="dxa" w:w="630"/>
            <w:tcMar>
              <w:top w:type="dxa" w:w="50"/>
              <w:left w:type="dxa" w:w="80"/>
              <w:bottom w:type="dxa" w:w="50"/>
              <w:right w:type="dxa" w:w="80"/>
            </w:tcMar>
            <w:vAlign w:val="center"/>
          </w:tcPr>
          <w:p>
            <w:pPr>
              <w:keepNext w:val="false"/>
              <w:spacing w:after="20" w:line="240"/>
              <w:jc w:val="left"/>
            </w:pPr>
            <w:r>
              <w:rPr>
                <w:sz w:val="17"/>
                <w:szCs w:val="17"/>
              </w:rPr>
              <w:t xml:space="preserve">M7</w:t>
            </w:r>
          </w:p>
        </w:tc>
        <w:tc>
          <w:tcPr>
            <w:tcW w:type="dxa" w:w="2430"/>
            <w:tcMar>
              <w:top w:type="dxa" w:w="50"/>
              <w:left w:type="dxa" w:w="80"/>
              <w:bottom w:type="dxa" w:w="50"/>
              <w:right w:type="dxa" w:w="80"/>
            </w:tcMar>
            <w:vAlign w:val="center"/>
          </w:tcPr>
          <w:p>
            <w:pPr>
              <w:keepNext w:val="false"/>
              <w:spacing w:after="20" w:line="240"/>
              <w:jc w:val="left"/>
            </w:pPr>
            <w:r>
              <w:rPr>
                <w:sz w:val="17"/>
                <w:szCs w:val="17"/>
              </w:rPr>
              <w:t xml:space="preserve">Articulación territorial y modelo de réplica regional</w:t>
            </w:r>
          </w:p>
        </w:tc>
        <w:tc>
          <w:tcPr>
            <w:tcW w:type="dxa" w:w="1620"/>
            <w:tcMar>
              <w:top w:type="dxa" w:w="50"/>
              <w:left w:type="dxa" w:w="80"/>
              <w:bottom w:type="dxa" w:w="50"/>
              <w:right w:type="dxa" w:w="80"/>
            </w:tcMar>
            <w:vAlign w:val="center"/>
          </w:tcPr>
          <w:p>
            <w:pPr>
              <w:keepNext w:val="false"/>
              <w:spacing w:after="20" w:line="240"/>
              <w:jc w:val="left"/>
            </w:pPr>
            <w:r>
              <w:rPr>
                <w:sz w:val="17"/>
                <w:szCs w:val="17"/>
              </w:rPr>
              <w:t xml:space="preserve">Sin caso internacional documentado (mecanismo propio)</w:t>
            </w:r>
          </w:p>
        </w:tc>
        <w:tc>
          <w:tcPr>
            <w:tcW w:type="dxa" w:w="1080"/>
            <w:tcMar>
              <w:top w:type="dxa" w:w="50"/>
              <w:left w:type="dxa" w:w="80"/>
              <w:bottom w:type="dxa" w:w="50"/>
              <w:right w:type="dxa" w:w="80"/>
            </w:tcMar>
            <w:vAlign w:val="center"/>
          </w:tcPr>
          <w:p>
            <w:pPr>
              <w:keepNext w:val="false"/>
              <w:spacing w:after="20" w:line="240"/>
              <w:jc w:val="left"/>
            </w:pPr>
            <w:r>
              <w:rPr>
                <w:sz w:val="17"/>
                <w:szCs w:val="17"/>
              </w:rPr>
              <w:t xml:space="preserve">FCE 7</w:t>
            </w:r>
          </w:p>
        </w:tc>
        <w:tc>
          <w:tcPr>
            <w:tcW w:type="dxa" w:w="3240"/>
            <w:tcMar>
              <w:top w:type="dxa" w:w="50"/>
              <w:left w:type="dxa" w:w="80"/>
              <w:bottom w:type="dxa" w:w="50"/>
              <w:right w:type="dxa" w:w="80"/>
            </w:tcMar>
            <w:vAlign w:val="center"/>
          </w:tcPr>
          <w:p>
            <w:pPr>
              <w:keepNext w:val="false"/>
              <w:spacing w:after="20" w:line="240"/>
              <w:jc w:val="left"/>
            </w:pPr>
            <w:r>
              <w:rPr>
                <w:sz w:val="17"/>
                <w:szCs w:val="17"/>
              </w:rPr>
              <w:t xml:space="preserve">Resultados de los estudios regionales; presupuesto regional; modelo operativo replicable.</w:t>
            </w:r>
          </w:p>
        </w:tc>
      </w:tr>
    </w:tbl>
    <w:p>
      <w:pPr>
        <w:spacing w:after="200" w:before="60"/>
        <w:jc w:val="center"/>
      </w:pPr>
      <w:r>
        <w:rPr>
          <w:i/>
          <w:iCs/>
          <w:sz w:val="17"/>
          <w:szCs w:val="17"/>
        </w:rPr>
        <w:t xml:space="preserve">Fuente: Elaboración propia a partir de Rockart (1979), del diagnóstico del OE2 y de las fuentes de los apartados 5.4 a 5.8.</w:t>
      </w:r>
    </w:p>
    <w:p>
      <w:pPr>
        <w:spacing w:after="140" w:line="260"/>
        <w:jc w:val="both"/>
      </w:pPr>
      <w:r>
        <w:rPr>
          <w:i/>
          <w:iCs/>
          <w:sz w:val="19"/>
          <w:szCs w:val="19"/>
        </w:rPr>
        <w:t xml:space="preserve">M7 no tiene un referente internacional documentado en esta revisión: se declara como mecanismo de diseño propio, derivado del diagnóstico (B4). Portugal (puerto espacial en las Azores) podría ofrecer una referencia parcial a explorar, pero sus fuentes no permiten sustentar una réplica regional del tipo planteado.</w:t>
      </w:r>
    </w:p>
    <w:p>
      <w:pPr>
        <w:spacing w:after="140" w:line="300"/>
        <w:jc w:val="both"/>
      </w:pPr>
      <w:r>
        <w:t xml:space="preserve">El FCE 5 (talento) se aborda de manera indirecta mediante M2 y los programas de formación asociados; se evaluará un mecanismo específico en el OE4.</w:t>
      </w:r>
    </w:p>
    <w:p>
      <w:pPr>
        <w:pStyle w:val="Heading2"/>
      </w:pPr>
      <w:r>
        <w:t xml:space="preserve">5.11 Evaluación de transferibilidad al contexto chileno</w:t>
      </w:r>
    </w:p>
    <w:p>
      <w:pPr>
        <w:spacing w:after="140" w:line="300"/>
        <w:jc w:val="both"/>
      </w:pPr>
      <w:r>
        <w:t xml:space="preserve">La identificación de una buena práctica no garantiza su aplicabilidad. Para fundamentar la selección de mecanismos se evaluó cada uno en cuatro dimensiones de transferibilidad, en una escala de 1 (baja) a 3 (alta):</w:t>
      </w:r>
    </w:p>
    <w:p>
      <w:pPr>
        <w:pStyle w:val="ListParagraph"/>
        <w:numPr>
          <w:ilvl w:val="0"/>
          <w:numId w:val="2"/>
        </w:numPr>
        <w:spacing w:after="80" w:line="290"/>
        <w:jc w:val="both"/>
      </w:pPr>
      <w:r>
        <w:rPr>
          <w:b/>
          <w:bCs/>
        </w:rPr>
        <w:t xml:space="preserve">Institucional:</w:t>
      </w:r>
      <w:r>
        <w:t xml:space="preserve"> compatibilidad con la estructura de gobernanza chilena (Defensa-FACh, Minciencia, Subtel) y con los actores disponibles.</w:t>
      </w:r>
    </w:p>
    <w:p>
      <w:pPr>
        <w:pStyle w:val="ListParagraph"/>
        <w:numPr>
          <w:ilvl w:val="0"/>
          <w:numId w:val="2"/>
        </w:numPr>
        <w:spacing w:after="80" w:line="290"/>
        <w:jc w:val="both"/>
      </w:pPr>
      <w:r>
        <w:rPr>
          <w:b/>
          <w:bCs/>
        </w:rPr>
        <w:t xml:space="preserve">Tecnológica:</w:t>
      </w:r>
      <w:r>
        <w:t xml:space="preserve"> compatibilidad con el nivel de capacidades y la madurez del CEN y de los receptores (sección 3.6).</w:t>
      </w:r>
    </w:p>
    <w:p>
      <w:pPr>
        <w:pStyle w:val="ListParagraph"/>
        <w:numPr>
          <w:ilvl w:val="0"/>
          <w:numId w:val="2"/>
        </w:numPr>
        <w:spacing w:after="80" w:line="290"/>
        <w:jc w:val="both"/>
      </w:pPr>
      <w:r>
        <w:rPr>
          <w:b/>
          <w:bCs/>
        </w:rPr>
        <w:t xml:space="preserve">Normativa:</w:t>
      </w:r>
      <w:r>
        <w:t xml:space="preserve"> necesidad de reformas legales o reglamentarias y facilidad de adecuación.</w:t>
      </w:r>
    </w:p>
    <w:p>
      <w:pPr>
        <w:pStyle w:val="ListParagraph"/>
        <w:numPr>
          <w:ilvl w:val="0"/>
          <w:numId w:val="2"/>
        </w:numPr>
        <w:spacing w:after="80" w:line="290"/>
        <w:jc w:val="both"/>
      </w:pPr>
      <w:r>
        <w:rPr>
          <w:b/>
          <w:bCs/>
        </w:rPr>
        <w:t xml:space="preserve">Económica:</w:t>
      </w:r>
      <w:r>
        <w:t xml:space="preserve"> costo, escala de demanda y fuentes de financiamiento requeridos frente a la realidad chilena.</w:t>
      </w:r>
    </w:p>
    <w:p>
      <w:pPr>
        <w:spacing w:after="140" w:line="300"/>
        <w:jc w:val="both"/>
      </w:pPr>
      <w:r>
        <w:t xml:space="preserve">La suma (Σ, entre 4 y 12) determina la viabilidad relativa: </w:t>
      </w:r>
      <w:r>
        <w:rPr>
          <w:b/>
          <w:bCs/>
        </w:rPr>
        <w:t xml:space="preserve">Alta</w:t>
      </w:r>
      <w:r>
        <w:t xml:space="preserve"> (10-12), </w:t>
      </w:r>
      <w:r>
        <w:rPr>
          <w:b/>
          <w:bCs/>
        </w:rPr>
        <w:t xml:space="preserve">Media-alta</w:t>
      </w:r>
      <w:r>
        <w:t xml:space="preserve"> (9), </w:t>
      </w:r>
      <w:r>
        <w:rPr>
          <w:b/>
          <w:bCs/>
        </w:rPr>
        <w:t xml:space="preserve">Media</w:t>
      </w:r>
      <w:r>
        <w:t xml:space="preserve"> (8), </w:t>
      </w:r>
      <w:r>
        <w:rPr>
          <w:b/>
          <w:bCs/>
        </w:rPr>
        <w:t xml:space="preserve">Media-baja</w:t>
      </w:r>
      <w:r>
        <w:t xml:space="preserve"> (6-7) y </w:t>
      </w:r>
      <w:r>
        <w:rPr>
          <w:b/>
          <w:bCs/>
        </w:rPr>
        <w:t xml:space="preserve">Baja</w:t>
      </w:r>
      <w:r>
        <w:t xml:space="preserve"> (≤ 5). La decisión asociada indica si el mecanismo se retiene, se ajusta o se difiere para el diseño del OE4. La Tabla 28 presenta los resultados y la Tabla 29, la justificación de cada puntaje. Son valoraciones preliminares del autor (confianza baja, H9), a validar con expertos en el OE5.</w:t>
      </w:r>
    </w:p>
    <w:p>
      <w:pPr>
        <w:pStyle w:val="Caption"/>
        <w:keepNext/>
        <w:spacing w:after="80" w:before="200"/>
        <w:jc w:val="center"/>
      </w:pPr>
      <w:r>
        <w:rPr>
          <w:b/>
          <w:bCs/>
        </w:rPr>
        <w:t xml:space="preserve">Tabla </w:t>
      </w:r>
      <w:fldSimple w:instr="SEQ Tabla \* ARABIC">
        <w:r>
          <w:t xml:space="preserve">28</w:t>
        </w:r>
      </w:fldSimple>
      <w:r>
        <w:rPr>
          <w:b/>
          <w:bCs/>
        </w:rPr>
        <w:t xml:space="preserve">. Matriz de transferibilidad de los mecanismos al contexto chileno</w:t>
      </w:r>
    </w:p>
    <w:tbl>
      <w:tblPr>
        <w:tblW w:type="dxa" w:w="9000"/>
        <w:tblBorders>
          <w:top w:val="single" w:color="A6A6A6" w:sz="4"/>
          <w:left w:val="single" w:color="A6A6A6" w:sz="4"/>
          <w:bottom w:val="single" w:color="A6A6A6" w:sz="4"/>
          <w:right w:val="single" w:color="A6A6A6" w:sz="4"/>
          <w:insideH w:val="single" w:color="A6A6A6" w:sz="4"/>
          <w:insideV w:val="single" w:color="A6A6A6" w:sz="4"/>
        </w:tblBorders>
      </w:tblPr>
      <w:tblGrid>
        <w:gridCol w:w="540"/>
        <w:gridCol w:w="1980"/>
        <w:gridCol w:w="720"/>
        <w:gridCol w:w="720"/>
        <w:gridCol w:w="720"/>
        <w:gridCol w:w="720"/>
        <w:gridCol w:w="630"/>
        <w:gridCol w:w="1170"/>
        <w:gridCol w:w="1800"/>
      </w:tblGrid>
      <w:tr>
        <w:trPr>
          <w:cantSplit/>
          <w:tblHeader/>
        </w:trPr>
        <w:tc>
          <w:tcPr>
            <w:tcW w:type="dxa" w:w="540"/>
            <w:shd w:fill="1F3864" w:color="auto" w:val="clear"/>
            <w:tcMar>
              <w:top w:type="dxa" w:w="50"/>
              <w:left w:type="dxa" w:w="80"/>
              <w:bottom w:type="dxa" w:w="50"/>
              <w:right w:type="dxa" w:w="80"/>
            </w:tcMar>
            <w:vAlign w:val="center"/>
          </w:tcPr>
          <w:p>
            <w:pPr>
              <w:spacing w:after="20" w:line="240"/>
              <w:jc w:val="center"/>
            </w:pPr>
            <w:r>
              <w:rPr>
                <w:b/>
                <w:bCs/>
                <w:color w:val="FFFFFF"/>
                <w:sz w:val="16"/>
                <w:szCs w:val="16"/>
              </w:rPr>
              <w:t xml:space="preserve">N.º</w:t>
            </w:r>
          </w:p>
        </w:tc>
        <w:tc>
          <w:tcPr>
            <w:tcW w:type="dxa" w:w="1980"/>
            <w:shd w:fill="1F3864" w:color="auto" w:val="clear"/>
            <w:tcMar>
              <w:top w:type="dxa" w:w="50"/>
              <w:left w:type="dxa" w:w="80"/>
              <w:bottom w:type="dxa" w:w="50"/>
              <w:right w:type="dxa" w:w="80"/>
            </w:tcMar>
            <w:vAlign w:val="center"/>
          </w:tcPr>
          <w:p>
            <w:pPr>
              <w:spacing w:after="20" w:line="240"/>
              <w:jc w:val="center"/>
            </w:pPr>
            <w:r>
              <w:rPr>
                <w:b/>
                <w:bCs/>
                <w:color w:val="FFFFFF"/>
                <w:sz w:val="16"/>
                <w:szCs w:val="16"/>
              </w:rPr>
              <w:t xml:space="preserve">Mecanismo</w:t>
            </w:r>
          </w:p>
        </w:tc>
        <w:tc>
          <w:tcPr>
            <w:tcW w:type="dxa" w:w="720"/>
            <w:shd w:fill="1F3864" w:color="auto" w:val="clear"/>
            <w:tcMar>
              <w:top w:type="dxa" w:w="50"/>
              <w:left w:type="dxa" w:w="80"/>
              <w:bottom w:type="dxa" w:w="50"/>
              <w:right w:type="dxa" w:w="80"/>
            </w:tcMar>
            <w:vAlign w:val="center"/>
          </w:tcPr>
          <w:p>
            <w:pPr>
              <w:spacing w:after="20" w:line="240"/>
              <w:jc w:val="center"/>
            </w:pPr>
            <w:r>
              <w:rPr>
                <w:b/>
                <w:bCs/>
                <w:color w:val="FFFFFF"/>
                <w:sz w:val="16"/>
                <w:szCs w:val="16"/>
              </w:rPr>
              <w:t xml:space="preserve">Inst.</w:t>
            </w:r>
          </w:p>
        </w:tc>
        <w:tc>
          <w:tcPr>
            <w:tcW w:type="dxa" w:w="720"/>
            <w:shd w:fill="1F3864" w:color="auto" w:val="clear"/>
            <w:tcMar>
              <w:top w:type="dxa" w:w="50"/>
              <w:left w:type="dxa" w:w="80"/>
              <w:bottom w:type="dxa" w:w="50"/>
              <w:right w:type="dxa" w:w="80"/>
            </w:tcMar>
            <w:vAlign w:val="center"/>
          </w:tcPr>
          <w:p>
            <w:pPr>
              <w:spacing w:after="20" w:line="240"/>
              <w:jc w:val="center"/>
            </w:pPr>
            <w:r>
              <w:rPr>
                <w:b/>
                <w:bCs/>
                <w:color w:val="FFFFFF"/>
                <w:sz w:val="16"/>
                <w:szCs w:val="16"/>
              </w:rPr>
              <w:t xml:space="preserve">Tec.</w:t>
            </w:r>
          </w:p>
        </w:tc>
        <w:tc>
          <w:tcPr>
            <w:tcW w:type="dxa" w:w="720"/>
            <w:shd w:fill="1F3864" w:color="auto" w:val="clear"/>
            <w:tcMar>
              <w:top w:type="dxa" w:w="50"/>
              <w:left w:type="dxa" w:w="80"/>
              <w:bottom w:type="dxa" w:w="50"/>
              <w:right w:type="dxa" w:w="80"/>
            </w:tcMar>
            <w:vAlign w:val="center"/>
          </w:tcPr>
          <w:p>
            <w:pPr>
              <w:spacing w:after="20" w:line="240"/>
              <w:jc w:val="center"/>
            </w:pPr>
            <w:r>
              <w:rPr>
                <w:b/>
                <w:bCs/>
                <w:color w:val="FFFFFF"/>
                <w:sz w:val="16"/>
                <w:szCs w:val="16"/>
              </w:rPr>
              <w:t xml:space="preserve">Norm.</w:t>
            </w:r>
          </w:p>
        </w:tc>
        <w:tc>
          <w:tcPr>
            <w:tcW w:type="dxa" w:w="720"/>
            <w:shd w:fill="1F3864" w:color="auto" w:val="clear"/>
            <w:tcMar>
              <w:top w:type="dxa" w:w="50"/>
              <w:left w:type="dxa" w:w="80"/>
              <w:bottom w:type="dxa" w:w="50"/>
              <w:right w:type="dxa" w:w="80"/>
            </w:tcMar>
            <w:vAlign w:val="center"/>
          </w:tcPr>
          <w:p>
            <w:pPr>
              <w:spacing w:after="20" w:line="240"/>
              <w:jc w:val="center"/>
            </w:pPr>
            <w:r>
              <w:rPr>
                <w:b/>
                <w:bCs/>
                <w:color w:val="FFFFFF"/>
                <w:sz w:val="16"/>
                <w:szCs w:val="16"/>
              </w:rPr>
              <w:t xml:space="preserve">Econ.</w:t>
            </w:r>
          </w:p>
        </w:tc>
        <w:tc>
          <w:tcPr>
            <w:tcW w:type="dxa" w:w="630"/>
            <w:shd w:fill="1F3864" w:color="auto" w:val="clear"/>
            <w:tcMar>
              <w:top w:type="dxa" w:w="50"/>
              <w:left w:type="dxa" w:w="80"/>
              <w:bottom w:type="dxa" w:w="50"/>
              <w:right w:type="dxa" w:w="80"/>
            </w:tcMar>
            <w:vAlign w:val="center"/>
          </w:tcPr>
          <w:p>
            <w:pPr>
              <w:spacing w:after="20" w:line="240"/>
              <w:jc w:val="center"/>
            </w:pPr>
            <w:r>
              <w:rPr>
                <w:b/>
                <w:bCs/>
                <w:color w:val="FFFFFF"/>
                <w:sz w:val="16"/>
                <w:szCs w:val="16"/>
              </w:rPr>
              <w:t xml:space="preserve">Σ</w:t>
            </w:r>
          </w:p>
        </w:tc>
        <w:tc>
          <w:tcPr>
            <w:tcW w:type="dxa" w:w="1170"/>
            <w:shd w:fill="1F3864" w:color="auto" w:val="clear"/>
            <w:tcMar>
              <w:top w:type="dxa" w:w="50"/>
              <w:left w:type="dxa" w:w="80"/>
              <w:bottom w:type="dxa" w:w="50"/>
              <w:right w:type="dxa" w:w="80"/>
            </w:tcMar>
            <w:vAlign w:val="center"/>
          </w:tcPr>
          <w:p>
            <w:pPr>
              <w:spacing w:after="20" w:line="240"/>
              <w:jc w:val="center"/>
            </w:pPr>
            <w:r>
              <w:rPr>
                <w:b/>
                <w:bCs/>
                <w:color w:val="FFFFFF"/>
                <w:sz w:val="16"/>
                <w:szCs w:val="16"/>
              </w:rPr>
              <w:t xml:space="preserve">Viabilidad</w:t>
            </w:r>
          </w:p>
        </w:tc>
        <w:tc>
          <w:tcPr>
            <w:tcW w:type="dxa" w:w="1800"/>
            <w:shd w:fill="1F3864" w:color="auto" w:val="clear"/>
            <w:tcMar>
              <w:top w:type="dxa" w:w="50"/>
              <w:left w:type="dxa" w:w="80"/>
              <w:bottom w:type="dxa" w:w="50"/>
              <w:right w:type="dxa" w:w="80"/>
            </w:tcMar>
            <w:vAlign w:val="center"/>
          </w:tcPr>
          <w:p>
            <w:pPr>
              <w:spacing w:after="20" w:line="240"/>
              <w:jc w:val="center"/>
            </w:pPr>
            <w:r>
              <w:rPr>
                <w:b/>
                <w:bCs/>
                <w:color w:val="FFFFFF"/>
                <w:sz w:val="16"/>
                <w:szCs w:val="16"/>
              </w:rPr>
              <w:t xml:space="preserve">Decisión</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6"/>
                <w:szCs w:val="16"/>
              </w:rPr>
              <w:t xml:space="preserve">M1</w:t>
            </w:r>
          </w:p>
        </w:tc>
        <w:tc>
          <w:tcPr>
            <w:tcW w:type="dxa" w:w="1980"/>
            <w:tcMar>
              <w:top w:type="dxa" w:w="50"/>
              <w:left w:type="dxa" w:w="80"/>
              <w:bottom w:type="dxa" w:w="50"/>
              <w:right w:type="dxa" w:w="80"/>
            </w:tcMar>
            <w:vAlign w:val="center"/>
          </w:tcPr>
          <w:p>
            <w:pPr>
              <w:keepNext w:val="false"/>
              <w:spacing w:after="20" w:line="240"/>
              <w:jc w:val="left"/>
            </w:pPr>
            <w:r>
              <w:rPr>
                <w:sz w:val="16"/>
                <w:szCs w:val="16"/>
              </w:rPr>
              <w:t xml:space="preserve">Conducción civil con ejecución sectorial compartida</w:t>
            </w:r>
          </w:p>
        </w:tc>
        <w:tc>
          <w:tcPr>
            <w:tcW w:type="dxa" w:w="720"/>
            <w:tcMar>
              <w:top w:type="dxa" w:w="50"/>
              <w:left w:type="dxa" w:w="80"/>
              <w:bottom w:type="dxa" w:w="50"/>
              <w:right w:type="dxa" w:w="80"/>
            </w:tcMar>
            <w:vAlign w:val="center"/>
          </w:tcPr>
          <w:p>
            <w:pPr>
              <w:keepNext w:val="false"/>
              <w:spacing w:after="20" w:line="240"/>
              <w:jc w:val="center"/>
            </w:pPr>
            <w:r>
              <w:rPr>
                <w:sz w:val="16"/>
                <w:szCs w:val="16"/>
              </w:rPr>
              <w:t xml:space="preserve">2</w:t>
            </w:r>
          </w:p>
        </w:tc>
        <w:tc>
          <w:tcPr>
            <w:tcW w:type="dxa" w:w="720"/>
            <w:tcMar>
              <w:top w:type="dxa" w:w="50"/>
              <w:left w:type="dxa" w:w="80"/>
              <w:bottom w:type="dxa" w:w="50"/>
              <w:right w:type="dxa" w:w="80"/>
            </w:tcMar>
            <w:vAlign w:val="center"/>
          </w:tcPr>
          <w:p>
            <w:pPr>
              <w:keepNext w:val="false"/>
              <w:spacing w:after="20" w:line="240"/>
              <w:jc w:val="center"/>
            </w:pPr>
            <w:r>
              <w:rPr>
                <w:sz w:val="16"/>
                <w:szCs w:val="16"/>
              </w:rPr>
              <w:t xml:space="preserve">3</w:t>
            </w:r>
          </w:p>
        </w:tc>
        <w:tc>
          <w:tcPr>
            <w:tcW w:type="dxa" w:w="720"/>
            <w:tcMar>
              <w:top w:type="dxa" w:w="50"/>
              <w:left w:type="dxa" w:w="80"/>
              <w:bottom w:type="dxa" w:w="50"/>
              <w:right w:type="dxa" w:w="80"/>
            </w:tcMar>
            <w:vAlign w:val="center"/>
          </w:tcPr>
          <w:p>
            <w:pPr>
              <w:keepNext w:val="false"/>
              <w:spacing w:after="20" w:line="240"/>
              <w:jc w:val="center"/>
            </w:pPr>
            <w:r>
              <w:rPr>
                <w:sz w:val="16"/>
                <w:szCs w:val="16"/>
              </w:rPr>
              <w:t xml:space="preserve">1</w:t>
            </w:r>
          </w:p>
        </w:tc>
        <w:tc>
          <w:tcPr>
            <w:tcW w:type="dxa" w:w="720"/>
            <w:tcMar>
              <w:top w:type="dxa" w:w="50"/>
              <w:left w:type="dxa" w:w="80"/>
              <w:bottom w:type="dxa" w:w="50"/>
              <w:right w:type="dxa" w:w="80"/>
            </w:tcMar>
            <w:vAlign w:val="center"/>
          </w:tcPr>
          <w:p>
            <w:pPr>
              <w:keepNext w:val="false"/>
              <w:spacing w:after="20" w:line="240"/>
              <w:jc w:val="center"/>
            </w:pPr>
            <w:r>
              <w:rPr>
                <w:sz w:val="16"/>
                <w:szCs w:val="16"/>
              </w:rPr>
              <w:t xml:space="preserve">2</w:t>
            </w:r>
          </w:p>
        </w:tc>
        <w:tc>
          <w:tcPr>
            <w:tcW w:type="dxa" w:w="630"/>
            <w:tcMar>
              <w:top w:type="dxa" w:w="50"/>
              <w:left w:type="dxa" w:w="80"/>
              <w:bottom w:type="dxa" w:w="50"/>
              <w:right w:type="dxa" w:w="80"/>
            </w:tcMar>
            <w:vAlign w:val="center"/>
          </w:tcPr>
          <w:p>
            <w:pPr>
              <w:keepNext w:val="false"/>
              <w:spacing w:after="20" w:line="240"/>
              <w:jc w:val="center"/>
            </w:pPr>
            <w:r>
              <w:rPr>
                <w:b/>
                <w:bCs/>
                <w:sz w:val="16"/>
                <w:szCs w:val="16"/>
              </w:rPr>
              <w:t xml:space="preserve">8</w:t>
            </w:r>
          </w:p>
        </w:tc>
        <w:tc>
          <w:tcPr>
            <w:tcW w:type="dxa" w:w="1170"/>
            <w:shd w:fill="FFF2CC" w:color="auto" w:val="clear"/>
            <w:tcMar>
              <w:top w:type="dxa" w:w="50"/>
              <w:left w:type="dxa" w:w="80"/>
              <w:bottom w:type="dxa" w:w="50"/>
              <w:right w:type="dxa" w:w="80"/>
            </w:tcMar>
            <w:vAlign w:val="center"/>
          </w:tcPr>
          <w:p>
            <w:pPr>
              <w:keepNext w:val="false"/>
              <w:spacing w:after="20" w:line="240"/>
              <w:jc w:val="center"/>
            </w:pPr>
            <w:r>
              <w:rPr>
                <w:b/>
                <w:bCs/>
                <w:sz w:val="16"/>
                <w:szCs w:val="16"/>
              </w:rPr>
              <w:t xml:space="preserve">Media</w:t>
            </w:r>
          </w:p>
        </w:tc>
        <w:tc>
          <w:tcPr>
            <w:tcW w:type="dxa" w:w="1800"/>
            <w:tcMar>
              <w:top w:type="dxa" w:w="50"/>
              <w:left w:type="dxa" w:w="80"/>
              <w:bottom w:type="dxa" w:w="50"/>
              <w:right w:type="dxa" w:w="80"/>
            </w:tcMar>
            <w:vAlign w:val="center"/>
          </w:tcPr>
          <w:p>
            <w:pPr>
              <w:keepNext w:val="false"/>
              <w:spacing w:after="20" w:line="240"/>
              <w:jc w:val="left"/>
            </w:pPr>
            <w:r>
              <w:rPr>
                <w:sz w:val="16"/>
                <w:szCs w:val="16"/>
              </w:rPr>
              <w:t xml:space="preserve">Retener, dejando abierta la forma institucional (agencia u otro mecanismo).</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6"/>
                <w:szCs w:val="16"/>
              </w:rPr>
              <w:t xml:space="preserve">M2</w:t>
            </w:r>
          </w:p>
        </w:tc>
        <w:tc>
          <w:tcPr>
            <w:tcW w:type="dxa" w:w="1980"/>
            <w:tcMar>
              <w:top w:type="dxa" w:w="50"/>
              <w:left w:type="dxa" w:w="80"/>
              <w:bottom w:type="dxa" w:w="50"/>
              <w:right w:type="dxa" w:w="80"/>
            </w:tcMar>
            <w:vAlign w:val="center"/>
          </w:tcPr>
          <w:p>
            <w:pPr>
              <w:keepNext w:val="false"/>
              <w:spacing w:after="20" w:line="240"/>
              <w:jc w:val="left"/>
            </w:pPr>
            <w:r>
              <w:rPr>
                <w:sz w:val="16"/>
                <w:szCs w:val="16"/>
              </w:rPr>
              <w:t xml:space="preserve">Entidad o empresa-vehículo de base tecnológica</w:t>
            </w:r>
          </w:p>
        </w:tc>
        <w:tc>
          <w:tcPr>
            <w:tcW w:type="dxa" w:w="720"/>
            <w:tcMar>
              <w:top w:type="dxa" w:w="50"/>
              <w:left w:type="dxa" w:w="80"/>
              <w:bottom w:type="dxa" w:w="50"/>
              <w:right w:type="dxa" w:w="80"/>
            </w:tcMar>
            <w:vAlign w:val="center"/>
          </w:tcPr>
          <w:p>
            <w:pPr>
              <w:keepNext w:val="false"/>
              <w:spacing w:after="20" w:line="240"/>
              <w:jc w:val="center"/>
            </w:pPr>
            <w:r>
              <w:rPr>
                <w:sz w:val="16"/>
                <w:szCs w:val="16"/>
              </w:rPr>
              <w:t xml:space="preserve">1</w:t>
            </w:r>
          </w:p>
        </w:tc>
        <w:tc>
          <w:tcPr>
            <w:tcW w:type="dxa" w:w="720"/>
            <w:tcMar>
              <w:top w:type="dxa" w:w="50"/>
              <w:left w:type="dxa" w:w="80"/>
              <w:bottom w:type="dxa" w:w="50"/>
              <w:right w:type="dxa" w:w="80"/>
            </w:tcMar>
            <w:vAlign w:val="center"/>
          </w:tcPr>
          <w:p>
            <w:pPr>
              <w:keepNext w:val="false"/>
              <w:spacing w:after="20" w:line="240"/>
              <w:jc w:val="center"/>
            </w:pPr>
            <w:r>
              <w:rPr>
                <w:sz w:val="16"/>
                <w:szCs w:val="16"/>
              </w:rPr>
              <w:t xml:space="preserve">2</w:t>
            </w:r>
          </w:p>
        </w:tc>
        <w:tc>
          <w:tcPr>
            <w:tcW w:type="dxa" w:w="720"/>
            <w:tcMar>
              <w:top w:type="dxa" w:w="50"/>
              <w:left w:type="dxa" w:w="80"/>
              <w:bottom w:type="dxa" w:w="50"/>
              <w:right w:type="dxa" w:w="80"/>
            </w:tcMar>
            <w:vAlign w:val="center"/>
          </w:tcPr>
          <w:p>
            <w:pPr>
              <w:keepNext w:val="false"/>
              <w:spacing w:after="20" w:line="240"/>
              <w:jc w:val="center"/>
            </w:pPr>
            <w:r>
              <w:rPr>
                <w:sz w:val="16"/>
                <w:szCs w:val="16"/>
              </w:rPr>
              <w:t xml:space="preserve">2</w:t>
            </w:r>
          </w:p>
        </w:tc>
        <w:tc>
          <w:tcPr>
            <w:tcW w:type="dxa" w:w="720"/>
            <w:tcMar>
              <w:top w:type="dxa" w:w="50"/>
              <w:left w:type="dxa" w:w="80"/>
              <w:bottom w:type="dxa" w:w="50"/>
              <w:right w:type="dxa" w:w="80"/>
            </w:tcMar>
            <w:vAlign w:val="center"/>
          </w:tcPr>
          <w:p>
            <w:pPr>
              <w:keepNext w:val="false"/>
              <w:spacing w:after="20" w:line="240"/>
              <w:jc w:val="center"/>
            </w:pPr>
            <w:r>
              <w:rPr>
                <w:sz w:val="16"/>
                <w:szCs w:val="16"/>
              </w:rPr>
              <w:t xml:space="preserve">1</w:t>
            </w:r>
          </w:p>
        </w:tc>
        <w:tc>
          <w:tcPr>
            <w:tcW w:type="dxa" w:w="630"/>
            <w:tcMar>
              <w:top w:type="dxa" w:w="50"/>
              <w:left w:type="dxa" w:w="80"/>
              <w:bottom w:type="dxa" w:w="50"/>
              <w:right w:type="dxa" w:w="80"/>
            </w:tcMar>
            <w:vAlign w:val="center"/>
          </w:tcPr>
          <w:p>
            <w:pPr>
              <w:keepNext w:val="false"/>
              <w:spacing w:after="20" w:line="240"/>
              <w:jc w:val="center"/>
            </w:pPr>
            <w:r>
              <w:rPr>
                <w:b/>
                <w:bCs/>
                <w:sz w:val="16"/>
                <w:szCs w:val="16"/>
              </w:rPr>
              <w:t xml:space="preserve">6</w:t>
            </w:r>
          </w:p>
        </w:tc>
        <w:tc>
          <w:tcPr>
            <w:tcW w:type="dxa" w:w="1170"/>
            <w:shd w:fill="FFF2CC" w:color="auto" w:val="clear"/>
            <w:tcMar>
              <w:top w:type="dxa" w:w="50"/>
              <w:left w:type="dxa" w:w="80"/>
              <w:bottom w:type="dxa" w:w="50"/>
              <w:right w:type="dxa" w:w="80"/>
            </w:tcMar>
            <w:vAlign w:val="center"/>
          </w:tcPr>
          <w:p>
            <w:pPr>
              <w:keepNext w:val="false"/>
              <w:spacing w:after="20" w:line="240"/>
              <w:jc w:val="center"/>
            </w:pPr>
            <w:r>
              <w:rPr>
                <w:b/>
                <w:bCs/>
                <w:sz w:val="16"/>
                <w:szCs w:val="16"/>
              </w:rPr>
              <w:t xml:space="preserve">Media-baja</w:t>
            </w:r>
          </w:p>
        </w:tc>
        <w:tc>
          <w:tcPr>
            <w:tcW w:type="dxa" w:w="1800"/>
            <w:tcMar>
              <w:top w:type="dxa" w:w="50"/>
              <w:left w:type="dxa" w:w="80"/>
              <w:bottom w:type="dxa" w:w="50"/>
              <w:right w:type="dxa" w:w="80"/>
            </w:tcMar>
            <w:vAlign w:val="center"/>
          </w:tcPr>
          <w:p>
            <w:pPr>
              <w:keepNext w:val="false"/>
              <w:spacing w:after="20" w:line="240"/>
              <w:jc w:val="left"/>
            </w:pPr>
            <w:r>
              <w:rPr>
                <w:sz w:val="16"/>
                <w:szCs w:val="16"/>
              </w:rPr>
              <w:t xml:space="preserve">Ajustar: explorar un vehículo alternativo (consorcio universidad-industria, ENAER).</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6"/>
                <w:szCs w:val="16"/>
              </w:rPr>
              <w:t xml:space="preserve">M3</w:t>
            </w:r>
          </w:p>
        </w:tc>
        <w:tc>
          <w:tcPr>
            <w:tcW w:type="dxa" w:w="1980"/>
            <w:tcMar>
              <w:top w:type="dxa" w:w="50"/>
              <w:left w:type="dxa" w:w="80"/>
              <w:bottom w:type="dxa" w:w="50"/>
              <w:right w:type="dxa" w:w="80"/>
            </w:tcMar>
            <w:vAlign w:val="center"/>
          </w:tcPr>
          <w:p>
            <w:pPr>
              <w:keepNext w:val="false"/>
              <w:spacing w:after="20" w:line="240"/>
              <w:jc w:val="left"/>
            </w:pPr>
            <w:r>
              <w:rPr>
                <w:sz w:val="16"/>
                <w:szCs w:val="16"/>
              </w:rPr>
              <w:t xml:space="preserve">Instrumentos de contratación de innovación</w:t>
            </w:r>
          </w:p>
        </w:tc>
        <w:tc>
          <w:tcPr>
            <w:tcW w:type="dxa" w:w="720"/>
            <w:tcMar>
              <w:top w:type="dxa" w:w="50"/>
              <w:left w:type="dxa" w:w="80"/>
              <w:bottom w:type="dxa" w:w="50"/>
              <w:right w:type="dxa" w:w="80"/>
            </w:tcMar>
            <w:vAlign w:val="center"/>
          </w:tcPr>
          <w:p>
            <w:pPr>
              <w:keepNext w:val="false"/>
              <w:spacing w:after="20" w:line="240"/>
              <w:jc w:val="center"/>
            </w:pPr>
            <w:r>
              <w:rPr>
                <w:sz w:val="16"/>
                <w:szCs w:val="16"/>
              </w:rPr>
              <w:t xml:space="preserve">2</w:t>
            </w:r>
          </w:p>
        </w:tc>
        <w:tc>
          <w:tcPr>
            <w:tcW w:type="dxa" w:w="720"/>
            <w:tcMar>
              <w:top w:type="dxa" w:w="50"/>
              <w:left w:type="dxa" w:w="80"/>
              <w:bottom w:type="dxa" w:w="50"/>
              <w:right w:type="dxa" w:w="80"/>
            </w:tcMar>
            <w:vAlign w:val="center"/>
          </w:tcPr>
          <w:p>
            <w:pPr>
              <w:keepNext w:val="false"/>
              <w:spacing w:after="20" w:line="240"/>
              <w:jc w:val="center"/>
            </w:pPr>
            <w:r>
              <w:rPr>
                <w:sz w:val="16"/>
                <w:szCs w:val="16"/>
              </w:rPr>
              <w:t xml:space="preserve">3</w:t>
            </w:r>
          </w:p>
        </w:tc>
        <w:tc>
          <w:tcPr>
            <w:tcW w:type="dxa" w:w="720"/>
            <w:tcMar>
              <w:top w:type="dxa" w:w="50"/>
              <w:left w:type="dxa" w:w="80"/>
              <w:bottom w:type="dxa" w:w="50"/>
              <w:right w:type="dxa" w:w="80"/>
            </w:tcMar>
            <w:vAlign w:val="center"/>
          </w:tcPr>
          <w:p>
            <w:pPr>
              <w:keepNext w:val="false"/>
              <w:spacing w:after="20" w:line="240"/>
              <w:jc w:val="center"/>
            </w:pPr>
            <w:r>
              <w:rPr>
                <w:sz w:val="16"/>
                <w:szCs w:val="16"/>
              </w:rPr>
              <w:t xml:space="preserve">2</w:t>
            </w:r>
          </w:p>
        </w:tc>
        <w:tc>
          <w:tcPr>
            <w:tcW w:type="dxa" w:w="720"/>
            <w:tcMar>
              <w:top w:type="dxa" w:w="50"/>
              <w:left w:type="dxa" w:w="80"/>
              <w:bottom w:type="dxa" w:w="50"/>
              <w:right w:type="dxa" w:w="80"/>
            </w:tcMar>
            <w:vAlign w:val="center"/>
          </w:tcPr>
          <w:p>
            <w:pPr>
              <w:keepNext w:val="false"/>
              <w:spacing w:after="20" w:line="240"/>
              <w:jc w:val="center"/>
            </w:pPr>
            <w:r>
              <w:rPr>
                <w:sz w:val="16"/>
                <w:szCs w:val="16"/>
              </w:rPr>
              <w:t xml:space="preserve">2</w:t>
            </w:r>
          </w:p>
        </w:tc>
        <w:tc>
          <w:tcPr>
            <w:tcW w:type="dxa" w:w="630"/>
            <w:tcMar>
              <w:top w:type="dxa" w:w="50"/>
              <w:left w:type="dxa" w:w="80"/>
              <w:bottom w:type="dxa" w:w="50"/>
              <w:right w:type="dxa" w:w="80"/>
            </w:tcMar>
            <w:vAlign w:val="center"/>
          </w:tcPr>
          <w:p>
            <w:pPr>
              <w:keepNext w:val="false"/>
              <w:spacing w:after="20" w:line="240"/>
              <w:jc w:val="center"/>
            </w:pPr>
            <w:r>
              <w:rPr>
                <w:b/>
                <w:bCs/>
                <w:sz w:val="16"/>
                <w:szCs w:val="16"/>
              </w:rPr>
              <w:t xml:space="preserve">9</w:t>
            </w:r>
          </w:p>
        </w:tc>
        <w:tc>
          <w:tcPr>
            <w:tcW w:type="dxa" w:w="1170"/>
            <w:shd w:fill="E2EFDA" w:color="auto" w:val="clear"/>
            <w:tcMar>
              <w:top w:type="dxa" w:w="50"/>
              <w:left w:type="dxa" w:w="80"/>
              <w:bottom w:type="dxa" w:w="50"/>
              <w:right w:type="dxa" w:w="80"/>
            </w:tcMar>
            <w:vAlign w:val="center"/>
          </w:tcPr>
          <w:p>
            <w:pPr>
              <w:keepNext w:val="false"/>
              <w:spacing w:after="20" w:line="240"/>
              <w:jc w:val="center"/>
            </w:pPr>
            <w:r>
              <w:rPr>
                <w:b/>
                <w:bCs/>
                <w:sz w:val="16"/>
                <w:szCs w:val="16"/>
              </w:rPr>
              <w:t xml:space="preserve">Media-alta</w:t>
            </w:r>
          </w:p>
        </w:tc>
        <w:tc>
          <w:tcPr>
            <w:tcW w:type="dxa" w:w="1800"/>
            <w:tcMar>
              <w:top w:type="dxa" w:w="50"/>
              <w:left w:type="dxa" w:w="80"/>
              <w:bottom w:type="dxa" w:w="50"/>
              <w:right w:type="dxa" w:w="80"/>
            </w:tcMar>
            <w:vAlign w:val="center"/>
          </w:tcPr>
          <w:p>
            <w:pPr>
              <w:keepNext w:val="false"/>
              <w:spacing w:after="20" w:line="240"/>
              <w:jc w:val="left"/>
            </w:pPr>
            <w:r>
              <w:rPr>
                <w:sz w:val="16"/>
                <w:szCs w:val="16"/>
              </w:rPr>
              <w:t xml:space="preserve">Retener.</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6"/>
                <w:szCs w:val="16"/>
              </w:rPr>
              <w:t xml:space="preserve">M4</w:t>
            </w:r>
          </w:p>
        </w:tc>
        <w:tc>
          <w:tcPr>
            <w:tcW w:type="dxa" w:w="1980"/>
            <w:tcMar>
              <w:top w:type="dxa" w:w="50"/>
              <w:left w:type="dxa" w:w="80"/>
              <w:bottom w:type="dxa" w:w="50"/>
              <w:right w:type="dxa" w:w="80"/>
            </w:tcMar>
            <w:vAlign w:val="center"/>
          </w:tcPr>
          <w:p>
            <w:pPr>
              <w:keepNext w:val="false"/>
              <w:spacing w:after="20" w:line="240"/>
              <w:jc w:val="left"/>
            </w:pPr>
            <w:r>
              <w:rPr>
                <w:sz w:val="16"/>
                <w:szCs w:val="16"/>
              </w:rPr>
              <w:t xml:space="preserve">Transferencia contractual al sector privado</w:t>
            </w:r>
          </w:p>
        </w:tc>
        <w:tc>
          <w:tcPr>
            <w:tcW w:type="dxa" w:w="720"/>
            <w:tcMar>
              <w:top w:type="dxa" w:w="50"/>
              <w:left w:type="dxa" w:w="80"/>
              <w:bottom w:type="dxa" w:w="50"/>
              <w:right w:type="dxa" w:w="80"/>
            </w:tcMar>
            <w:vAlign w:val="center"/>
          </w:tcPr>
          <w:p>
            <w:pPr>
              <w:keepNext w:val="false"/>
              <w:spacing w:after="20" w:line="240"/>
              <w:jc w:val="center"/>
            </w:pPr>
            <w:r>
              <w:rPr>
                <w:sz w:val="16"/>
                <w:szCs w:val="16"/>
              </w:rPr>
              <w:t xml:space="preserve">1</w:t>
            </w:r>
          </w:p>
        </w:tc>
        <w:tc>
          <w:tcPr>
            <w:tcW w:type="dxa" w:w="720"/>
            <w:tcMar>
              <w:top w:type="dxa" w:w="50"/>
              <w:left w:type="dxa" w:w="80"/>
              <w:bottom w:type="dxa" w:w="50"/>
              <w:right w:type="dxa" w:w="80"/>
            </w:tcMar>
            <w:vAlign w:val="center"/>
          </w:tcPr>
          <w:p>
            <w:pPr>
              <w:keepNext w:val="false"/>
              <w:spacing w:after="20" w:line="240"/>
              <w:jc w:val="center"/>
            </w:pPr>
            <w:r>
              <w:rPr>
                <w:sz w:val="16"/>
                <w:szCs w:val="16"/>
              </w:rPr>
              <w:t xml:space="preserve">1</w:t>
            </w:r>
          </w:p>
        </w:tc>
        <w:tc>
          <w:tcPr>
            <w:tcW w:type="dxa" w:w="720"/>
            <w:tcMar>
              <w:top w:type="dxa" w:w="50"/>
              <w:left w:type="dxa" w:w="80"/>
              <w:bottom w:type="dxa" w:w="50"/>
              <w:right w:type="dxa" w:w="80"/>
            </w:tcMar>
            <w:vAlign w:val="center"/>
          </w:tcPr>
          <w:p>
            <w:pPr>
              <w:keepNext w:val="false"/>
              <w:spacing w:after="20" w:line="240"/>
              <w:jc w:val="center"/>
            </w:pPr>
            <w:r>
              <w:rPr>
                <w:sz w:val="16"/>
                <w:szCs w:val="16"/>
              </w:rPr>
              <w:t xml:space="preserve">2</w:t>
            </w:r>
          </w:p>
        </w:tc>
        <w:tc>
          <w:tcPr>
            <w:tcW w:type="dxa" w:w="720"/>
            <w:tcMar>
              <w:top w:type="dxa" w:w="50"/>
              <w:left w:type="dxa" w:w="80"/>
              <w:bottom w:type="dxa" w:w="50"/>
              <w:right w:type="dxa" w:w="80"/>
            </w:tcMar>
            <w:vAlign w:val="center"/>
          </w:tcPr>
          <w:p>
            <w:pPr>
              <w:keepNext w:val="false"/>
              <w:spacing w:after="20" w:line="240"/>
              <w:jc w:val="center"/>
            </w:pPr>
            <w:r>
              <w:rPr>
                <w:sz w:val="16"/>
                <w:szCs w:val="16"/>
              </w:rPr>
              <w:t xml:space="preserve">1</w:t>
            </w:r>
          </w:p>
        </w:tc>
        <w:tc>
          <w:tcPr>
            <w:tcW w:type="dxa" w:w="630"/>
            <w:tcMar>
              <w:top w:type="dxa" w:w="50"/>
              <w:left w:type="dxa" w:w="80"/>
              <w:bottom w:type="dxa" w:w="50"/>
              <w:right w:type="dxa" w:w="80"/>
            </w:tcMar>
            <w:vAlign w:val="center"/>
          </w:tcPr>
          <w:p>
            <w:pPr>
              <w:keepNext w:val="false"/>
              <w:spacing w:after="20" w:line="240"/>
              <w:jc w:val="center"/>
            </w:pPr>
            <w:r>
              <w:rPr>
                <w:b/>
                <w:bCs/>
                <w:sz w:val="16"/>
                <w:szCs w:val="16"/>
              </w:rPr>
              <w:t xml:space="preserve">5</w:t>
            </w:r>
          </w:p>
        </w:tc>
        <w:tc>
          <w:tcPr>
            <w:tcW w:type="dxa" w:w="1170"/>
            <w:shd w:fill="F8CBAD" w:color="auto" w:val="clear"/>
            <w:tcMar>
              <w:top w:type="dxa" w:w="50"/>
              <w:left w:type="dxa" w:w="80"/>
              <w:bottom w:type="dxa" w:w="50"/>
              <w:right w:type="dxa" w:w="80"/>
            </w:tcMar>
            <w:vAlign w:val="center"/>
          </w:tcPr>
          <w:p>
            <w:pPr>
              <w:keepNext w:val="false"/>
              <w:spacing w:after="20" w:line="240"/>
              <w:jc w:val="center"/>
            </w:pPr>
            <w:r>
              <w:rPr>
                <w:b/>
                <w:bCs/>
                <w:sz w:val="16"/>
                <w:szCs w:val="16"/>
              </w:rPr>
              <w:t xml:space="preserve">Baja</w:t>
            </w:r>
          </w:p>
        </w:tc>
        <w:tc>
          <w:tcPr>
            <w:tcW w:type="dxa" w:w="1800"/>
            <w:tcMar>
              <w:top w:type="dxa" w:w="50"/>
              <w:left w:type="dxa" w:w="80"/>
              <w:bottom w:type="dxa" w:w="50"/>
              <w:right w:type="dxa" w:w="80"/>
            </w:tcMar>
            <w:vAlign w:val="center"/>
          </w:tcPr>
          <w:p>
            <w:pPr>
              <w:keepNext w:val="false"/>
              <w:spacing w:after="20" w:line="240"/>
              <w:jc w:val="left"/>
            </w:pPr>
            <w:r>
              <w:rPr>
                <w:sz w:val="16"/>
                <w:szCs w:val="16"/>
              </w:rPr>
              <w:t xml:space="preserve">Diferir (horizonte largo); adaptar a subsistemas y software.</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6"/>
                <w:szCs w:val="16"/>
              </w:rPr>
              <w:t xml:space="preserve">M5</w:t>
            </w:r>
          </w:p>
        </w:tc>
        <w:tc>
          <w:tcPr>
            <w:tcW w:type="dxa" w:w="1980"/>
            <w:tcMar>
              <w:top w:type="dxa" w:w="50"/>
              <w:left w:type="dxa" w:w="80"/>
              <w:bottom w:type="dxa" w:w="50"/>
              <w:right w:type="dxa" w:w="80"/>
            </w:tcMar>
            <w:vAlign w:val="center"/>
          </w:tcPr>
          <w:p>
            <w:pPr>
              <w:keepNext w:val="false"/>
              <w:spacing w:after="20" w:line="240"/>
              <w:jc w:val="left"/>
            </w:pPr>
            <w:r>
              <w:rPr>
                <w:sz w:val="16"/>
                <w:szCs w:val="16"/>
              </w:rPr>
              <w:t xml:space="preserve">Datos abiertos y acceso regulado de terceros</w:t>
            </w:r>
          </w:p>
        </w:tc>
        <w:tc>
          <w:tcPr>
            <w:tcW w:type="dxa" w:w="720"/>
            <w:tcMar>
              <w:top w:type="dxa" w:w="50"/>
              <w:left w:type="dxa" w:w="80"/>
              <w:bottom w:type="dxa" w:w="50"/>
              <w:right w:type="dxa" w:w="80"/>
            </w:tcMar>
            <w:vAlign w:val="center"/>
          </w:tcPr>
          <w:p>
            <w:pPr>
              <w:keepNext w:val="false"/>
              <w:spacing w:after="20" w:line="240"/>
              <w:jc w:val="center"/>
            </w:pPr>
            <w:r>
              <w:rPr>
                <w:sz w:val="16"/>
                <w:szCs w:val="16"/>
              </w:rPr>
              <w:t xml:space="preserve">2</w:t>
            </w:r>
          </w:p>
        </w:tc>
        <w:tc>
          <w:tcPr>
            <w:tcW w:type="dxa" w:w="720"/>
            <w:tcMar>
              <w:top w:type="dxa" w:w="50"/>
              <w:left w:type="dxa" w:w="80"/>
              <w:bottom w:type="dxa" w:w="50"/>
              <w:right w:type="dxa" w:w="80"/>
            </w:tcMar>
            <w:vAlign w:val="center"/>
          </w:tcPr>
          <w:p>
            <w:pPr>
              <w:keepNext w:val="false"/>
              <w:spacing w:after="20" w:line="240"/>
              <w:jc w:val="center"/>
            </w:pPr>
            <w:r>
              <w:rPr>
                <w:sz w:val="16"/>
                <w:szCs w:val="16"/>
              </w:rPr>
              <w:t xml:space="preserve">2</w:t>
            </w:r>
          </w:p>
        </w:tc>
        <w:tc>
          <w:tcPr>
            <w:tcW w:type="dxa" w:w="720"/>
            <w:tcMar>
              <w:top w:type="dxa" w:w="50"/>
              <w:left w:type="dxa" w:w="80"/>
              <w:bottom w:type="dxa" w:w="50"/>
              <w:right w:type="dxa" w:w="80"/>
            </w:tcMar>
            <w:vAlign w:val="center"/>
          </w:tcPr>
          <w:p>
            <w:pPr>
              <w:keepNext w:val="false"/>
              <w:spacing w:after="20" w:line="240"/>
              <w:jc w:val="center"/>
            </w:pPr>
            <w:r>
              <w:rPr>
                <w:sz w:val="16"/>
                <w:szCs w:val="16"/>
              </w:rPr>
              <w:t xml:space="preserve">2</w:t>
            </w:r>
          </w:p>
        </w:tc>
        <w:tc>
          <w:tcPr>
            <w:tcW w:type="dxa" w:w="720"/>
            <w:tcMar>
              <w:top w:type="dxa" w:w="50"/>
              <w:left w:type="dxa" w:w="80"/>
              <w:bottom w:type="dxa" w:w="50"/>
              <w:right w:type="dxa" w:w="80"/>
            </w:tcMar>
            <w:vAlign w:val="center"/>
          </w:tcPr>
          <w:p>
            <w:pPr>
              <w:keepNext w:val="false"/>
              <w:spacing w:after="20" w:line="240"/>
              <w:jc w:val="center"/>
            </w:pPr>
            <w:r>
              <w:rPr>
                <w:sz w:val="16"/>
                <w:szCs w:val="16"/>
              </w:rPr>
              <w:t xml:space="preserve">3</w:t>
            </w:r>
          </w:p>
        </w:tc>
        <w:tc>
          <w:tcPr>
            <w:tcW w:type="dxa" w:w="630"/>
            <w:tcMar>
              <w:top w:type="dxa" w:w="50"/>
              <w:left w:type="dxa" w:w="80"/>
              <w:bottom w:type="dxa" w:w="50"/>
              <w:right w:type="dxa" w:w="80"/>
            </w:tcMar>
            <w:vAlign w:val="center"/>
          </w:tcPr>
          <w:p>
            <w:pPr>
              <w:keepNext w:val="false"/>
              <w:spacing w:after="20" w:line="240"/>
              <w:jc w:val="center"/>
            </w:pPr>
            <w:r>
              <w:rPr>
                <w:b/>
                <w:bCs/>
                <w:sz w:val="16"/>
                <w:szCs w:val="16"/>
              </w:rPr>
              <w:t xml:space="preserve">9</w:t>
            </w:r>
          </w:p>
        </w:tc>
        <w:tc>
          <w:tcPr>
            <w:tcW w:type="dxa" w:w="1170"/>
            <w:shd w:fill="E2EFDA" w:color="auto" w:val="clear"/>
            <w:tcMar>
              <w:top w:type="dxa" w:w="50"/>
              <w:left w:type="dxa" w:w="80"/>
              <w:bottom w:type="dxa" w:w="50"/>
              <w:right w:type="dxa" w:w="80"/>
            </w:tcMar>
            <w:vAlign w:val="center"/>
          </w:tcPr>
          <w:p>
            <w:pPr>
              <w:keepNext w:val="false"/>
              <w:spacing w:after="20" w:line="240"/>
              <w:jc w:val="center"/>
            </w:pPr>
            <w:r>
              <w:rPr>
                <w:b/>
                <w:bCs/>
                <w:sz w:val="16"/>
                <w:szCs w:val="16"/>
              </w:rPr>
              <w:t xml:space="preserve">Media-alta</w:t>
            </w:r>
          </w:p>
        </w:tc>
        <w:tc>
          <w:tcPr>
            <w:tcW w:type="dxa" w:w="1800"/>
            <w:tcMar>
              <w:top w:type="dxa" w:w="50"/>
              <w:left w:type="dxa" w:w="80"/>
              <w:bottom w:type="dxa" w:w="50"/>
              <w:right w:type="dxa" w:w="80"/>
            </w:tcMar>
            <w:vAlign w:val="center"/>
          </w:tcPr>
          <w:p>
            <w:pPr>
              <w:keepNext w:val="false"/>
              <w:spacing w:after="20" w:line="240"/>
              <w:jc w:val="left"/>
            </w:pPr>
            <w:r>
              <w:rPr>
                <w:sz w:val="16"/>
                <w:szCs w:val="16"/>
              </w:rPr>
              <w:t xml:space="preserve">Retener (prioridad inicial).</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6"/>
                <w:szCs w:val="16"/>
              </w:rPr>
              <w:t xml:space="preserve">M6</w:t>
            </w:r>
          </w:p>
        </w:tc>
        <w:tc>
          <w:tcPr>
            <w:tcW w:type="dxa" w:w="1980"/>
            <w:tcMar>
              <w:top w:type="dxa" w:w="50"/>
              <w:left w:type="dxa" w:w="80"/>
              <w:bottom w:type="dxa" w:w="50"/>
              <w:right w:type="dxa" w:w="80"/>
            </w:tcMar>
            <w:vAlign w:val="center"/>
          </w:tcPr>
          <w:p>
            <w:pPr>
              <w:keepNext w:val="false"/>
              <w:spacing w:after="20" w:line="240"/>
              <w:jc w:val="left"/>
            </w:pPr>
            <w:r>
              <w:rPr>
                <w:sz w:val="16"/>
                <w:szCs w:val="16"/>
              </w:rPr>
              <w:t xml:space="preserve">Alianzas internacionales de cooperación</w:t>
            </w:r>
          </w:p>
        </w:tc>
        <w:tc>
          <w:tcPr>
            <w:tcW w:type="dxa" w:w="720"/>
            <w:tcMar>
              <w:top w:type="dxa" w:w="50"/>
              <w:left w:type="dxa" w:w="80"/>
              <w:bottom w:type="dxa" w:w="50"/>
              <w:right w:type="dxa" w:w="80"/>
            </w:tcMar>
            <w:vAlign w:val="center"/>
          </w:tcPr>
          <w:p>
            <w:pPr>
              <w:keepNext w:val="false"/>
              <w:spacing w:after="20" w:line="240"/>
              <w:jc w:val="center"/>
            </w:pPr>
            <w:r>
              <w:rPr>
                <w:sz w:val="16"/>
                <w:szCs w:val="16"/>
              </w:rPr>
              <w:t xml:space="preserve">3</w:t>
            </w:r>
          </w:p>
        </w:tc>
        <w:tc>
          <w:tcPr>
            <w:tcW w:type="dxa" w:w="720"/>
            <w:tcMar>
              <w:top w:type="dxa" w:w="50"/>
              <w:left w:type="dxa" w:w="80"/>
              <w:bottom w:type="dxa" w:w="50"/>
              <w:right w:type="dxa" w:w="80"/>
            </w:tcMar>
            <w:vAlign w:val="center"/>
          </w:tcPr>
          <w:p>
            <w:pPr>
              <w:keepNext w:val="false"/>
              <w:spacing w:after="20" w:line="240"/>
              <w:jc w:val="center"/>
            </w:pPr>
            <w:r>
              <w:rPr>
                <w:sz w:val="16"/>
                <w:szCs w:val="16"/>
              </w:rPr>
              <w:t xml:space="preserve">2</w:t>
            </w:r>
          </w:p>
        </w:tc>
        <w:tc>
          <w:tcPr>
            <w:tcW w:type="dxa" w:w="720"/>
            <w:tcMar>
              <w:top w:type="dxa" w:w="50"/>
              <w:left w:type="dxa" w:w="80"/>
              <w:bottom w:type="dxa" w:w="50"/>
              <w:right w:type="dxa" w:w="80"/>
            </w:tcMar>
            <w:vAlign w:val="center"/>
          </w:tcPr>
          <w:p>
            <w:pPr>
              <w:keepNext w:val="false"/>
              <w:spacing w:after="20" w:line="240"/>
              <w:jc w:val="center"/>
            </w:pPr>
            <w:r>
              <w:rPr>
                <w:sz w:val="16"/>
                <w:szCs w:val="16"/>
              </w:rPr>
              <w:t xml:space="preserve">2</w:t>
            </w:r>
          </w:p>
        </w:tc>
        <w:tc>
          <w:tcPr>
            <w:tcW w:type="dxa" w:w="720"/>
            <w:tcMar>
              <w:top w:type="dxa" w:w="50"/>
              <w:left w:type="dxa" w:w="80"/>
              <w:bottom w:type="dxa" w:w="50"/>
              <w:right w:type="dxa" w:w="80"/>
            </w:tcMar>
            <w:vAlign w:val="center"/>
          </w:tcPr>
          <w:p>
            <w:pPr>
              <w:keepNext w:val="false"/>
              <w:spacing w:after="20" w:line="240"/>
              <w:jc w:val="center"/>
            </w:pPr>
            <w:r>
              <w:rPr>
                <w:sz w:val="16"/>
                <w:szCs w:val="16"/>
              </w:rPr>
              <w:t xml:space="preserve">3</w:t>
            </w:r>
          </w:p>
        </w:tc>
        <w:tc>
          <w:tcPr>
            <w:tcW w:type="dxa" w:w="630"/>
            <w:tcMar>
              <w:top w:type="dxa" w:w="50"/>
              <w:left w:type="dxa" w:w="80"/>
              <w:bottom w:type="dxa" w:w="50"/>
              <w:right w:type="dxa" w:w="80"/>
            </w:tcMar>
            <w:vAlign w:val="center"/>
          </w:tcPr>
          <w:p>
            <w:pPr>
              <w:keepNext w:val="false"/>
              <w:spacing w:after="20" w:line="240"/>
              <w:jc w:val="center"/>
            </w:pPr>
            <w:r>
              <w:rPr>
                <w:b/>
                <w:bCs/>
                <w:sz w:val="16"/>
                <w:szCs w:val="16"/>
              </w:rPr>
              <w:t xml:space="preserve">10</w:t>
            </w:r>
          </w:p>
        </w:tc>
        <w:tc>
          <w:tcPr>
            <w:tcW w:type="dxa" w:w="1170"/>
            <w:shd w:fill="C6E0B4" w:color="auto" w:val="clear"/>
            <w:tcMar>
              <w:top w:type="dxa" w:w="50"/>
              <w:left w:type="dxa" w:w="80"/>
              <w:bottom w:type="dxa" w:w="50"/>
              <w:right w:type="dxa" w:w="80"/>
            </w:tcMar>
            <w:vAlign w:val="center"/>
          </w:tcPr>
          <w:p>
            <w:pPr>
              <w:keepNext w:val="false"/>
              <w:spacing w:after="20" w:line="240"/>
              <w:jc w:val="center"/>
            </w:pPr>
            <w:r>
              <w:rPr>
                <w:b/>
                <w:bCs/>
                <w:sz w:val="16"/>
                <w:szCs w:val="16"/>
              </w:rPr>
              <w:t xml:space="preserve">Alta</w:t>
            </w:r>
          </w:p>
        </w:tc>
        <w:tc>
          <w:tcPr>
            <w:tcW w:type="dxa" w:w="1800"/>
            <w:tcMar>
              <w:top w:type="dxa" w:w="50"/>
              <w:left w:type="dxa" w:w="80"/>
              <w:bottom w:type="dxa" w:w="50"/>
              <w:right w:type="dxa" w:w="80"/>
            </w:tcMar>
            <w:vAlign w:val="center"/>
          </w:tcPr>
          <w:p>
            <w:pPr>
              <w:keepNext w:val="false"/>
              <w:spacing w:after="20" w:line="240"/>
              <w:jc w:val="left"/>
            </w:pPr>
            <w:r>
              <w:rPr>
                <w:sz w:val="16"/>
                <w:szCs w:val="16"/>
              </w:rPr>
              <w:t xml:space="preserve">Retener (prioridad inicial).</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6"/>
                <w:szCs w:val="16"/>
              </w:rPr>
              <w:t xml:space="preserve">M7</w:t>
            </w:r>
          </w:p>
        </w:tc>
        <w:tc>
          <w:tcPr>
            <w:tcW w:type="dxa" w:w="1980"/>
            <w:tcMar>
              <w:top w:type="dxa" w:w="50"/>
              <w:left w:type="dxa" w:w="80"/>
              <w:bottom w:type="dxa" w:w="50"/>
              <w:right w:type="dxa" w:w="80"/>
            </w:tcMar>
            <w:vAlign w:val="center"/>
          </w:tcPr>
          <w:p>
            <w:pPr>
              <w:keepNext w:val="false"/>
              <w:spacing w:after="20" w:line="240"/>
              <w:jc w:val="left"/>
            </w:pPr>
            <w:r>
              <w:rPr>
                <w:sz w:val="16"/>
                <w:szCs w:val="16"/>
              </w:rPr>
              <w:t xml:space="preserve">Articulación territorial y réplica regional</w:t>
            </w:r>
          </w:p>
        </w:tc>
        <w:tc>
          <w:tcPr>
            <w:tcW w:type="dxa" w:w="720"/>
            <w:tcMar>
              <w:top w:type="dxa" w:w="50"/>
              <w:left w:type="dxa" w:w="80"/>
              <w:bottom w:type="dxa" w:w="50"/>
              <w:right w:type="dxa" w:w="80"/>
            </w:tcMar>
            <w:vAlign w:val="center"/>
          </w:tcPr>
          <w:p>
            <w:pPr>
              <w:keepNext w:val="false"/>
              <w:spacing w:after="20" w:line="240"/>
              <w:jc w:val="center"/>
            </w:pPr>
            <w:r>
              <w:rPr>
                <w:sz w:val="16"/>
                <w:szCs w:val="16"/>
              </w:rPr>
              <w:t xml:space="preserve">2</w:t>
            </w:r>
          </w:p>
        </w:tc>
        <w:tc>
          <w:tcPr>
            <w:tcW w:type="dxa" w:w="720"/>
            <w:tcMar>
              <w:top w:type="dxa" w:w="50"/>
              <w:left w:type="dxa" w:w="80"/>
              <w:bottom w:type="dxa" w:w="50"/>
              <w:right w:type="dxa" w:w="80"/>
            </w:tcMar>
            <w:vAlign w:val="center"/>
          </w:tcPr>
          <w:p>
            <w:pPr>
              <w:keepNext w:val="false"/>
              <w:spacing w:after="20" w:line="240"/>
              <w:jc w:val="center"/>
            </w:pPr>
            <w:r>
              <w:rPr>
                <w:sz w:val="16"/>
                <w:szCs w:val="16"/>
              </w:rPr>
              <w:t xml:space="preserve">2</w:t>
            </w:r>
          </w:p>
        </w:tc>
        <w:tc>
          <w:tcPr>
            <w:tcW w:type="dxa" w:w="720"/>
            <w:tcMar>
              <w:top w:type="dxa" w:w="50"/>
              <w:left w:type="dxa" w:w="80"/>
              <w:bottom w:type="dxa" w:w="50"/>
              <w:right w:type="dxa" w:w="80"/>
            </w:tcMar>
            <w:vAlign w:val="center"/>
          </w:tcPr>
          <w:p>
            <w:pPr>
              <w:keepNext w:val="false"/>
              <w:spacing w:after="20" w:line="240"/>
              <w:jc w:val="center"/>
            </w:pPr>
            <w:r>
              <w:rPr>
                <w:sz w:val="16"/>
                <w:szCs w:val="16"/>
              </w:rPr>
              <w:t xml:space="preserve">2</w:t>
            </w:r>
          </w:p>
        </w:tc>
        <w:tc>
          <w:tcPr>
            <w:tcW w:type="dxa" w:w="720"/>
            <w:tcMar>
              <w:top w:type="dxa" w:w="50"/>
              <w:left w:type="dxa" w:w="80"/>
              <w:bottom w:type="dxa" w:w="50"/>
              <w:right w:type="dxa" w:w="80"/>
            </w:tcMar>
            <w:vAlign w:val="center"/>
          </w:tcPr>
          <w:p>
            <w:pPr>
              <w:keepNext w:val="false"/>
              <w:spacing w:after="20" w:line="240"/>
              <w:jc w:val="center"/>
            </w:pPr>
            <w:r>
              <w:rPr>
                <w:sz w:val="16"/>
                <w:szCs w:val="16"/>
              </w:rPr>
              <w:t xml:space="preserve">1</w:t>
            </w:r>
          </w:p>
        </w:tc>
        <w:tc>
          <w:tcPr>
            <w:tcW w:type="dxa" w:w="630"/>
            <w:tcMar>
              <w:top w:type="dxa" w:w="50"/>
              <w:left w:type="dxa" w:w="80"/>
              <w:bottom w:type="dxa" w:w="50"/>
              <w:right w:type="dxa" w:w="80"/>
            </w:tcMar>
            <w:vAlign w:val="center"/>
          </w:tcPr>
          <w:p>
            <w:pPr>
              <w:keepNext w:val="false"/>
              <w:spacing w:after="20" w:line="240"/>
              <w:jc w:val="center"/>
            </w:pPr>
            <w:r>
              <w:rPr>
                <w:b/>
                <w:bCs/>
                <w:sz w:val="16"/>
                <w:szCs w:val="16"/>
              </w:rPr>
              <w:t xml:space="preserve">7</w:t>
            </w:r>
          </w:p>
        </w:tc>
        <w:tc>
          <w:tcPr>
            <w:tcW w:type="dxa" w:w="1170"/>
            <w:shd w:fill="FFF2CC" w:color="auto" w:val="clear"/>
            <w:tcMar>
              <w:top w:type="dxa" w:w="50"/>
              <w:left w:type="dxa" w:w="80"/>
              <w:bottom w:type="dxa" w:w="50"/>
              <w:right w:type="dxa" w:w="80"/>
            </w:tcMar>
            <w:vAlign w:val="center"/>
          </w:tcPr>
          <w:p>
            <w:pPr>
              <w:keepNext w:val="false"/>
              <w:spacing w:after="20" w:line="240"/>
              <w:jc w:val="center"/>
            </w:pPr>
            <w:r>
              <w:rPr>
                <w:b/>
                <w:bCs/>
                <w:sz w:val="16"/>
                <w:szCs w:val="16"/>
              </w:rPr>
              <w:t xml:space="preserve">Media-baja</w:t>
            </w:r>
          </w:p>
        </w:tc>
        <w:tc>
          <w:tcPr>
            <w:tcW w:type="dxa" w:w="1800"/>
            <w:tcMar>
              <w:top w:type="dxa" w:w="50"/>
              <w:left w:type="dxa" w:w="80"/>
              <w:bottom w:type="dxa" w:w="50"/>
              <w:right w:type="dxa" w:w="80"/>
            </w:tcMar>
            <w:vAlign w:val="center"/>
          </w:tcPr>
          <w:p>
            <w:pPr>
              <w:keepNext w:val="false"/>
              <w:spacing w:after="20" w:line="240"/>
              <w:jc w:val="left"/>
            </w:pPr>
            <w:r>
              <w:rPr>
                <w:sz w:val="16"/>
                <w:szCs w:val="16"/>
              </w:rPr>
              <w:t xml:space="preserve">Ajustar: mecanismo propio, sin referente documentado.</w:t>
            </w:r>
          </w:p>
        </w:tc>
      </w:tr>
    </w:tbl>
    <w:p>
      <w:pPr>
        <w:spacing w:after="200" w:before="60"/>
        <w:jc w:val="center"/>
      </w:pPr>
      <w:r>
        <w:rPr>
          <w:i/>
          <w:iCs/>
          <w:sz w:val="17"/>
          <w:szCs w:val="17"/>
        </w:rPr>
        <w:t xml:space="preserve">Fuente: Elaboración propia.</w:t>
      </w:r>
    </w:p>
    <w:p>
      <w:pPr>
        <w:pStyle w:val="Caption"/>
        <w:keepNext/>
        <w:spacing w:after="80" w:before="200"/>
        <w:jc w:val="center"/>
      </w:pPr>
      <w:r>
        <w:rPr>
          <w:b/>
          <w:bCs/>
        </w:rPr>
        <w:t xml:space="preserve">Tabla </w:t>
      </w:r>
      <w:fldSimple w:instr="SEQ Tabla \* ARABIC">
        <w:r>
          <w:t xml:space="preserve">29</w:t>
        </w:r>
      </w:fldSimple>
      <w:r>
        <w:rPr>
          <w:b/>
          <w:bCs/>
        </w:rPr>
        <w:t xml:space="preserve">. Justificación de los puntajes de transferibilidad</w:t>
      </w:r>
    </w:p>
    <w:tbl>
      <w:tblPr>
        <w:tblW w:type="dxa" w:w="9000"/>
        <w:tblBorders>
          <w:top w:val="single" w:color="A6A6A6" w:sz="4"/>
          <w:left w:val="single" w:color="A6A6A6" w:sz="4"/>
          <w:bottom w:val="single" w:color="A6A6A6" w:sz="4"/>
          <w:right w:val="single" w:color="A6A6A6" w:sz="4"/>
          <w:insideH w:val="single" w:color="A6A6A6" w:sz="4"/>
          <w:insideV w:val="single" w:color="A6A6A6" w:sz="4"/>
        </w:tblBorders>
      </w:tblPr>
      <w:tblGrid>
        <w:gridCol w:w="540"/>
        <w:gridCol w:w="2160"/>
        <w:gridCol w:w="2070"/>
        <w:gridCol w:w="2070"/>
        <w:gridCol w:w="2160"/>
      </w:tblGrid>
      <w:tr>
        <w:trPr>
          <w:cantSplit/>
          <w:tblHeader/>
        </w:trPr>
        <w:tc>
          <w:tcPr>
            <w:tcW w:type="dxa" w:w="540"/>
            <w:shd w:fill="1F3864" w:color="auto" w:val="clear"/>
            <w:tcMar>
              <w:top w:type="dxa" w:w="50"/>
              <w:left w:type="dxa" w:w="80"/>
              <w:bottom w:type="dxa" w:w="50"/>
              <w:right w:type="dxa" w:w="80"/>
            </w:tcMar>
            <w:vAlign w:val="center"/>
          </w:tcPr>
          <w:p>
            <w:pPr>
              <w:spacing w:after="20" w:line="240"/>
              <w:jc w:val="center"/>
            </w:pPr>
            <w:r>
              <w:rPr>
                <w:b/>
                <w:bCs/>
                <w:color w:val="FFFFFF"/>
                <w:sz w:val="15"/>
                <w:szCs w:val="15"/>
              </w:rPr>
              <w:t xml:space="preserve">N.º</w:t>
            </w:r>
          </w:p>
        </w:tc>
        <w:tc>
          <w:tcPr>
            <w:tcW w:type="dxa" w:w="2160"/>
            <w:shd w:fill="1F3864" w:color="auto" w:val="clear"/>
            <w:tcMar>
              <w:top w:type="dxa" w:w="50"/>
              <w:left w:type="dxa" w:w="80"/>
              <w:bottom w:type="dxa" w:w="50"/>
              <w:right w:type="dxa" w:w="80"/>
            </w:tcMar>
            <w:vAlign w:val="center"/>
          </w:tcPr>
          <w:p>
            <w:pPr>
              <w:spacing w:after="20" w:line="240"/>
              <w:jc w:val="center"/>
            </w:pPr>
            <w:r>
              <w:rPr>
                <w:b/>
                <w:bCs/>
                <w:color w:val="FFFFFF"/>
                <w:sz w:val="15"/>
                <w:szCs w:val="15"/>
              </w:rPr>
              <w:t xml:space="preserve">Institucional</w:t>
            </w:r>
          </w:p>
        </w:tc>
        <w:tc>
          <w:tcPr>
            <w:tcW w:type="dxa" w:w="2070"/>
            <w:shd w:fill="1F3864" w:color="auto" w:val="clear"/>
            <w:tcMar>
              <w:top w:type="dxa" w:w="50"/>
              <w:left w:type="dxa" w:w="80"/>
              <w:bottom w:type="dxa" w:w="50"/>
              <w:right w:type="dxa" w:w="80"/>
            </w:tcMar>
            <w:vAlign w:val="center"/>
          </w:tcPr>
          <w:p>
            <w:pPr>
              <w:spacing w:after="20" w:line="240"/>
              <w:jc w:val="center"/>
            </w:pPr>
            <w:r>
              <w:rPr>
                <w:b/>
                <w:bCs/>
                <w:color w:val="FFFFFF"/>
                <w:sz w:val="15"/>
                <w:szCs w:val="15"/>
              </w:rPr>
              <w:t xml:space="preserve">Tecnológica</w:t>
            </w:r>
          </w:p>
        </w:tc>
        <w:tc>
          <w:tcPr>
            <w:tcW w:type="dxa" w:w="2070"/>
            <w:shd w:fill="1F3864" w:color="auto" w:val="clear"/>
            <w:tcMar>
              <w:top w:type="dxa" w:w="50"/>
              <w:left w:type="dxa" w:w="80"/>
              <w:bottom w:type="dxa" w:w="50"/>
              <w:right w:type="dxa" w:w="80"/>
            </w:tcMar>
            <w:vAlign w:val="center"/>
          </w:tcPr>
          <w:p>
            <w:pPr>
              <w:spacing w:after="20" w:line="240"/>
              <w:jc w:val="center"/>
            </w:pPr>
            <w:r>
              <w:rPr>
                <w:b/>
                <w:bCs/>
                <w:color w:val="FFFFFF"/>
                <w:sz w:val="15"/>
                <w:szCs w:val="15"/>
              </w:rPr>
              <w:t xml:space="preserve">Normativa</w:t>
            </w:r>
          </w:p>
        </w:tc>
        <w:tc>
          <w:tcPr>
            <w:tcW w:type="dxa" w:w="2160"/>
            <w:shd w:fill="1F3864" w:color="auto" w:val="clear"/>
            <w:tcMar>
              <w:top w:type="dxa" w:w="50"/>
              <w:left w:type="dxa" w:w="80"/>
              <w:bottom w:type="dxa" w:w="50"/>
              <w:right w:type="dxa" w:w="80"/>
            </w:tcMar>
            <w:vAlign w:val="center"/>
          </w:tcPr>
          <w:p>
            <w:pPr>
              <w:spacing w:after="20" w:line="240"/>
              <w:jc w:val="center"/>
            </w:pPr>
            <w:r>
              <w:rPr>
                <w:b/>
                <w:bCs/>
                <w:color w:val="FFFFFF"/>
                <w:sz w:val="15"/>
                <w:szCs w:val="15"/>
              </w:rPr>
              <w:t xml:space="preserve">Económica</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5"/>
                <w:szCs w:val="15"/>
              </w:rPr>
              <w:t xml:space="preserve">M1</w:t>
            </w:r>
          </w:p>
        </w:tc>
        <w:tc>
          <w:tcPr>
            <w:tcW w:type="dxa" w:w="2160"/>
            <w:tcMar>
              <w:top w:type="dxa" w:w="50"/>
              <w:left w:type="dxa" w:w="80"/>
              <w:bottom w:type="dxa" w:w="50"/>
              <w:right w:type="dxa" w:w="80"/>
            </w:tcMar>
            <w:vAlign w:val="center"/>
          </w:tcPr>
          <w:p>
            <w:pPr>
              <w:keepNext w:val="false"/>
              <w:spacing w:after="20" w:line="240"/>
              <w:jc w:val="left"/>
            </w:pPr>
            <w:r>
              <w:rPr>
                <w:sz w:val="15"/>
                <w:szCs w:val="15"/>
              </w:rPr>
              <w:t xml:space="preserve">(2) Chile ya tiene conducción de Defensa; el modelo SINDAE requiere acuerdo FACh-civil, pero preserva el rol militar en la ejecución.</w:t>
            </w:r>
          </w:p>
        </w:tc>
        <w:tc>
          <w:tcPr>
            <w:tcW w:type="dxa" w:w="2070"/>
            <w:tcMar>
              <w:top w:type="dxa" w:w="50"/>
              <w:left w:type="dxa" w:w="80"/>
              <w:bottom w:type="dxa" w:w="50"/>
              <w:right w:type="dxa" w:w="80"/>
            </w:tcMar>
            <w:vAlign w:val="center"/>
          </w:tcPr>
          <w:p>
            <w:pPr>
              <w:keepNext w:val="false"/>
              <w:spacing w:after="20" w:line="240"/>
              <w:jc w:val="left"/>
            </w:pPr>
            <w:r>
              <w:rPr>
                <w:sz w:val="15"/>
                <w:szCs w:val="15"/>
              </w:rPr>
              <w:t xml:space="preserve">(3) No depende del nivel de capacidades técnicas.</w:t>
            </w:r>
          </w:p>
        </w:tc>
        <w:tc>
          <w:tcPr>
            <w:tcW w:type="dxa" w:w="2070"/>
            <w:tcMar>
              <w:top w:type="dxa" w:w="50"/>
              <w:left w:type="dxa" w:w="80"/>
              <w:bottom w:type="dxa" w:w="50"/>
              <w:right w:type="dxa" w:w="80"/>
            </w:tcMar>
            <w:vAlign w:val="center"/>
          </w:tcPr>
          <w:p>
            <w:pPr>
              <w:keepNext w:val="false"/>
              <w:spacing w:after="20" w:line="240"/>
              <w:jc w:val="left"/>
            </w:pPr>
            <w:r>
              <w:rPr>
                <w:sz w:val="15"/>
                <w:szCs w:val="15"/>
              </w:rPr>
              <w:t xml:space="preserve">(1) Requiere rango legal (agencia o mecanismo interministerial con atribuciones).</w:t>
            </w:r>
          </w:p>
        </w:tc>
        <w:tc>
          <w:tcPr>
            <w:tcW w:type="dxa" w:w="2160"/>
            <w:tcMar>
              <w:top w:type="dxa" w:w="50"/>
              <w:left w:type="dxa" w:w="80"/>
              <w:bottom w:type="dxa" w:w="50"/>
              <w:right w:type="dxa" w:w="80"/>
            </w:tcMar>
            <w:vAlign w:val="center"/>
          </w:tcPr>
          <w:p>
            <w:pPr>
              <w:keepNext w:val="false"/>
              <w:spacing w:after="20" w:line="240"/>
              <w:jc w:val="left"/>
            </w:pPr>
            <w:r>
              <w:rPr>
                <w:sz w:val="15"/>
                <w:szCs w:val="15"/>
              </w:rPr>
              <w:t xml:space="preserve">(2) Costo institucional moderado; no exige infraestructura nueva.</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5"/>
                <w:szCs w:val="15"/>
              </w:rPr>
              <w:t xml:space="preserve">M2</w:t>
            </w:r>
          </w:p>
        </w:tc>
        <w:tc>
          <w:tcPr>
            <w:tcW w:type="dxa" w:w="2160"/>
            <w:tcMar>
              <w:top w:type="dxa" w:w="50"/>
              <w:left w:type="dxa" w:w="80"/>
              <w:bottom w:type="dxa" w:w="50"/>
              <w:right w:type="dxa" w:w="80"/>
            </w:tcMar>
            <w:vAlign w:val="center"/>
          </w:tcPr>
          <w:p>
            <w:pPr>
              <w:keepNext w:val="false"/>
              <w:spacing w:after="20" w:line="240"/>
              <w:jc w:val="left"/>
            </w:pPr>
            <w:r>
              <w:rPr>
                <w:sz w:val="15"/>
                <w:szCs w:val="15"/>
              </w:rPr>
              <w:t xml:space="preserve">(1) INVAP es una empresa estatal provincial con trayectoria previa; Chile no tiene un equivalente directo (ENAER depende de la FACh).</w:t>
            </w:r>
          </w:p>
        </w:tc>
        <w:tc>
          <w:tcPr>
            <w:tcW w:type="dxa" w:w="2070"/>
            <w:tcMar>
              <w:top w:type="dxa" w:w="50"/>
              <w:left w:type="dxa" w:w="80"/>
              <w:bottom w:type="dxa" w:w="50"/>
              <w:right w:type="dxa" w:w="80"/>
            </w:tcMar>
            <w:vAlign w:val="center"/>
          </w:tcPr>
          <w:p>
            <w:pPr>
              <w:keepNext w:val="false"/>
              <w:spacing w:after="20" w:line="240"/>
              <w:jc w:val="left"/>
            </w:pPr>
            <w:r>
              <w:rPr>
                <w:sz w:val="15"/>
                <w:szCs w:val="15"/>
              </w:rPr>
              <w:t xml:space="preserve">(2) Exige masa crítica de ingeniería espacial aún en formación.</w:t>
            </w:r>
          </w:p>
        </w:tc>
        <w:tc>
          <w:tcPr>
            <w:tcW w:type="dxa" w:w="2070"/>
            <w:tcMar>
              <w:top w:type="dxa" w:w="50"/>
              <w:left w:type="dxa" w:w="80"/>
              <w:bottom w:type="dxa" w:w="50"/>
              <w:right w:type="dxa" w:w="80"/>
            </w:tcMar>
            <w:vAlign w:val="center"/>
          </w:tcPr>
          <w:p>
            <w:pPr>
              <w:keepNext w:val="false"/>
              <w:spacing w:after="20" w:line="240"/>
              <w:jc w:val="left"/>
            </w:pPr>
            <w:r>
              <w:rPr>
                <w:sz w:val="15"/>
                <w:szCs w:val="15"/>
              </w:rPr>
              <w:t xml:space="preserve">(2) Posible bajo marcos existentes de empresas públicas o consorcios (por verificar).</w:t>
            </w:r>
          </w:p>
        </w:tc>
        <w:tc>
          <w:tcPr>
            <w:tcW w:type="dxa" w:w="2160"/>
            <w:tcMar>
              <w:top w:type="dxa" w:w="50"/>
              <w:left w:type="dxa" w:w="80"/>
              <w:bottom w:type="dxa" w:w="50"/>
              <w:right w:type="dxa" w:w="80"/>
            </w:tcMar>
            <w:vAlign w:val="center"/>
          </w:tcPr>
          <w:p>
            <w:pPr>
              <w:keepNext w:val="false"/>
              <w:spacing w:after="20" w:line="240"/>
              <w:jc w:val="left"/>
            </w:pPr>
            <w:r>
              <w:rPr>
                <w:sz w:val="15"/>
                <w:szCs w:val="15"/>
              </w:rPr>
              <w:t xml:space="preserve">(1) La demanda doméstica (≈ 8 satélites) difícilmente sostiene una empresa dedicada (H6).</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5"/>
                <w:szCs w:val="15"/>
              </w:rPr>
              <w:t xml:space="preserve">M3</w:t>
            </w:r>
          </w:p>
        </w:tc>
        <w:tc>
          <w:tcPr>
            <w:tcW w:type="dxa" w:w="2160"/>
            <w:tcMar>
              <w:top w:type="dxa" w:w="50"/>
              <w:left w:type="dxa" w:w="80"/>
              <w:bottom w:type="dxa" w:w="50"/>
              <w:right w:type="dxa" w:w="80"/>
            </w:tcMar>
            <w:vAlign w:val="center"/>
          </w:tcPr>
          <w:p>
            <w:pPr>
              <w:keepNext w:val="false"/>
              <w:spacing w:after="20" w:line="240"/>
              <w:jc w:val="left"/>
            </w:pPr>
            <w:r>
              <w:rPr>
                <w:sz w:val="15"/>
                <w:szCs w:val="15"/>
              </w:rPr>
              <w:t xml:space="preserve">(2) Requiere coordinación entre FACh, Minciencia y organismos de compras.</w:t>
            </w:r>
          </w:p>
        </w:tc>
        <w:tc>
          <w:tcPr>
            <w:tcW w:type="dxa" w:w="2070"/>
            <w:tcMar>
              <w:top w:type="dxa" w:w="50"/>
              <w:left w:type="dxa" w:w="80"/>
              <w:bottom w:type="dxa" w:w="50"/>
              <w:right w:type="dxa" w:w="80"/>
            </w:tcMar>
            <w:vAlign w:val="center"/>
          </w:tcPr>
          <w:p>
            <w:pPr>
              <w:keepNext w:val="false"/>
              <w:spacing w:after="20" w:line="240"/>
              <w:jc w:val="left"/>
            </w:pPr>
            <w:r>
              <w:rPr>
                <w:sz w:val="15"/>
                <w:szCs w:val="15"/>
              </w:rPr>
              <w:t xml:space="preserve">(3) Aplicable a distintos niveles de madurez tecnológica.</w:t>
            </w:r>
          </w:p>
        </w:tc>
        <w:tc>
          <w:tcPr>
            <w:tcW w:type="dxa" w:w="2070"/>
            <w:tcMar>
              <w:top w:type="dxa" w:w="50"/>
              <w:left w:type="dxa" w:w="80"/>
              <w:bottom w:type="dxa" w:w="50"/>
              <w:right w:type="dxa" w:w="80"/>
            </w:tcMar>
            <w:vAlign w:val="center"/>
          </w:tcPr>
          <w:p>
            <w:pPr>
              <w:keepNext w:val="false"/>
              <w:spacing w:after="20" w:line="240"/>
              <w:jc w:val="left"/>
            </w:pPr>
            <w:r>
              <w:rPr>
                <w:sz w:val="15"/>
                <w:szCs w:val="15"/>
              </w:rPr>
              <w:t xml:space="preserve">(2) Existen instrumentos de compra pública e innovación en Chile cuya adecuación debe revisarse (por verificar).</w:t>
            </w:r>
          </w:p>
        </w:tc>
        <w:tc>
          <w:tcPr>
            <w:tcW w:type="dxa" w:w="2160"/>
            <w:tcMar>
              <w:top w:type="dxa" w:w="50"/>
              <w:left w:type="dxa" w:w="80"/>
              <w:bottom w:type="dxa" w:w="50"/>
              <w:right w:type="dxa" w:w="80"/>
            </w:tcMar>
            <w:vAlign w:val="center"/>
          </w:tcPr>
          <w:p>
            <w:pPr>
              <w:keepNext w:val="false"/>
              <w:spacing w:after="20" w:line="240"/>
              <w:jc w:val="left"/>
            </w:pPr>
            <w:r>
              <w:rPr>
                <w:sz w:val="15"/>
                <w:szCs w:val="15"/>
              </w:rPr>
              <w:t xml:space="preserve">(2) Hay fondos de innovación, pero deben alinearse con el programa espacial.</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5"/>
                <w:szCs w:val="15"/>
              </w:rPr>
              <w:t xml:space="preserve">M4</w:t>
            </w:r>
          </w:p>
        </w:tc>
        <w:tc>
          <w:tcPr>
            <w:tcW w:type="dxa" w:w="2160"/>
            <w:tcMar>
              <w:top w:type="dxa" w:w="50"/>
              <w:left w:type="dxa" w:w="80"/>
              <w:bottom w:type="dxa" w:w="50"/>
              <w:right w:type="dxa" w:w="80"/>
            </w:tcMar>
            <w:vAlign w:val="center"/>
          </w:tcPr>
          <w:p>
            <w:pPr>
              <w:keepNext w:val="false"/>
              <w:spacing w:after="20" w:line="240"/>
              <w:jc w:val="left"/>
            </w:pPr>
            <w:r>
              <w:rPr>
                <w:sz w:val="15"/>
                <w:szCs w:val="15"/>
              </w:rPr>
              <w:t xml:space="preserve">(1) Presupone un operador privado con capacidad previa, que Chile aún no tiene.</w:t>
            </w:r>
          </w:p>
        </w:tc>
        <w:tc>
          <w:tcPr>
            <w:tcW w:type="dxa" w:w="2070"/>
            <w:tcMar>
              <w:top w:type="dxa" w:w="50"/>
              <w:left w:type="dxa" w:w="80"/>
              <w:bottom w:type="dxa" w:w="50"/>
              <w:right w:type="dxa" w:w="80"/>
            </w:tcMar>
            <w:vAlign w:val="center"/>
          </w:tcPr>
          <w:p>
            <w:pPr>
              <w:keepNext w:val="false"/>
              <w:spacing w:after="20" w:line="240"/>
              <w:jc w:val="left"/>
            </w:pPr>
            <w:r>
              <w:rPr>
                <w:sz w:val="15"/>
                <w:szCs w:val="15"/>
              </w:rPr>
              <w:t xml:space="preserve">(1) El caso refiere a un lanzador, tecnología que Chile no posee; solo sería aplicable a subsistemas o software.</w:t>
            </w:r>
          </w:p>
        </w:tc>
        <w:tc>
          <w:tcPr>
            <w:tcW w:type="dxa" w:w="2070"/>
            <w:tcMar>
              <w:top w:type="dxa" w:w="50"/>
              <w:left w:type="dxa" w:w="80"/>
              <w:bottom w:type="dxa" w:w="50"/>
              <w:right w:type="dxa" w:w="80"/>
            </w:tcMar>
            <w:vAlign w:val="center"/>
          </w:tcPr>
          <w:p>
            <w:pPr>
              <w:keepNext w:val="false"/>
              <w:spacing w:after="20" w:line="240"/>
              <w:jc w:val="left"/>
            </w:pPr>
            <w:r>
              <w:rPr>
                <w:sz w:val="15"/>
                <w:szCs w:val="15"/>
              </w:rPr>
              <w:t xml:space="preserve">(2) Requiere marco de licencias y de propiedad intelectual.</w:t>
            </w:r>
          </w:p>
        </w:tc>
        <w:tc>
          <w:tcPr>
            <w:tcW w:type="dxa" w:w="2160"/>
            <w:tcMar>
              <w:top w:type="dxa" w:w="50"/>
              <w:left w:type="dxa" w:w="80"/>
              <w:bottom w:type="dxa" w:w="50"/>
              <w:right w:type="dxa" w:w="80"/>
            </w:tcMar>
            <w:vAlign w:val="center"/>
          </w:tcPr>
          <w:p>
            <w:pPr>
              <w:keepNext w:val="false"/>
              <w:spacing w:after="20" w:line="240"/>
              <w:jc w:val="left"/>
            </w:pPr>
            <w:r>
              <w:rPr>
                <w:sz w:val="15"/>
                <w:szCs w:val="15"/>
              </w:rPr>
              <w:t xml:space="preserve">(1) Una transferencia onerosa exige un operador con capacidad financiera.</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5"/>
                <w:szCs w:val="15"/>
              </w:rPr>
              <w:t xml:space="preserve">M5</w:t>
            </w:r>
          </w:p>
        </w:tc>
        <w:tc>
          <w:tcPr>
            <w:tcW w:type="dxa" w:w="2160"/>
            <w:tcMar>
              <w:top w:type="dxa" w:w="50"/>
              <w:left w:type="dxa" w:w="80"/>
              <w:bottom w:type="dxa" w:w="50"/>
              <w:right w:type="dxa" w:w="80"/>
            </w:tcMar>
            <w:vAlign w:val="center"/>
          </w:tcPr>
          <w:p>
            <w:pPr>
              <w:keepNext w:val="false"/>
              <w:spacing w:after="20" w:line="240"/>
              <w:jc w:val="left"/>
            </w:pPr>
            <w:r>
              <w:rPr>
                <w:sz w:val="15"/>
                <w:szCs w:val="15"/>
              </w:rPr>
              <w:t xml:space="preserve">(2) Compatible con la gestión actual, pero requiere una decisión de Defensa.</w:t>
            </w:r>
          </w:p>
        </w:tc>
        <w:tc>
          <w:tcPr>
            <w:tcW w:type="dxa" w:w="2070"/>
            <w:tcMar>
              <w:top w:type="dxa" w:w="50"/>
              <w:left w:type="dxa" w:w="80"/>
              <w:bottom w:type="dxa" w:w="50"/>
              <w:right w:type="dxa" w:w="80"/>
            </w:tcMar>
            <w:vAlign w:val="center"/>
          </w:tcPr>
          <w:p>
            <w:pPr>
              <w:keepNext w:val="false"/>
              <w:spacing w:after="20" w:line="240"/>
              <w:jc w:val="left"/>
            </w:pPr>
            <w:r>
              <w:rPr>
                <w:sz w:val="15"/>
                <w:szCs w:val="15"/>
              </w:rPr>
              <w:t xml:space="preserve">(2) El origen de los datos aún no está verificado (H1, H2).</w:t>
            </w:r>
          </w:p>
        </w:tc>
        <w:tc>
          <w:tcPr>
            <w:tcW w:type="dxa" w:w="2070"/>
            <w:tcMar>
              <w:top w:type="dxa" w:w="50"/>
              <w:left w:type="dxa" w:w="80"/>
              <w:bottom w:type="dxa" w:w="50"/>
              <w:right w:type="dxa" w:w="80"/>
            </w:tcMar>
            <w:vAlign w:val="center"/>
          </w:tcPr>
          <w:p>
            <w:pPr>
              <w:keepNext w:val="false"/>
              <w:spacing w:after="20" w:line="240"/>
              <w:jc w:val="left"/>
            </w:pPr>
            <w:r>
              <w:rPr>
                <w:sz w:val="15"/>
                <w:szCs w:val="15"/>
              </w:rPr>
              <w:t xml:space="preserve">(2) Reglamento y protocolo de seguridad, sin reforma legal profunda.</w:t>
            </w:r>
          </w:p>
        </w:tc>
        <w:tc>
          <w:tcPr>
            <w:tcW w:type="dxa" w:w="2160"/>
            <w:tcMar>
              <w:top w:type="dxa" w:w="50"/>
              <w:left w:type="dxa" w:w="80"/>
              <w:bottom w:type="dxa" w:w="50"/>
              <w:right w:type="dxa" w:w="80"/>
            </w:tcMar>
            <w:vAlign w:val="center"/>
          </w:tcPr>
          <w:p>
            <w:pPr>
              <w:keepNext w:val="false"/>
              <w:spacing w:after="20" w:line="240"/>
              <w:jc w:val="left"/>
            </w:pPr>
            <w:r>
              <w:rPr>
                <w:sz w:val="15"/>
                <w:szCs w:val="15"/>
              </w:rPr>
              <w:t xml:space="preserve">(3) Bajo costo; activa la demanda civil.</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5"/>
                <w:szCs w:val="15"/>
              </w:rPr>
              <w:t xml:space="preserve">M6</w:t>
            </w:r>
          </w:p>
        </w:tc>
        <w:tc>
          <w:tcPr>
            <w:tcW w:type="dxa" w:w="2160"/>
            <w:tcMar>
              <w:top w:type="dxa" w:w="50"/>
              <w:left w:type="dxa" w:w="80"/>
              <w:bottom w:type="dxa" w:w="50"/>
              <w:right w:type="dxa" w:w="80"/>
            </w:tcMar>
            <w:vAlign w:val="center"/>
          </w:tcPr>
          <w:p>
            <w:pPr>
              <w:keepNext w:val="false"/>
              <w:spacing w:after="20" w:line="240"/>
              <w:jc w:val="left"/>
            </w:pPr>
            <w:r>
              <w:rPr>
                <w:sz w:val="15"/>
                <w:szCs w:val="15"/>
              </w:rPr>
              <w:t xml:space="preserve">(3) Opera mediante convenios entre agencias, sin cambiar la gobernanza.</w:t>
            </w:r>
          </w:p>
        </w:tc>
        <w:tc>
          <w:tcPr>
            <w:tcW w:type="dxa" w:w="2070"/>
            <w:tcMar>
              <w:top w:type="dxa" w:w="50"/>
              <w:left w:type="dxa" w:w="80"/>
              <w:bottom w:type="dxa" w:w="50"/>
              <w:right w:type="dxa" w:w="80"/>
            </w:tcMar>
            <w:vAlign w:val="center"/>
          </w:tcPr>
          <w:p>
            <w:pPr>
              <w:keepNext w:val="false"/>
              <w:spacing w:after="20" w:line="240"/>
              <w:jc w:val="left"/>
            </w:pPr>
            <w:r>
              <w:rPr>
                <w:sz w:val="15"/>
                <w:szCs w:val="15"/>
              </w:rPr>
              <w:t xml:space="preserve">(2) Requiere complementariedad de capacidades.</w:t>
            </w:r>
          </w:p>
        </w:tc>
        <w:tc>
          <w:tcPr>
            <w:tcW w:type="dxa" w:w="2070"/>
            <w:tcMar>
              <w:top w:type="dxa" w:w="50"/>
              <w:left w:type="dxa" w:w="80"/>
              <w:bottom w:type="dxa" w:w="50"/>
              <w:right w:type="dxa" w:w="80"/>
            </w:tcMar>
            <w:vAlign w:val="center"/>
          </w:tcPr>
          <w:p>
            <w:pPr>
              <w:keepNext w:val="false"/>
              <w:spacing w:after="20" w:line="240"/>
              <w:jc w:val="left"/>
            </w:pPr>
            <w:r>
              <w:rPr>
                <w:sz w:val="15"/>
                <w:szCs w:val="15"/>
              </w:rPr>
              <w:t xml:space="preserve">(2) Convenios bilaterales con apoyo de cancillería.</w:t>
            </w:r>
          </w:p>
        </w:tc>
        <w:tc>
          <w:tcPr>
            <w:tcW w:type="dxa" w:w="2160"/>
            <w:tcMar>
              <w:top w:type="dxa" w:w="50"/>
              <w:left w:type="dxa" w:w="80"/>
              <w:bottom w:type="dxa" w:w="50"/>
              <w:right w:type="dxa" w:w="80"/>
            </w:tcMar>
            <w:vAlign w:val="center"/>
          </w:tcPr>
          <w:p>
            <w:pPr>
              <w:keepNext w:val="false"/>
              <w:spacing w:after="20" w:line="240"/>
              <w:jc w:val="left"/>
            </w:pPr>
            <w:r>
              <w:rPr>
                <w:sz w:val="15"/>
                <w:szCs w:val="15"/>
              </w:rPr>
              <w:t xml:space="preserve">(3) Bajo costo; amplía la demanda y el financiamiento.</w:t>
            </w:r>
          </w:p>
        </w:tc>
      </w:tr>
      <w:tr>
        <w:trPr>
          <w:cantSplit/>
        </w:trPr>
        <w:tc>
          <w:tcPr>
            <w:tcW w:type="dxa" w:w="540"/>
            <w:tcMar>
              <w:top w:type="dxa" w:w="50"/>
              <w:left w:type="dxa" w:w="80"/>
              <w:bottom w:type="dxa" w:w="50"/>
              <w:right w:type="dxa" w:w="80"/>
            </w:tcMar>
            <w:vAlign w:val="center"/>
          </w:tcPr>
          <w:p>
            <w:pPr>
              <w:keepNext w:val="false"/>
              <w:spacing w:after="20" w:line="240"/>
              <w:jc w:val="left"/>
            </w:pPr>
            <w:r>
              <w:rPr>
                <w:sz w:val="15"/>
                <w:szCs w:val="15"/>
              </w:rPr>
              <w:t xml:space="preserve">M7</w:t>
            </w:r>
          </w:p>
        </w:tc>
        <w:tc>
          <w:tcPr>
            <w:tcW w:type="dxa" w:w="2160"/>
            <w:tcMar>
              <w:top w:type="dxa" w:w="50"/>
              <w:left w:type="dxa" w:w="80"/>
              <w:bottom w:type="dxa" w:w="50"/>
              <w:right w:type="dxa" w:w="80"/>
            </w:tcMar>
            <w:vAlign w:val="center"/>
          </w:tcPr>
          <w:p>
            <w:pPr>
              <w:keepNext w:val="false"/>
              <w:spacing w:after="20" w:line="240"/>
              <w:jc w:val="left"/>
            </w:pPr>
            <w:r>
              <w:rPr>
                <w:sz w:val="15"/>
                <w:szCs w:val="15"/>
              </w:rPr>
              <w:t xml:space="preserve">(2) Se apoya en los estudios regionales ya en marcha.</w:t>
            </w:r>
          </w:p>
        </w:tc>
        <w:tc>
          <w:tcPr>
            <w:tcW w:type="dxa" w:w="2070"/>
            <w:tcMar>
              <w:top w:type="dxa" w:w="50"/>
              <w:left w:type="dxa" w:w="80"/>
              <w:bottom w:type="dxa" w:w="50"/>
              <w:right w:type="dxa" w:w="80"/>
            </w:tcMar>
            <w:vAlign w:val="center"/>
          </w:tcPr>
          <w:p>
            <w:pPr>
              <w:keepNext w:val="false"/>
              <w:spacing w:after="20" w:line="240"/>
              <w:jc w:val="left"/>
            </w:pPr>
            <w:r>
              <w:rPr>
                <w:sz w:val="15"/>
                <w:szCs w:val="15"/>
              </w:rPr>
              <w:t xml:space="preserve">(2) Requiere replicar el modelo operativo de Cerrillos.</w:t>
            </w:r>
          </w:p>
        </w:tc>
        <w:tc>
          <w:tcPr>
            <w:tcW w:type="dxa" w:w="2070"/>
            <w:tcMar>
              <w:top w:type="dxa" w:w="50"/>
              <w:left w:type="dxa" w:w="80"/>
              <w:bottom w:type="dxa" w:w="50"/>
              <w:right w:type="dxa" w:w="80"/>
            </w:tcMar>
            <w:vAlign w:val="center"/>
          </w:tcPr>
          <w:p>
            <w:pPr>
              <w:keepNext w:val="false"/>
              <w:spacing w:after="20" w:line="240"/>
              <w:jc w:val="left"/>
            </w:pPr>
            <w:r>
              <w:rPr>
                <w:sz w:val="15"/>
                <w:szCs w:val="15"/>
              </w:rPr>
              <w:t xml:space="preserve">(2) Requiere definiciones de gobiernos regionales.</w:t>
            </w:r>
          </w:p>
        </w:tc>
        <w:tc>
          <w:tcPr>
            <w:tcW w:type="dxa" w:w="2160"/>
            <w:tcMar>
              <w:top w:type="dxa" w:w="50"/>
              <w:left w:type="dxa" w:w="80"/>
              <w:bottom w:type="dxa" w:w="50"/>
              <w:right w:type="dxa" w:w="80"/>
            </w:tcMar>
            <w:vAlign w:val="center"/>
          </w:tcPr>
          <w:p>
            <w:pPr>
              <w:keepNext w:val="false"/>
              <w:spacing w:after="20" w:line="240"/>
              <w:jc w:val="left"/>
            </w:pPr>
            <w:r>
              <w:rPr>
                <w:sz w:val="15"/>
                <w:szCs w:val="15"/>
              </w:rPr>
              <w:t xml:space="preserve">(1) Exige presupuesto regional y de largo plazo.</w:t>
            </w:r>
          </w:p>
        </w:tc>
      </w:tr>
    </w:tbl>
    <w:p>
      <w:pPr>
        <w:spacing w:after="200" w:before="60"/>
        <w:jc w:val="center"/>
      </w:pPr>
      <w:r>
        <w:rPr>
          <w:i/>
          <w:iCs/>
          <w:sz w:val="17"/>
          <w:szCs w:val="17"/>
        </w:rPr>
        <w:t xml:space="preserve">Fuente: Elaboración propia.</w:t>
      </w:r>
    </w:p>
    <w:p>
      <w:pPr>
        <w:spacing w:after="140" w:line="300"/>
        <w:jc w:val="both"/>
      </w:pPr>
      <w:r>
        <w:t xml:space="preserve">La priorización preliminar sugiere comenzar por los mecanismos de mayor viabilidad y menor costo institucional: las alianzas internacionales (M6, alta) y la política de datos y acceso regulado (M5, media-alta), que activan la demanda civil sin requerir reformas legales profundas. En paralelo se construirían las condiciones para los mecanismos de mayor impacto estructural (M1, M2 y M3). Esta secuencia se formula como hipótesis para el OE4.</w:t>
      </w:r>
    </w:p>
    <w:p>
      <w:pPr>
        <w:spacing w:after="140" w:line="300"/>
        <w:jc w:val="both"/>
      </w:pPr>
      <w:r>
        <w:t xml:space="preserve">La Figura 8 ordena los siete mecanismos en una secuencia lógica de maduración, desde los habilitadores de acceso hasta la transferencia industrial plena, en correspondencia con la escala de madurez del OE1.</w:t>
      </w:r>
    </w:p>
    <w:p>
      <w:pPr>
        <w:pStyle w:val="Caption"/>
        <w:keepNext/>
        <w:spacing w:after="80" w:before="200"/>
        <w:jc w:val="center"/>
      </w:pPr>
      <w:r>
        <w:rPr>
          <w:b/>
          <w:bCs/>
        </w:rPr>
        <w:t xml:space="preserve">Figura </w:t>
      </w:r>
      <w:fldSimple w:instr="SEQ Figura \* ARABIC">
        <w:r>
          <w:t xml:space="preserve">8</w:t>
        </w:r>
      </w:fldSimple>
      <w:r>
        <w:rPr>
          <w:b/>
          <w:bCs/>
        </w:rPr>
        <w:t xml:space="preserve">. Secuencia de maduración de los mecanismos de transferencia</w:t>
      </w:r>
    </w:p>
    <w:p>
      <w:pPr>
        <w:keepNext/>
        <w:spacing w:after="60"/>
        <w:jc w:val="center"/>
      </w:pPr>
      <w:r>
        <w:drawing>
          <wp:inline distT="0" distB="0" distL="0" distR="0">
            <wp:extent cx="5334000" cy="1781175"/>
            <wp:effectExtent t="0" r="0" b="0" l="0"/>
            <wp:docPr id="1" name="fig:sec" descr="Secuencia de maduración de los mecanismos de transferencia" title="Secuencia de maduración de los mecanismos de transfer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781175"/>
                    </a:xfrm>
                    <a:prstGeom prst="rect">
                      <a:avLst/>
                    </a:prstGeom>
                  </pic:spPr>
                </pic:pic>
              </a:graphicData>
            </a:graphic>
          </wp:inline>
        </w:drawing>
      </w:r>
    </w:p>
    <w:p>
      <w:pPr>
        <w:spacing w:after="200" w:before="60"/>
        <w:jc w:val="center"/>
      </w:pPr>
      <w:r>
        <w:rPr>
          <w:i/>
          <w:iCs/>
          <w:sz w:val="17"/>
          <w:szCs w:val="17"/>
        </w:rPr>
        <w:t xml:space="preserve">Fuente: Elaboración propia. La secuencia conecta con los niveles de madurez (OE1) y las dimensiones de escalamiento (1.2.5).</w:t>
      </w:r>
    </w:p>
    <w:p>
      <w:pPr>
        <w:pStyle w:val="Heading2"/>
      </w:pPr>
      <w:r>
        <w:t xml:space="preserve">5.12 Trazabilidad y hallazgos del OE3</w:t>
      </w:r>
    </w:p>
    <w:p>
      <w:pPr>
        <w:spacing w:after="140" w:line="300"/>
        <w:jc w:val="both"/>
      </w:pPr>
      <w:r>
        <w:t xml:space="preserve">Para asegurar la coherencia interna, la Tabla 30 cruza las barreras del OE2 con el caso internacional que ofrece la lección más pertinente, el mecanismo adaptable y el objetivo donde se profundizará.</w:t>
      </w:r>
    </w:p>
    <w:p>
      <w:pPr>
        <w:pStyle w:val="Caption"/>
        <w:keepNext/>
        <w:spacing w:after="80" w:before="200"/>
        <w:jc w:val="center"/>
      </w:pPr>
      <w:r>
        <w:rPr>
          <w:b/>
          <w:bCs/>
        </w:rPr>
        <w:t xml:space="preserve">Tabla </w:t>
      </w:r>
      <w:fldSimple w:instr="SEQ Tabla \* ARABIC">
        <w:r>
          <w:t xml:space="preserve">30</w:t>
        </w:r>
      </w:fldSimple>
      <w:r>
        <w:rPr>
          <w:b/>
          <w:bCs/>
        </w:rPr>
        <w:t xml:space="preserve">. Trazabilidad entre barreras (OE2), evidencia internacional y mecanismos</w:t>
      </w:r>
    </w:p>
    <w:tbl>
      <w:tblPr>
        <w:tblW w:type="dxa" w:w="9000"/>
        <w:tblBorders>
          <w:top w:val="single" w:color="A6A6A6" w:sz="4"/>
          <w:left w:val="single" w:color="A6A6A6" w:sz="4"/>
          <w:bottom w:val="single" w:color="A6A6A6" w:sz="4"/>
          <w:right w:val="single" w:color="A6A6A6" w:sz="4"/>
          <w:insideH w:val="single" w:color="A6A6A6" w:sz="4"/>
          <w:insideV w:val="single" w:color="A6A6A6" w:sz="4"/>
        </w:tblBorders>
      </w:tblPr>
      <w:tblGrid>
        <w:gridCol w:w="2250"/>
        <w:gridCol w:w="2520"/>
        <w:gridCol w:w="1080"/>
        <w:gridCol w:w="1350"/>
        <w:gridCol w:w="1800"/>
      </w:tblGrid>
      <w:tr>
        <w:trPr>
          <w:cantSplit/>
          <w:tblHeader/>
        </w:trPr>
        <w:tc>
          <w:tcPr>
            <w:tcW w:type="dxa" w:w="225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Barrera (OE2)</w:t>
            </w:r>
          </w:p>
        </w:tc>
        <w:tc>
          <w:tcPr>
            <w:tcW w:type="dxa" w:w="252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Caso con la lección más pertinente</w:t>
            </w:r>
          </w:p>
        </w:tc>
        <w:tc>
          <w:tcPr>
            <w:tcW w:type="dxa" w:w="108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Mecanismo</w:t>
            </w:r>
          </w:p>
        </w:tc>
        <w:tc>
          <w:tcPr>
            <w:tcW w:type="dxa" w:w="135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FCE</w:t>
            </w:r>
          </w:p>
        </w:tc>
        <w:tc>
          <w:tcPr>
            <w:tcW w:type="dxa" w:w="180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Se profundiza en</w:t>
            </w:r>
          </w:p>
        </w:tc>
      </w:tr>
      <w:tr>
        <w:trPr>
          <w:cantSplit/>
        </w:trPr>
        <w:tc>
          <w:tcPr>
            <w:tcW w:type="dxa" w:w="2250"/>
            <w:tcMar>
              <w:top w:type="dxa" w:w="50"/>
              <w:left w:type="dxa" w:w="80"/>
              <w:bottom w:type="dxa" w:w="50"/>
              <w:right w:type="dxa" w:w="80"/>
            </w:tcMar>
            <w:vAlign w:val="center"/>
          </w:tcPr>
          <w:p>
            <w:pPr>
              <w:keepNext w:val="false"/>
              <w:spacing w:after="20" w:line="240"/>
              <w:jc w:val="left"/>
            </w:pPr>
            <w:r>
              <w:rPr>
                <w:sz w:val="17"/>
                <w:szCs w:val="17"/>
              </w:rPr>
              <w:t xml:space="preserve">B1 Sin agencia civil / coordinación dispersa</w:t>
            </w:r>
          </w:p>
        </w:tc>
        <w:tc>
          <w:tcPr>
            <w:tcW w:type="dxa" w:w="2520"/>
            <w:tcMar>
              <w:top w:type="dxa" w:w="50"/>
              <w:left w:type="dxa" w:w="80"/>
              <w:bottom w:type="dxa" w:w="50"/>
              <w:right w:type="dxa" w:w="80"/>
            </w:tcMar>
            <w:vAlign w:val="center"/>
          </w:tcPr>
          <w:p>
            <w:pPr>
              <w:keepNext w:val="false"/>
              <w:spacing w:after="20" w:line="240"/>
              <w:jc w:val="left"/>
            </w:pPr>
            <w:r>
              <w:rPr>
                <w:sz w:val="17"/>
                <w:szCs w:val="17"/>
              </w:rPr>
              <w:t xml:space="preserve">Brasil (SINDAE: conducción civil + ejecución militar)</w:t>
            </w:r>
          </w:p>
        </w:tc>
        <w:tc>
          <w:tcPr>
            <w:tcW w:type="dxa" w:w="1080"/>
            <w:tcMar>
              <w:top w:type="dxa" w:w="50"/>
              <w:left w:type="dxa" w:w="80"/>
              <w:bottom w:type="dxa" w:w="50"/>
              <w:right w:type="dxa" w:w="80"/>
            </w:tcMar>
            <w:vAlign w:val="center"/>
          </w:tcPr>
          <w:p>
            <w:pPr>
              <w:keepNext w:val="false"/>
              <w:spacing w:after="20" w:line="240"/>
              <w:jc w:val="left"/>
            </w:pPr>
            <w:r>
              <w:rPr>
                <w:sz w:val="17"/>
                <w:szCs w:val="17"/>
              </w:rPr>
              <w:t xml:space="preserve">M1</w:t>
            </w:r>
          </w:p>
        </w:tc>
        <w:tc>
          <w:tcPr>
            <w:tcW w:type="dxa" w:w="1350"/>
            <w:tcMar>
              <w:top w:type="dxa" w:w="50"/>
              <w:left w:type="dxa" w:w="80"/>
              <w:bottom w:type="dxa" w:w="50"/>
              <w:right w:type="dxa" w:w="80"/>
            </w:tcMar>
            <w:vAlign w:val="center"/>
          </w:tcPr>
          <w:p>
            <w:pPr>
              <w:keepNext w:val="false"/>
              <w:spacing w:after="20" w:line="240"/>
              <w:jc w:val="left"/>
            </w:pPr>
            <w:r>
              <w:rPr>
                <w:sz w:val="17"/>
                <w:szCs w:val="17"/>
              </w:rPr>
              <w:t xml:space="preserve">FCE 1</w:t>
            </w:r>
          </w:p>
        </w:tc>
        <w:tc>
          <w:tcPr>
            <w:tcW w:type="dxa" w:w="1800"/>
            <w:tcMar>
              <w:top w:type="dxa" w:w="50"/>
              <w:left w:type="dxa" w:w="80"/>
              <w:bottom w:type="dxa" w:w="50"/>
              <w:right w:type="dxa" w:w="80"/>
            </w:tcMar>
            <w:vAlign w:val="center"/>
          </w:tcPr>
          <w:p>
            <w:pPr>
              <w:keepNext w:val="false"/>
              <w:spacing w:after="20" w:line="240"/>
              <w:jc w:val="left"/>
            </w:pPr>
            <w:r>
              <w:rPr>
                <w:sz w:val="17"/>
                <w:szCs w:val="17"/>
              </w:rPr>
              <w:t xml:space="preserve">OE4</w:t>
            </w:r>
          </w:p>
        </w:tc>
      </w:tr>
      <w:tr>
        <w:trPr>
          <w:cantSplit/>
        </w:trPr>
        <w:tc>
          <w:tcPr>
            <w:tcW w:type="dxa" w:w="2250"/>
            <w:tcMar>
              <w:top w:type="dxa" w:w="50"/>
              <w:left w:type="dxa" w:w="80"/>
              <w:bottom w:type="dxa" w:w="50"/>
              <w:right w:type="dxa" w:w="80"/>
            </w:tcMar>
            <w:vAlign w:val="center"/>
          </w:tcPr>
          <w:p>
            <w:pPr>
              <w:keepNext w:val="false"/>
              <w:spacing w:after="20" w:line="240"/>
              <w:jc w:val="left"/>
            </w:pPr>
            <w:r>
              <w:rPr>
                <w:sz w:val="17"/>
                <w:szCs w:val="17"/>
              </w:rPr>
              <w:t xml:space="preserve">B3 Conocimiento concentrado en la FACh</w:t>
            </w:r>
          </w:p>
        </w:tc>
        <w:tc>
          <w:tcPr>
            <w:tcW w:type="dxa" w:w="2520"/>
            <w:tcMar>
              <w:top w:type="dxa" w:w="50"/>
              <w:left w:type="dxa" w:w="80"/>
              <w:bottom w:type="dxa" w:w="50"/>
              <w:right w:type="dxa" w:w="80"/>
            </w:tcMar>
            <w:vAlign w:val="center"/>
          </w:tcPr>
          <w:p>
            <w:pPr>
              <w:keepNext w:val="false"/>
              <w:spacing w:after="20" w:line="240"/>
              <w:jc w:val="left"/>
            </w:pPr>
            <w:r>
              <w:rPr>
                <w:sz w:val="17"/>
                <w:szCs w:val="17"/>
              </w:rPr>
              <w:t xml:space="preserve">Argentina (CONAE-INVAP); Corea (+300 proveedores)</w:t>
            </w:r>
          </w:p>
        </w:tc>
        <w:tc>
          <w:tcPr>
            <w:tcW w:type="dxa" w:w="1080"/>
            <w:tcMar>
              <w:top w:type="dxa" w:w="50"/>
              <w:left w:type="dxa" w:w="80"/>
              <w:bottom w:type="dxa" w:w="50"/>
              <w:right w:type="dxa" w:w="80"/>
            </w:tcMar>
            <w:vAlign w:val="center"/>
          </w:tcPr>
          <w:p>
            <w:pPr>
              <w:keepNext w:val="false"/>
              <w:spacing w:after="20" w:line="240"/>
              <w:jc w:val="left"/>
            </w:pPr>
            <w:r>
              <w:rPr>
                <w:sz w:val="17"/>
                <w:szCs w:val="17"/>
              </w:rPr>
              <w:t xml:space="preserve">M2, M3</w:t>
            </w:r>
          </w:p>
        </w:tc>
        <w:tc>
          <w:tcPr>
            <w:tcW w:type="dxa" w:w="1350"/>
            <w:tcMar>
              <w:top w:type="dxa" w:w="50"/>
              <w:left w:type="dxa" w:w="80"/>
              <w:bottom w:type="dxa" w:w="50"/>
              <w:right w:type="dxa" w:w="80"/>
            </w:tcMar>
            <w:vAlign w:val="center"/>
          </w:tcPr>
          <w:p>
            <w:pPr>
              <w:keepNext w:val="false"/>
              <w:spacing w:after="20" w:line="240"/>
              <w:jc w:val="left"/>
            </w:pPr>
            <w:r>
              <w:rPr>
                <w:sz w:val="17"/>
                <w:szCs w:val="17"/>
              </w:rPr>
              <w:t xml:space="preserve">FCE 2, FCE 5</w:t>
            </w:r>
          </w:p>
        </w:tc>
        <w:tc>
          <w:tcPr>
            <w:tcW w:type="dxa" w:w="1800"/>
            <w:tcMar>
              <w:top w:type="dxa" w:w="50"/>
              <w:left w:type="dxa" w:w="80"/>
              <w:bottom w:type="dxa" w:w="50"/>
              <w:right w:type="dxa" w:w="80"/>
            </w:tcMar>
            <w:vAlign w:val="center"/>
          </w:tcPr>
          <w:p>
            <w:pPr>
              <w:keepNext w:val="false"/>
              <w:spacing w:after="20" w:line="240"/>
              <w:jc w:val="left"/>
            </w:pPr>
            <w:r>
              <w:rPr>
                <w:sz w:val="17"/>
                <w:szCs w:val="17"/>
              </w:rPr>
              <w:t xml:space="preserve">OE4</w:t>
            </w:r>
          </w:p>
        </w:tc>
      </w:tr>
      <w:tr>
        <w:trPr>
          <w:cantSplit/>
        </w:trPr>
        <w:tc>
          <w:tcPr>
            <w:tcW w:type="dxa" w:w="2250"/>
            <w:tcMar>
              <w:top w:type="dxa" w:w="50"/>
              <w:left w:type="dxa" w:w="80"/>
              <w:bottom w:type="dxa" w:w="50"/>
              <w:right w:type="dxa" w:w="80"/>
            </w:tcMar>
            <w:vAlign w:val="center"/>
          </w:tcPr>
          <w:p>
            <w:pPr>
              <w:keepNext w:val="false"/>
              <w:spacing w:after="20" w:line="240"/>
              <w:jc w:val="left"/>
            </w:pPr>
            <w:r>
              <w:rPr>
                <w:sz w:val="17"/>
                <w:szCs w:val="17"/>
              </w:rPr>
              <w:t xml:space="preserve">B2 Acceso de terceros no reglado</w:t>
            </w:r>
          </w:p>
        </w:tc>
        <w:tc>
          <w:tcPr>
            <w:tcW w:type="dxa" w:w="2520"/>
            <w:tcMar>
              <w:top w:type="dxa" w:w="50"/>
              <w:left w:type="dxa" w:w="80"/>
              <w:bottom w:type="dxa" w:w="50"/>
              <w:right w:type="dxa" w:w="80"/>
            </w:tcMar>
            <w:vAlign w:val="center"/>
          </w:tcPr>
          <w:p>
            <w:pPr>
              <w:keepNext w:val="false"/>
              <w:spacing w:after="20" w:line="240"/>
              <w:jc w:val="left"/>
            </w:pPr>
            <w:r>
              <w:rPr>
                <w:sz w:val="17"/>
                <w:szCs w:val="17"/>
              </w:rPr>
              <w:t xml:space="preserve">Argentina (datos SAOCOM abiertos)</w:t>
            </w:r>
          </w:p>
        </w:tc>
        <w:tc>
          <w:tcPr>
            <w:tcW w:type="dxa" w:w="1080"/>
            <w:tcMar>
              <w:top w:type="dxa" w:w="50"/>
              <w:left w:type="dxa" w:w="80"/>
              <w:bottom w:type="dxa" w:w="50"/>
              <w:right w:type="dxa" w:w="80"/>
            </w:tcMar>
            <w:vAlign w:val="center"/>
          </w:tcPr>
          <w:p>
            <w:pPr>
              <w:keepNext w:val="false"/>
              <w:spacing w:after="20" w:line="240"/>
              <w:jc w:val="left"/>
            </w:pPr>
            <w:r>
              <w:rPr>
                <w:sz w:val="17"/>
                <w:szCs w:val="17"/>
              </w:rPr>
              <w:t xml:space="preserve">M5</w:t>
            </w:r>
          </w:p>
        </w:tc>
        <w:tc>
          <w:tcPr>
            <w:tcW w:type="dxa" w:w="1350"/>
            <w:tcMar>
              <w:top w:type="dxa" w:w="50"/>
              <w:left w:type="dxa" w:w="80"/>
              <w:bottom w:type="dxa" w:w="50"/>
              <w:right w:type="dxa" w:w="80"/>
            </w:tcMar>
            <w:vAlign w:val="center"/>
          </w:tcPr>
          <w:p>
            <w:pPr>
              <w:keepNext w:val="false"/>
              <w:spacing w:after="20" w:line="240"/>
              <w:jc w:val="left"/>
            </w:pPr>
            <w:r>
              <w:rPr>
                <w:sz w:val="17"/>
                <w:szCs w:val="17"/>
              </w:rPr>
              <w:t xml:space="preserve">FCE 3</w:t>
            </w:r>
          </w:p>
        </w:tc>
        <w:tc>
          <w:tcPr>
            <w:tcW w:type="dxa" w:w="1800"/>
            <w:tcMar>
              <w:top w:type="dxa" w:w="50"/>
              <w:left w:type="dxa" w:w="80"/>
              <w:bottom w:type="dxa" w:w="50"/>
              <w:right w:type="dxa" w:w="80"/>
            </w:tcMar>
            <w:vAlign w:val="center"/>
          </w:tcPr>
          <w:p>
            <w:pPr>
              <w:keepNext w:val="false"/>
              <w:spacing w:after="20" w:line="240"/>
              <w:jc w:val="left"/>
            </w:pPr>
            <w:r>
              <w:rPr>
                <w:sz w:val="17"/>
                <w:szCs w:val="17"/>
              </w:rPr>
              <w:t xml:space="preserve">OE4 y OE5</w:t>
            </w:r>
          </w:p>
        </w:tc>
      </w:tr>
      <w:tr>
        <w:trPr>
          <w:cantSplit/>
        </w:trPr>
        <w:tc>
          <w:tcPr>
            <w:tcW w:type="dxa" w:w="2250"/>
            <w:tcMar>
              <w:top w:type="dxa" w:w="50"/>
              <w:left w:type="dxa" w:w="80"/>
              <w:bottom w:type="dxa" w:w="50"/>
              <w:right w:type="dxa" w:w="80"/>
            </w:tcMar>
            <w:vAlign w:val="center"/>
          </w:tcPr>
          <w:p>
            <w:pPr>
              <w:keepNext w:val="false"/>
              <w:spacing w:after="20" w:line="240"/>
              <w:jc w:val="left"/>
            </w:pPr>
            <w:r>
              <w:rPr>
                <w:sz w:val="17"/>
                <w:szCs w:val="17"/>
              </w:rPr>
              <w:t xml:space="preserve">B5 Dependencia del presupuesto fiscal</w:t>
            </w:r>
          </w:p>
        </w:tc>
        <w:tc>
          <w:tcPr>
            <w:tcW w:type="dxa" w:w="2520"/>
            <w:tcMar>
              <w:top w:type="dxa" w:w="50"/>
              <w:left w:type="dxa" w:w="80"/>
              <w:bottom w:type="dxa" w:w="50"/>
              <w:right w:type="dxa" w:w="80"/>
            </w:tcMar>
            <w:vAlign w:val="center"/>
          </w:tcPr>
          <w:p>
            <w:pPr>
              <w:keepNext w:val="false"/>
              <w:spacing w:after="20" w:line="240"/>
              <w:jc w:val="left"/>
            </w:pPr>
            <w:r>
              <w:rPr>
                <w:sz w:val="17"/>
                <w:szCs w:val="17"/>
              </w:rPr>
              <w:t xml:space="preserve">Brasil (ETEC); cooperación internacional (SIASGE)</w:t>
            </w:r>
          </w:p>
        </w:tc>
        <w:tc>
          <w:tcPr>
            <w:tcW w:type="dxa" w:w="1080"/>
            <w:tcMar>
              <w:top w:type="dxa" w:w="50"/>
              <w:left w:type="dxa" w:w="80"/>
              <w:bottom w:type="dxa" w:w="50"/>
              <w:right w:type="dxa" w:w="80"/>
            </w:tcMar>
            <w:vAlign w:val="center"/>
          </w:tcPr>
          <w:p>
            <w:pPr>
              <w:keepNext w:val="false"/>
              <w:spacing w:after="20" w:line="240"/>
              <w:jc w:val="left"/>
            </w:pPr>
            <w:r>
              <w:rPr>
                <w:sz w:val="17"/>
                <w:szCs w:val="17"/>
              </w:rPr>
              <w:t xml:space="preserve">M3, M6</w:t>
            </w:r>
          </w:p>
        </w:tc>
        <w:tc>
          <w:tcPr>
            <w:tcW w:type="dxa" w:w="1350"/>
            <w:tcMar>
              <w:top w:type="dxa" w:w="50"/>
              <w:left w:type="dxa" w:w="80"/>
              <w:bottom w:type="dxa" w:w="50"/>
              <w:right w:type="dxa" w:w="80"/>
            </w:tcMar>
            <w:vAlign w:val="center"/>
          </w:tcPr>
          <w:p>
            <w:pPr>
              <w:keepNext w:val="false"/>
              <w:spacing w:after="20" w:line="240"/>
              <w:jc w:val="left"/>
            </w:pPr>
            <w:r>
              <w:rPr>
                <w:sz w:val="17"/>
                <w:szCs w:val="17"/>
              </w:rPr>
              <w:t xml:space="preserve">FCE 4</w:t>
            </w:r>
          </w:p>
        </w:tc>
        <w:tc>
          <w:tcPr>
            <w:tcW w:type="dxa" w:w="1800"/>
            <w:tcMar>
              <w:top w:type="dxa" w:w="50"/>
              <w:left w:type="dxa" w:w="80"/>
              <w:bottom w:type="dxa" w:w="50"/>
              <w:right w:type="dxa" w:w="80"/>
            </w:tcMar>
            <w:vAlign w:val="center"/>
          </w:tcPr>
          <w:p>
            <w:pPr>
              <w:keepNext w:val="false"/>
              <w:spacing w:after="20" w:line="240"/>
              <w:jc w:val="left"/>
            </w:pPr>
            <w:r>
              <w:rPr>
                <w:sz w:val="17"/>
                <w:szCs w:val="17"/>
              </w:rPr>
              <w:t xml:space="preserve">OE4</w:t>
            </w:r>
          </w:p>
        </w:tc>
      </w:tr>
      <w:tr>
        <w:trPr>
          <w:cantSplit/>
        </w:trPr>
        <w:tc>
          <w:tcPr>
            <w:tcW w:type="dxa" w:w="2250"/>
            <w:tcMar>
              <w:top w:type="dxa" w:w="50"/>
              <w:left w:type="dxa" w:w="80"/>
              <w:bottom w:type="dxa" w:w="50"/>
              <w:right w:type="dxa" w:w="80"/>
            </w:tcMar>
            <w:vAlign w:val="center"/>
          </w:tcPr>
          <w:p>
            <w:pPr>
              <w:keepNext w:val="false"/>
              <w:spacing w:after="20" w:line="240"/>
              <w:jc w:val="left"/>
            </w:pPr>
            <w:r>
              <w:rPr>
                <w:sz w:val="17"/>
                <w:szCs w:val="17"/>
              </w:rPr>
              <w:t xml:space="preserve">B2, B6 Subutilización del HPC / sin demanda</w:t>
            </w:r>
          </w:p>
        </w:tc>
        <w:tc>
          <w:tcPr>
            <w:tcW w:type="dxa" w:w="2520"/>
            <w:tcMar>
              <w:top w:type="dxa" w:w="50"/>
              <w:left w:type="dxa" w:w="80"/>
              <w:bottom w:type="dxa" w:w="50"/>
              <w:right w:type="dxa" w:w="80"/>
            </w:tcMar>
            <w:vAlign w:val="center"/>
          </w:tcPr>
          <w:p>
            <w:pPr>
              <w:keepNext w:val="false"/>
              <w:spacing w:after="20" w:line="240"/>
              <w:jc w:val="left"/>
            </w:pPr>
            <w:r>
              <w:rPr>
                <w:sz w:val="17"/>
                <w:szCs w:val="17"/>
              </w:rPr>
              <w:t xml:space="preserve">Argentina (aplicaciones agro y emergencias); cooperación</w:t>
            </w:r>
          </w:p>
        </w:tc>
        <w:tc>
          <w:tcPr>
            <w:tcW w:type="dxa" w:w="1080"/>
            <w:tcMar>
              <w:top w:type="dxa" w:w="50"/>
              <w:left w:type="dxa" w:w="80"/>
              <w:bottom w:type="dxa" w:w="50"/>
              <w:right w:type="dxa" w:w="80"/>
            </w:tcMar>
            <w:vAlign w:val="center"/>
          </w:tcPr>
          <w:p>
            <w:pPr>
              <w:keepNext w:val="false"/>
              <w:spacing w:after="20" w:line="240"/>
              <w:jc w:val="left"/>
            </w:pPr>
            <w:r>
              <w:rPr>
                <w:sz w:val="17"/>
                <w:szCs w:val="17"/>
              </w:rPr>
              <w:t xml:space="preserve">M5, M6</w:t>
            </w:r>
          </w:p>
        </w:tc>
        <w:tc>
          <w:tcPr>
            <w:tcW w:type="dxa" w:w="1350"/>
            <w:tcMar>
              <w:top w:type="dxa" w:w="50"/>
              <w:left w:type="dxa" w:w="80"/>
              <w:bottom w:type="dxa" w:w="50"/>
              <w:right w:type="dxa" w:w="80"/>
            </w:tcMar>
            <w:vAlign w:val="center"/>
          </w:tcPr>
          <w:p>
            <w:pPr>
              <w:keepNext w:val="false"/>
              <w:spacing w:after="20" w:line="240"/>
              <w:jc w:val="left"/>
            </w:pPr>
            <w:r>
              <w:rPr>
                <w:sz w:val="17"/>
                <w:szCs w:val="17"/>
              </w:rPr>
              <w:t xml:space="preserve">FCE 6</w:t>
            </w:r>
          </w:p>
        </w:tc>
        <w:tc>
          <w:tcPr>
            <w:tcW w:type="dxa" w:w="1800"/>
            <w:tcMar>
              <w:top w:type="dxa" w:w="50"/>
              <w:left w:type="dxa" w:w="80"/>
              <w:bottom w:type="dxa" w:w="50"/>
              <w:right w:type="dxa" w:w="80"/>
            </w:tcMar>
            <w:vAlign w:val="center"/>
          </w:tcPr>
          <w:p>
            <w:pPr>
              <w:keepNext w:val="false"/>
              <w:spacing w:after="20" w:line="240"/>
              <w:jc w:val="left"/>
            </w:pPr>
            <w:r>
              <w:rPr>
                <w:sz w:val="17"/>
                <w:szCs w:val="17"/>
              </w:rPr>
              <w:t xml:space="preserve">OE4</w:t>
            </w:r>
          </w:p>
        </w:tc>
      </w:tr>
      <w:tr>
        <w:trPr>
          <w:cantSplit/>
        </w:trPr>
        <w:tc>
          <w:tcPr>
            <w:tcW w:type="dxa" w:w="2250"/>
            <w:tcMar>
              <w:top w:type="dxa" w:w="50"/>
              <w:left w:type="dxa" w:w="80"/>
              <w:bottom w:type="dxa" w:w="50"/>
              <w:right w:type="dxa" w:w="80"/>
            </w:tcMar>
            <w:vAlign w:val="center"/>
          </w:tcPr>
          <w:p>
            <w:pPr>
              <w:keepNext w:val="false"/>
              <w:spacing w:after="20" w:line="240"/>
              <w:jc w:val="left"/>
            </w:pPr>
            <w:r>
              <w:rPr>
                <w:sz w:val="17"/>
                <w:szCs w:val="17"/>
              </w:rPr>
              <w:t xml:space="preserve">B3 Ausencia de transferencia al sector productivo</w:t>
            </w:r>
          </w:p>
        </w:tc>
        <w:tc>
          <w:tcPr>
            <w:tcW w:type="dxa" w:w="2520"/>
            <w:tcMar>
              <w:top w:type="dxa" w:w="50"/>
              <w:left w:type="dxa" w:w="80"/>
              <w:bottom w:type="dxa" w:w="50"/>
              <w:right w:type="dxa" w:w="80"/>
            </w:tcMar>
            <w:vAlign w:val="center"/>
          </w:tcPr>
          <w:p>
            <w:pPr>
              <w:keepNext w:val="false"/>
              <w:spacing w:after="20" w:line="240"/>
              <w:jc w:val="left"/>
            </w:pPr>
            <w:r>
              <w:rPr>
                <w:sz w:val="17"/>
                <w:szCs w:val="17"/>
              </w:rPr>
              <w:t xml:space="preserve">Corea (KARI-Hanwha, transferencia contractual)</w:t>
            </w:r>
          </w:p>
        </w:tc>
        <w:tc>
          <w:tcPr>
            <w:tcW w:type="dxa" w:w="1080"/>
            <w:tcMar>
              <w:top w:type="dxa" w:w="50"/>
              <w:left w:type="dxa" w:w="80"/>
              <w:bottom w:type="dxa" w:w="50"/>
              <w:right w:type="dxa" w:w="80"/>
            </w:tcMar>
            <w:vAlign w:val="center"/>
          </w:tcPr>
          <w:p>
            <w:pPr>
              <w:keepNext w:val="false"/>
              <w:spacing w:after="20" w:line="240"/>
              <w:jc w:val="left"/>
            </w:pPr>
            <w:r>
              <w:rPr>
                <w:sz w:val="17"/>
                <w:szCs w:val="17"/>
              </w:rPr>
              <w:t xml:space="preserve">M4</w:t>
            </w:r>
          </w:p>
        </w:tc>
        <w:tc>
          <w:tcPr>
            <w:tcW w:type="dxa" w:w="1350"/>
            <w:tcMar>
              <w:top w:type="dxa" w:w="50"/>
              <w:left w:type="dxa" w:w="80"/>
              <w:bottom w:type="dxa" w:w="50"/>
              <w:right w:type="dxa" w:w="80"/>
            </w:tcMar>
            <w:vAlign w:val="center"/>
          </w:tcPr>
          <w:p>
            <w:pPr>
              <w:keepNext w:val="false"/>
              <w:spacing w:after="20" w:line="240"/>
              <w:jc w:val="left"/>
            </w:pPr>
            <w:r>
              <w:rPr>
                <w:sz w:val="17"/>
                <w:szCs w:val="17"/>
              </w:rPr>
              <w:t xml:space="preserve">FCE 2</w:t>
            </w:r>
          </w:p>
        </w:tc>
        <w:tc>
          <w:tcPr>
            <w:tcW w:type="dxa" w:w="1800"/>
            <w:tcMar>
              <w:top w:type="dxa" w:w="50"/>
              <w:left w:type="dxa" w:w="80"/>
              <w:bottom w:type="dxa" w:w="50"/>
              <w:right w:type="dxa" w:w="80"/>
            </w:tcMar>
            <w:vAlign w:val="center"/>
          </w:tcPr>
          <w:p>
            <w:pPr>
              <w:keepNext w:val="false"/>
              <w:spacing w:after="20" w:line="240"/>
              <w:jc w:val="left"/>
            </w:pPr>
            <w:r>
              <w:rPr>
                <w:sz w:val="17"/>
                <w:szCs w:val="17"/>
              </w:rPr>
              <w:t xml:space="preserve">OE4 y OE5</w:t>
            </w:r>
          </w:p>
        </w:tc>
      </w:tr>
      <w:tr>
        <w:trPr>
          <w:cantSplit/>
        </w:trPr>
        <w:tc>
          <w:tcPr>
            <w:tcW w:type="dxa" w:w="2250"/>
            <w:tcMar>
              <w:top w:type="dxa" w:w="50"/>
              <w:left w:type="dxa" w:w="80"/>
              <w:bottom w:type="dxa" w:w="50"/>
              <w:right w:type="dxa" w:w="80"/>
            </w:tcMar>
            <w:vAlign w:val="center"/>
          </w:tcPr>
          <w:p>
            <w:pPr>
              <w:keepNext w:val="false"/>
              <w:spacing w:after="20" w:line="240"/>
              <w:jc w:val="left"/>
            </w:pPr>
            <w:r>
              <w:rPr>
                <w:sz w:val="17"/>
                <w:szCs w:val="17"/>
              </w:rPr>
              <w:t xml:space="preserve">B4 Concentración en Cerrillos; centros regionales en estudio</w:t>
            </w:r>
          </w:p>
        </w:tc>
        <w:tc>
          <w:tcPr>
            <w:tcW w:type="dxa" w:w="2520"/>
            <w:tcMar>
              <w:top w:type="dxa" w:w="50"/>
              <w:left w:type="dxa" w:w="80"/>
              <w:bottom w:type="dxa" w:w="50"/>
              <w:right w:type="dxa" w:w="80"/>
            </w:tcMar>
            <w:vAlign w:val="center"/>
          </w:tcPr>
          <w:p>
            <w:pPr>
              <w:keepNext w:val="false"/>
              <w:spacing w:after="20" w:line="240"/>
              <w:jc w:val="left"/>
            </w:pPr>
            <w:r>
              <w:rPr>
                <w:sz w:val="17"/>
                <w:szCs w:val="17"/>
              </w:rPr>
              <w:t xml:space="preserve">Sin caso específico (mecanismo propio)</w:t>
            </w:r>
          </w:p>
        </w:tc>
        <w:tc>
          <w:tcPr>
            <w:tcW w:type="dxa" w:w="1080"/>
            <w:tcMar>
              <w:top w:type="dxa" w:w="50"/>
              <w:left w:type="dxa" w:w="80"/>
              <w:bottom w:type="dxa" w:w="50"/>
              <w:right w:type="dxa" w:w="80"/>
            </w:tcMar>
            <w:vAlign w:val="center"/>
          </w:tcPr>
          <w:p>
            <w:pPr>
              <w:keepNext w:val="false"/>
              <w:spacing w:after="20" w:line="240"/>
              <w:jc w:val="left"/>
            </w:pPr>
            <w:r>
              <w:rPr>
                <w:sz w:val="17"/>
                <w:szCs w:val="17"/>
              </w:rPr>
              <w:t xml:space="preserve">M7</w:t>
            </w:r>
          </w:p>
        </w:tc>
        <w:tc>
          <w:tcPr>
            <w:tcW w:type="dxa" w:w="1350"/>
            <w:tcMar>
              <w:top w:type="dxa" w:w="50"/>
              <w:left w:type="dxa" w:w="80"/>
              <w:bottom w:type="dxa" w:w="50"/>
              <w:right w:type="dxa" w:w="80"/>
            </w:tcMar>
            <w:vAlign w:val="center"/>
          </w:tcPr>
          <w:p>
            <w:pPr>
              <w:keepNext w:val="false"/>
              <w:spacing w:after="20" w:line="240"/>
              <w:jc w:val="left"/>
            </w:pPr>
            <w:r>
              <w:rPr>
                <w:sz w:val="17"/>
                <w:szCs w:val="17"/>
              </w:rPr>
              <w:t xml:space="preserve">FCE 7</w:t>
            </w:r>
          </w:p>
        </w:tc>
        <w:tc>
          <w:tcPr>
            <w:tcW w:type="dxa" w:w="1800"/>
            <w:tcMar>
              <w:top w:type="dxa" w:w="50"/>
              <w:left w:type="dxa" w:w="80"/>
              <w:bottom w:type="dxa" w:w="50"/>
              <w:right w:type="dxa" w:w="80"/>
            </w:tcMar>
            <w:vAlign w:val="center"/>
          </w:tcPr>
          <w:p>
            <w:pPr>
              <w:keepNext w:val="false"/>
              <w:spacing w:after="20" w:line="240"/>
              <w:jc w:val="left"/>
            </w:pPr>
            <w:r>
              <w:rPr>
                <w:sz w:val="17"/>
                <w:szCs w:val="17"/>
              </w:rPr>
              <w:t xml:space="preserve">OE4</w:t>
            </w:r>
          </w:p>
        </w:tc>
      </w:tr>
    </w:tbl>
    <w:p>
      <w:pPr>
        <w:spacing w:after="200" w:before="60"/>
        <w:jc w:val="center"/>
      </w:pPr>
      <w:r>
        <w:rPr>
          <w:i/>
          <w:iCs/>
          <w:sz w:val="17"/>
          <w:szCs w:val="17"/>
        </w:rPr>
        <w:t xml:space="preserve">Fuente: Elaboración propia.</w:t>
      </w:r>
    </w:p>
    <w:p>
      <w:pPr>
        <w:pStyle w:val="Caption"/>
        <w:keepNext/>
        <w:spacing w:after="80" w:before="200"/>
        <w:jc w:val="center"/>
      </w:pPr>
      <w:r>
        <w:rPr>
          <w:b/>
          <w:bCs/>
        </w:rPr>
        <w:t xml:space="preserve">Figura </w:t>
      </w:r>
      <w:fldSimple w:instr="SEQ Figura \* ARABIC">
        <w:r>
          <w:t xml:space="preserve">9</w:t>
        </w:r>
      </w:fldSimple>
      <w:r>
        <w:rPr>
          <w:b/>
          <w:bCs/>
        </w:rPr>
        <w:t xml:space="preserve">. De la barrera al factor crítico de éxito</w:t>
      </w:r>
    </w:p>
    <w:p>
      <w:pPr>
        <w:keepNext/>
        <w:spacing w:after="60"/>
        <w:jc w:val="center"/>
      </w:pPr>
      <w:r>
        <w:drawing>
          <wp:inline distT="0" distB="0" distL="0" distR="0">
            <wp:extent cx="5334000" cy="2657475"/>
            <wp:effectExtent t="0" r="0" b="0" l="0"/>
            <wp:docPr id="1" name="fig:b2f" descr="De la barrera al factor crítico de éxito" title="De la barrera al factor crítico de éx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657475"/>
                    </a:xfrm>
                    <a:prstGeom prst="rect">
                      <a:avLst/>
                    </a:prstGeom>
                  </pic:spPr>
                </pic:pic>
              </a:graphicData>
            </a:graphic>
          </wp:inline>
        </w:drawing>
      </w:r>
    </w:p>
    <w:p>
      <w:pPr>
        <w:spacing w:after="200" w:before="60"/>
        <w:jc w:val="center"/>
      </w:pPr>
      <w:r>
        <w:rPr>
          <w:i/>
          <w:iCs/>
          <w:sz w:val="17"/>
          <w:szCs w:val="17"/>
        </w:rPr>
        <w:t xml:space="preserve">Fuente: Elaboración propia. Síntesis de trazabilidad. Las lecciones se profundizan en OE4 y OE5.</w:t>
      </w:r>
    </w:p>
    <w:p>
      <w:pPr>
        <w:spacing w:after="140" w:line="300"/>
        <w:jc w:val="both"/>
      </w:pPr>
      <w:r>
        <w:t xml:space="preserve">El OE3 permite cerrar el diagnóstico con evidencia externa. Sus hallazgos se establecen en cuatro afirmaciones:</w:t>
      </w:r>
    </w:p>
    <w:p>
      <w:pPr>
        <w:pStyle w:val="ListParagraph"/>
        <w:numPr>
          <w:ilvl w:val="0"/>
          <w:numId w:val="2"/>
        </w:numPr>
        <w:spacing w:after="80" w:line="290"/>
        <w:jc w:val="both"/>
      </w:pPr>
      <w:r>
        <w:rPr>
          <w:b/>
          <w:bCs/>
        </w:rPr>
        <w:t xml:space="preserve">Sobre la gobernanza:</w:t>
      </w:r>
      <w:r>
        <w:t xml:space="preserve"> las experiencias comparables resolvieron el escalamiento sobre una conducción civil del sector, reservando a lo militar un rol de ejecución. El modelo brasileño (SINDAE) muestra que es posible preservar el rol de las fuerzas armadas sin que ello determine la conducción, lo que ofrece evidencia directa para el FCE 1, aunque su transferibilidad normativa es baja (M1).</w:t>
      </w:r>
    </w:p>
    <w:p>
      <w:pPr>
        <w:pStyle w:val="ListParagraph"/>
        <w:numPr>
          <w:ilvl w:val="0"/>
          <w:numId w:val="2"/>
        </w:numPr>
        <w:spacing w:after="80" w:line="290"/>
        <w:jc w:val="both"/>
      </w:pPr>
      <w:r>
        <w:rPr>
          <w:b/>
          <w:bCs/>
        </w:rPr>
        <w:t xml:space="preserve">Sobre la transferencia:</w:t>
      </w:r>
      <w:r>
        <w:t xml:space="preserve"> en ningún caso la tecnología se difundió espontáneamente. Hubo mecanismos formales, ya sea empresa-vehículo, encomienda tecnológica o transferencia contractual, que respaldan la pertinencia de los FCE 2 y 3. De ellos, la encomienda (M3) es la más transferible; la transferencia contractual (M4) es de horizonte largo.</w:t>
      </w:r>
    </w:p>
    <w:p>
      <w:pPr>
        <w:pStyle w:val="ListParagraph"/>
        <w:numPr>
          <w:ilvl w:val="0"/>
          <w:numId w:val="2"/>
        </w:numPr>
        <w:spacing w:after="80" w:line="290"/>
        <w:jc w:val="both"/>
      </w:pPr>
      <w:r>
        <w:rPr>
          <w:b/>
          <w:bCs/>
        </w:rPr>
        <w:t xml:space="preserve">Sobre los datos:</w:t>
      </w:r>
      <w:r>
        <w:t xml:space="preserve"> la apertura de datos y el acceso regulado de terceros (modelo CONAE) aparecen como uno de los habilitadores más directos para activar la demanda civil; su viabilidad es media-alta, pues requieren un reglamento de acceso y un protocolo de seguridad y uso dual, en línea con la brecha del HPC identificada como prioritaria en el OE1-OE2 (FCE 3 y 6).</w:t>
      </w:r>
    </w:p>
    <w:p>
      <w:pPr>
        <w:pStyle w:val="ListParagraph"/>
        <w:numPr>
          <w:ilvl w:val="0"/>
          <w:numId w:val="2"/>
        </w:numPr>
        <w:spacing w:after="80" w:line="290"/>
        <w:jc w:val="both"/>
      </w:pPr>
      <w:r>
        <w:rPr>
          <w:b/>
          <w:bCs/>
        </w:rPr>
        <w:t xml:space="preserve">Sobre los límites:</w:t>
      </w:r>
      <w:r>
        <w:t xml:space="preserve"> el contraejemplo mexicano advierte que la institucionalidad civil es necesaria pero no suficiente, y el caso argentino reciente recuerda que ningún diseño sobrevive sin financiamiento sostenido. El activo diferencial de Chile, una infraestructura de frontera que México nunca tuvo, debe aprovecharse antes de que la ventana de oportunidad se cierre.</w:t>
      </w:r>
    </w:p>
    <w:p>
      <w:pPr>
        <w:spacing w:after="140" w:line="300"/>
        <w:jc w:val="both"/>
      </w:pPr>
      <w:r>
        <w:t xml:space="preserve">Estos mecanismos y lecciones constituyen el insumo principal del OE4, donde se integrarán con el diagnóstico interno (FODA, análisis de stakeholders y de brechas) para formular la propuesta de lineamientos, que luego se someterá a validación con expertos en el OE5. Los siete mecanismos (M1-M7), su matriz de transferibilidad y la matriz de trazabilidad serán el hilo conductor de esas etapas.</w:t>
      </w:r>
    </w:p>
    <w:p>
      <w:pPr>
        <w:pStyle w:val="Heading1"/>
        <w:pageBreakBefore/>
      </w:pPr>
      <w:r>
        <w:t xml:space="preserve">CAPÍTULO 6. CONCLUSIONES PRELIMINARES Y PLAN DE TRABAJO</w:t>
      </w:r>
    </w:p>
    <w:p>
      <w:pPr>
        <w:pStyle w:val="Heading2"/>
      </w:pPr>
      <w:r>
        <w:t xml:space="preserve">6.1 Conclusiones preliminares</w:t>
      </w:r>
    </w:p>
    <w:p>
      <w:pPr>
        <w:spacing w:after="140" w:line="300"/>
        <w:jc w:val="both"/>
      </w:pPr>
      <w:r>
        <w:t xml:space="preserve">El propósito de este avance era dejar acreditados los tres primeros objetivos de la memoria, que conforman el diagnóstico sobre el cual se diseñarán y validarán los lineamientos. El balance es positivo en su fase documental, con las salvedades de confianza señaladas.</w:t>
      </w:r>
    </w:p>
    <w:p>
      <w:pPr>
        <w:spacing w:after="140" w:line="300"/>
        <w:jc w:val="both"/>
      </w:pPr>
      <w:r>
        <w:rPr>
          <w:b/>
          <w:bCs/>
        </w:rPr>
        <w:t xml:space="preserve">OE1.</w:t>
      </w:r>
      <w:r>
        <w:t xml:space="preserve"> Se caracterizó un CEN tecnológicamente sólido en lo declarado, con fortalezas claras en lo satelital y en el procesamiento de datos. El Business Model Canvas mostró una propuesta de valor bien formulada y recursos de infraestructura relevantes, aunque con respaldo aún declarado, mientras que los bloques de vinculación y de financiamiento no fiscal aparecen débiles. Aplicada de forma estricta, la escala de madurez reveló que solo el control de misión alcanza el nivel 2 y que ninguna capacidad lo supera. El potencial de transferencia es mayor en la simulación ambiental y en los datos, sujeto a verificar su origen y a abrir vías de acceso (H1, H2, H4). El CEN, en suma, existe y comienza a operar, pero todavía no transfiere. La línea base preliminar muestra, además, que existen actores previos con capacidades vinculables, dispersos y poco articulados (H8).</w:t>
      </w:r>
    </w:p>
    <w:p>
      <w:pPr>
        <w:spacing w:after="140" w:line="300"/>
        <w:jc w:val="both"/>
      </w:pPr>
      <w:r>
        <w:rPr>
          <w:b/>
          <w:bCs/>
        </w:rPr>
        <w:t xml:space="preserve">OE2.</w:t>
      </w:r>
      <w:r>
        <w:t xml:space="preserve"> El PESTEL y la matriz de barreras convergieron en el mismo diagnóstico: los obstáculos no son principalmente tecnológicos sino institucionales, normativos y de conocimiento, seguidos por los financieros. La evaluación por relevancia, impacto y posibilidad de intervención priorizó como Alta la ausencia de agencia civil (B1), el acceso de terceros no reglado (B2) y el conocimiento concentrado en la FACh (B3). La matriz de brechas identificó el acceso a los datos satelitales propios como la mayor oportunidad desaprovechada, sujeta a verificar su demanda y el origen de los datos. Los siete factores críticos de éxito ofrecen el mapa de lo que hay que resolver y de lo que se validará con los actores.</w:t>
      </w:r>
    </w:p>
    <w:p>
      <w:pPr>
        <w:spacing w:after="140" w:line="300"/>
        <w:jc w:val="both"/>
      </w:pPr>
      <w:r>
        <w:rPr>
          <w:b/>
          <w:bCs/>
        </w:rPr>
        <w:t xml:space="preserve">OE3.</w:t>
      </w:r>
      <w:r>
        <w:t xml:space="preserve"> El benchmarking mostró que las experiencias comparables resolvieron la articulación sobre una conducción civil del sector, reservando a lo militar un rol de ejecución, y que en ningún caso la tecnología se difundió de manera espontánea, sino mediante empresas-vehículo, instrumentos de contratación de innovación o transferencias contractuales. De allí se derivaron siete mecanismos, cuya transferibilidad al contexto chileno se evaluó en cuatro dimensiones: M6 (alianzas internacionales) y M5 (datos abiertos y acceso regulado) resultan los más viables; M4 (transferencia contractual) es de horizonte largo; y M2 y M7 requieren ajustes. El caso mexicano advierte que la institucionalidad civil no basta sin capacidad instalada, y el argentino, que ningún diseño sobrevive sin financiamiento sostenido.</w:t>
      </w:r>
    </w:p>
    <w:p>
      <w:pPr>
        <w:spacing w:after="140" w:line="300"/>
        <w:jc w:val="both"/>
      </w:pPr>
      <w:r>
        <w:t xml:space="preserve">Transversalmente, el origen del CEN en la institucionalidad de defensa fue una fortaleza para ejecutar la obra, pero se convierte en tensión al pensar en un uso civil y articulado de sus capacidades. Resolver esa tensión sin negar el papel de la FACh ni la dimensión de soberanía es, muy probablemente, el mayor desafío de gobernanza que enfrentará cualquier estrategia de desarrollo del ecosistema.</w:t>
      </w:r>
    </w:p>
    <w:p>
      <w:pPr>
        <w:spacing w:after="140" w:line="300"/>
        <w:jc w:val="both"/>
      </w:pPr>
      <w:r>
        <w:rPr>
          <w:b/>
          <w:bCs/>
        </w:rPr>
        <w:t xml:space="preserve">Limitaciones del avance.</w:t>
      </w:r>
      <w:r>
        <w:t xml:space="preserve"> Todo el diagnóstico se apoya en fuentes secundarias; los puntajes, la madurez y la transferibilidad son valoraciones preliminares del autor; y las hipótesis H1 a H9 permanecen sin contrastar. Los ámbitos de drones y aeronáutica quedaron fuera del alcance (sección 1.2.4).</w:t>
      </w:r>
    </w:p>
    <w:p>
      <w:pPr>
        <w:pStyle w:val="Heading2"/>
      </w:pPr>
      <w:r>
        <w:t xml:space="preserve">6.2 Trabajo futuro</w:t>
      </w:r>
    </w:p>
    <w:p>
      <w:pPr>
        <w:spacing w:after="140" w:line="300"/>
        <w:jc w:val="both"/>
      </w:pPr>
      <w:r>
        <w:t xml:space="preserve">Para cerrar el diagnóstico y avanzar al diseño y la validación, se plantean las siguientes tareas:</w:t>
      </w:r>
    </w:p>
    <w:p>
      <w:pPr>
        <w:pStyle w:val="ListParagraph"/>
        <w:numPr>
          <w:ilvl w:val="0"/>
          <w:numId w:val="2"/>
        </w:numPr>
        <w:spacing w:after="80" w:line="290"/>
        <w:jc w:val="both"/>
      </w:pPr>
      <w:r>
        <w:rPr>
          <w:b/>
          <w:bCs/>
        </w:rPr>
        <w:t xml:space="preserve">Contraste con fuentes primarias:</w:t>
      </w:r>
      <w:r>
        <w:t xml:space="preserve"> ejecutar el plan de la sección 2.11 (entrevistas semiestructuradas a personal del CEN y a actores del ecosistema) para contrastar madurez, origen de los datos, demanda de usuarios y las valoraciones de relevancia, impacto e intervenibilidad (H1 a H9).</w:t>
      </w:r>
    </w:p>
    <w:p>
      <w:pPr>
        <w:pStyle w:val="ListParagraph"/>
        <w:numPr>
          <w:ilvl w:val="0"/>
          <w:numId w:val="2"/>
        </w:numPr>
        <w:spacing w:after="80" w:line="290"/>
        <w:jc w:val="both"/>
      </w:pPr>
      <w:r>
        <w:rPr>
          <w:b/>
          <w:bCs/>
        </w:rPr>
        <w:t xml:space="preserve">Verificación de evidencia:</w:t>
      </w:r>
      <w:r>
        <w:t xml:space="preserve"> solicitar las fichas técnicas y registros indicados en la sección 3.9, y obtener cifras verificadas de inversión, dotación y presupuesto.</w:t>
      </w:r>
    </w:p>
    <w:p>
      <w:pPr>
        <w:pStyle w:val="ListParagraph"/>
        <w:numPr>
          <w:ilvl w:val="0"/>
          <w:numId w:val="2"/>
        </w:numPr>
        <w:spacing w:after="80" w:line="290"/>
        <w:jc w:val="both"/>
      </w:pPr>
      <w:r>
        <w:rPr>
          <w:b/>
          <w:bCs/>
        </w:rPr>
        <w:t xml:space="preserve">Barreras B6 y B7:</w:t>
      </w:r>
      <w:r>
        <w:t xml:space="preserve"> profundizar el control de exportaciones y el uso dual, y el tamaño del mercado doméstico (≈ 8 satélites previstos), cuyo respaldo documental es aún débil.</w:t>
      </w:r>
    </w:p>
    <w:p>
      <w:pPr>
        <w:pStyle w:val="ListParagraph"/>
        <w:numPr>
          <w:ilvl w:val="0"/>
          <w:numId w:val="2"/>
        </w:numPr>
        <w:spacing w:after="80" w:line="290"/>
        <w:jc w:val="both"/>
      </w:pPr>
      <w:r>
        <w:rPr>
          <w:b/>
          <w:bCs/>
        </w:rPr>
        <w:t xml:space="preserve">Línea base del ecosistema:</w:t>
      </w:r>
      <w:r>
        <w:t xml:space="preserve"> ampliar la línea base de la sección 3.8 con otros actores (empresas de base tecnológica, universidades adicionales, proyectos en curso).</w:t>
      </w:r>
    </w:p>
    <w:p>
      <w:pPr>
        <w:pStyle w:val="ListParagraph"/>
        <w:numPr>
          <w:ilvl w:val="0"/>
          <w:numId w:val="2"/>
        </w:numPr>
        <w:spacing w:after="80" w:line="290"/>
        <w:jc w:val="both"/>
      </w:pPr>
      <w:r>
        <w:rPr>
          <w:b/>
          <w:bCs/>
        </w:rPr>
        <w:t xml:space="preserve">OE3:</w:t>
      </w:r>
      <w:r>
        <w:t xml:space="preserve"> complementar el benchmarking con fuentes primarias (textos normativos, planes oficiales y, si es posible, entrevistas a actores de las agencias) y profundizar el caso de Portugal.</w:t>
      </w:r>
    </w:p>
    <w:p>
      <w:pPr>
        <w:pStyle w:val="ListParagraph"/>
        <w:numPr>
          <w:ilvl w:val="0"/>
          <w:numId w:val="2"/>
        </w:numPr>
        <w:spacing w:after="80" w:line="290"/>
        <w:jc w:val="both"/>
      </w:pPr>
      <w:r>
        <w:rPr>
          <w:b/>
          <w:bCs/>
        </w:rPr>
        <w:t xml:space="preserve">OE4 y OE5:</w:t>
      </w:r>
      <w:r>
        <w:t xml:space="preserve"> desarrollar los capítulos 7 a 10 según el esquema siguiente.</w:t>
      </w:r>
    </w:p>
    <w:p>
      <w:pPr>
        <w:pStyle w:val="Heading2"/>
      </w:pPr>
      <w:r>
        <w:t xml:space="preserve">6.3 Cronograma de los capítulos restantes</w:t>
      </w:r>
    </w:p>
    <w:p>
      <w:pPr>
        <w:spacing w:after="140" w:line="300"/>
        <w:jc w:val="both"/>
      </w:pPr>
      <w:r>
        <w:t xml:space="preserve">La Tabla 31 muestra una carta Gantt referencial por mes, contados desde la entrega de este informe. Las fechas finales deberán ajustarse al calendario de la universidad.</w:t>
      </w:r>
    </w:p>
    <w:p>
      <w:pPr>
        <w:pStyle w:val="Caption"/>
        <w:keepNext/>
        <w:spacing w:after="80" w:before="200"/>
        <w:jc w:val="center"/>
      </w:pPr>
      <w:r>
        <w:rPr>
          <w:b/>
          <w:bCs/>
        </w:rPr>
        <w:t xml:space="preserve">Tabla </w:t>
      </w:r>
      <w:fldSimple w:instr="SEQ Tabla \* ARABIC">
        <w:r>
          <w:t xml:space="preserve">31</w:t>
        </w:r>
      </w:fldSimple>
      <w:r>
        <w:rPr>
          <w:b/>
          <w:bCs/>
        </w:rPr>
        <w:t xml:space="preserve">. Carta Gantt referencial de las etapas restantes</w:t>
      </w:r>
    </w:p>
    <w:tbl>
      <w:tblPr>
        <w:tblW w:type="dxa" w:w="9000"/>
        <w:tblBorders>
          <w:top w:val="single" w:color="A6A6A6" w:sz="4"/>
          <w:left w:val="single" w:color="A6A6A6" w:sz="4"/>
          <w:bottom w:val="single" w:color="A6A6A6" w:sz="4"/>
          <w:right w:val="single" w:color="A6A6A6" w:sz="4"/>
          <w:insideH w:val="single" w:color="A6A6A6" w:sz="4"/>
          <w:insideV w:val="single" w:color="A6A6A6" w:sz="4"/>
        </w:tblBorders>
      </w:tblPr>
      <w:tblGrid>
        <w:gridCol w:w="4140"/>
        <w:gridCol w:w="972"/>
        <w:gridCol w:w="972"/>
        <w:gridCol w:w="972"/>
        <w:gridCol w:w="972"/>
        <w:gridCol w:w="972"/>
      </w:tblGrid>
      <w:tr>
        <w:trPr>
          <w:cantSplit/>
          <w:tblHeader/>
        </w:trPr>
        <w:tc>
          <w:tcPr>
            <w:tcW w:type="dxa" w:w="414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Actividad</w:t>
            </w:r>
          </w:p>
        </w:tc>
        <w:tc>
          <w:tcPr>
            <w:tcW w:type="dxa" w:w="972"/>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M1</w:t>
            </w:r>
          </w:p>
        </w:tc>
        <w:tc>
          <w:tcPr>
            <w:tcW w:type="dxa" w:w="972"/>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M2</w:t>
            </w:r>
          </w:p>
        </w:tc>
        <w:tc>
          <w:tcPr>
            <w:tcW w:type="dxa" w:w="972"/>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M3</w:t>
            </w:r>
          </w:p>
        </w:tc>
        <w:tc>
          <w:tcPr>
            <w:tcW w:type="dxa" w:w="972"/>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M4</w:t>
            </w:r>
          </w:p>
        </w:tc>
        <w:tc>
          <w:tcPr>
            <w:tcW w:type="dxa" w:w="972"/>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M5</w:t>
            </w:r>
          </w:p>
        </w:tc>
      </w:tr>
      <w:tr>
        <w:trPr>
          <w:cantSplit/>
        </w:trPr>
        <w:tc>
          <w:tcPr>
            <w:tcW w:type="dxa" w:w="4140"/>
            <w:tcMar>
              <w:top w:type="dxa" w:w="50"/>
              <w:left w:type="dxa" w:w="80"/>
              <w:bottom w:type="dxa" w:w="50"/>
              <w:right w:type="dxa" w:w="80"/>
            </w:tcMar>
            <w:vAlign w:val="center"/>
          </w:tcPr>
          <w:p>
            <w:pPr>
              <w:keepNext w:val="false"/>
              <w:spacing w:after="20" w:line="240"/>
              <w:jc w:val="left"/>
            </w:pPr>
            <w:r>
              <w:rPr>
                <w:sz w:val="17"/>
                <w:szCs w:val="17"/>
              </w:rPr>
              <w:t xml:space="preserve">Entrevistas y contraste del diagnóstico (2.11)</w:t>
            </w:r>
          </w:p>
        </w:tc>
        <w:tc>
          <w:tcPr>
            <w:tcW w:type="dxa" w:w="972"/>
            <w:shd w:fill="2E75B6" w:color="auto" w:val="clear"/>
            <w:tcMar>
              <w:top w:type="dxa" w:w="50"/>
              <w:left w:type="dxa" w:w="80"/>
              <w:bottom w:type="dxa" w:w="50"/>
              <w:right w:type="dxa" w:w="80"/>
            </w:tcMar>
            <w:vAlign w:val="center"/>
          </w:tcPr>
          <w:p>
            <w:pPr>
              <w:keepNext w:val="false"/>
              <w:spacing w:after="20" w:line="240"/>
              <w:jc w:val="center"/>
            </w:pPr>
            <w:r>
              <w:rPr>
                <w:color w:val="2E75B6"/>
                <w:sz w:val="17"/>
                <w:szCs w:val="17"/>
              </w:rPr>
              <w:t xml:space="preserve">■</w:t>
            </w:r>
          </w:p>
        </w:tc>
        <w:tc>
          <w:tcPr>
            <w:tcW w:type="dxa" w:w="972"/>
            <w:shd w:fill="2E75B6" w:color="auto" w:val="clear"/>
            <w:tcMar>
              <w:top w:type="dxa" w:w="50"/>
              <w:left w:type="dxa" w:w="80"/>
              <w:bottom w:type="dxa" w:w="50"/>
              <w:right w:type="dxa" w:w="80"/>
            </w:tcMar>
            <w:vAlign w:val="center"/>
          </w:tcPr>
          <w:p>
            <w:pPr>
              <w:keepNext w:val="false"/>
              <w:spacing w:after="20" w:line="240"/>
              <w:jc w:val="center"/>
            </w:pPr>
            <w:r>
              <w:rPr>
                <w:color w:val="2E75B6"/>
                <w:sz w:val="17"/>
                <w:szCs w:val="17"/>
              </w:rPr>
              <w:t xml:space="preserve">■</w:t>
            </w:r>
          </w:p>
        </w:tc>
        <w:tc>
          <w:tcPr>
            <w:tcW w:type="dxa" w:w="972"/>
            <w:tcMar>
              <w:top w:type="dxa" w:w="50"/>
              <w:left w:type="dxa" w:w="80"/>
              <w:bottom w:type="dxa" w:w="50"/>
              <w:right w:type="dxa" w:w="80"/>
            </w:tcMar>
            <w:vAlign w:val="center"/>
          </w:tcPr>
          <w:p>
            <w:pPr>
              <w:keepNext w:val="false"/>
              <w:spacing w:after="20" w:line="240"/>
              <w:jc w:val="center"/>
            </w:pPr>
          </w:p>
        </w:tc>
        <w:tc>
          <w:tcPr>
            <w:tcW w:type="dxa" w:w="972"/>
            <w:tcMar>
              <w:top w:type="dxa" w:w="50"/>
              <w:left w:type="dxa" w:w="80"/>
              <w:bottom w:type="dxa" w:w="50"/>
              <w:right w:type="dxa" w:w="80"/>
            </w:tcMar>
            <w:vAlign w:val="center"/>
          </w:tcPr>
          <w:p>
            <w:pPr>
              <w:keepNext w:val="false"/>
              <w:spacing w:after="20" w:line="240"/>
              <w:jc w:val="center"/>
            </w:pPr>
          </w:p>
        </w:tc>
        <w:tc>
          <w:tcPr>
            <w:tcW w:type="dxa" w:w="972"/>
            <w:tcMar>
              <w:top w:type="dxa" w:w="50"/>
              <w:left w:type="dxa" w:w="80"/>
              <w:bottom w:type="dxa" w:w="50"/>
              <w:right w:type="dxa" w:w="80"/>
            </w:tcMar>
            <w:vAlign w:val="center"/>
          </w:tcPr>
          <w:p>
            <w:pPr>
              <w:keepNext w:val="false"/>
              <w:spacing w:after="20" w:line="240"/>
              <w:jc w:val="center"/>
            </w:pPr>
          </w:p>
        </w:tc>
      </w:tr>
      <w:tr>
        <w:trPr>
          <w:cantSplit/>
        </w:trPr>
        <w:tc>
          <w:tcPr>
            <w:tcW w:type="dxa" w:w="4140"/>
            <w:tcMar>
              <w:top w:type="dxa" w:w="50"/>
              <w:left w:type="dxa" w:w="80"/>
              <w:bottom w:type="dxa" w:w="50"/>
              <w:right w:type="dxa" w:w="80"/>
            </w:tcMar>
            <w:vAlign w:val="center"/>
          </w:tcPr>
          <w:p>
            <w:pPr>
              <w:keepNext w:val="false"/>
              <w:spacing w:after="20" w:line="240"/>
              <w:jc w:val="left"/>
            </w:pPr>
            <w:r>
              <w:rPr>
                <w:sz w:val="17"/>
                <w:szCs w:val="17"/>
              </w:rPr>
              <w:t xml:space="preserve">Cap. 7: OE4 – Diseño de lineamientos</w:t>
            </w:r>
          </w:p>
        </w:tc>
        <w:tc>
          <w:tcPr>
            <w:tcW w:type="dxa" w:w="972"/>
            <w:tcMar>
              <w:top w:type="dxa" w:w="50"/>
              <w:left w:type="dxa" w:w="80"/>
              <w:bottom w:type="dxa" w:w="50"/>
              <w:right w:type="dxa" w:w="80"/>
            </w:tcMar>
            <w:vAlign w:val="center"/>
          </w:tcPr>
          <w:p>
            <w:pPr>
              <w:keepNext w:val="false"/>
              <w:spacing w:after="20" w:line="240"/>
              <w:jc w:val="center"/>
            </w:pPr>
          </w:p>
        </w:tc>
        <w:tc>
          <w:tcPr>
            <w:tcW w:type="dxa" w:w="972"/>
            <w:shd w:fill="2E75B6" w:color="auto" w:val="clear"/>
            <w:tcMar>
              <w:top w:type="dxa" w:w="50"/>
              <w:left w:type="dxa" w:w="80"/>
              <w:bottom w:type="dxa" w:w="50"/>
              <w:right w:type="dxa" w:w="80"/>
            </w:tcMar>
            <w:vAlign w:val="center"/>
          </w:tcPr>
          <w:p>
            <w:pPr>
              <w:keepNext w:val="false"/>
              <w:spacing w:after="20" w:line="240"/>
              <w:jc w:val="center"/>
            </w:pPr>
            <w:r>
              <w:rPr>
                <w:color w:val="2E75B6"/>
                <w:sz w:val="17"/>
                <w:szCs w:val="17"/>
              </w:rPr>
              <w:t xml:space="preserve">■</w:t>
            </w:r>
          </w:p>
        </w:tc>
        <w:tc>
          <w:tcPr>
            <w:tcW w:type="dxa" w:w="972"/>
            <w:shd w:fill="2E75B6" w:color="auto" w:val="clear"/>
            <w:tcMar>
              <w:top w:type="dxa" w:w="50"/>
              <w:left w:type="dxa" w:w="80"/>
              <w:bottom w:type="dxa" w:w="50"/>
              <w:right w:type="dxa" w:w="80"/>
            </w:tcMar>
            <w:vAlign w:val="center"/>
          </w:tcPr>
          <w:p>
            <w:pPr>
              <w:keepNext w:val="false"/>
              <w:spacing w:after="20" w:line="240"/>
              <w:jc w:val="center"/>
            </w:pPr>
            <w:r>
              <w:rPr>
                <w:color w:val="2E75B6"/>
                <w:sz w:val="17"/>
                <w:szCs w:val="17"/>
              </w:rPr>
              <w:t xml:space="preserve">■</w:t>
            </w:r>
          </w:p>
        </w:tc>
        <w:tc>
          <w:tcPr>
            <w:tcW w:type="dxa" w:w="972"/>
            <w:tcMar>
              <w:top w:type="dxa" w:w="50"/>
              <w:left w:type="dxa" w:w="80"/>
              <w:bottom w:type="dxa" w:w="50"/>
              <w:right w:type="dxa" w:w="80"/>
            </w:tcMar>
            <w:vAlign w:val="center"/>
          </w:tcPr>
          <w:p>
            <w:pPr>
              <w:keepNext w:val="false"/>
              <w:spacing w:after="20" w:line="240"/>
              <w:jc w:val="center"/>
            </w:pPr>
          </w:p>
        </w:tc>
        <w:tc>
          <w:tcPr>
            <w:tcW w:type="dxa" w:w="972"/>
            <w:tcMar>
              <w:top w:type="dxa" w:w="50"/>
              <w:left w:type="dxa" w:w="80"/>
              <w:bottom w:type="dxa" w:w="50"/>
              <w:right w:type="dxa" w:w="80"/>
            </w:tcMar>
            <w:vAlign w:val="center"/>
          </w:tcPr>
          <w:p>
            <w:pPr>
              <w:keepNext w:val="false"/>
              <w:spacing w:after="20" w:line="240"/>
              <w:jc w:val="center"/>
            </w:pPr>
          </w:p>
        </w:tc>
      </w:tr>
      <w:tr>
        <w:trPr>
          <w:cantSplit/>
        </w:trPr>
        <w:tc>
          <w:tcPr>
            <w:tcW w:type="dxa" w:w="4140"/>
            <w:tcMar>
              <w:top w:type="dxa" w:w="50"/>
              <w:left w:type="dxa" w:w="80"/>
              <w:bottom w:type="dxa" w:w="50"/>
              <w:right w:type="dxa" w:w="80"/>
            </w:tcMar>
            <w:vAlign w:val="center"/>
          </w:tcPr>
          <w:p>
            <w:pPr>
              <w:keepNext w:val="false"/>
              <w:spacing w:after="20" w:line="240"/>
              <w:jc w:val="left"/>
            </w:pPr>
            <w:r>
              <w:rPr>
                <w:sz w:val="17"/>
                <w:szCs w:val="17"/>
              </w:rPr>
              <w:t xml:space="preserve">Cap. 8: OE5 – Delphi (preparación y rondas)</w:t>
            </w:r>
          </w:p>
        </w:tc>
        <w:tc>
          <w:tcPr>
            <w:tcW w:type="dxa" w:w="972"/>
            <w:tcMar>
              <w:top w:type="dxa" w:w="50"/>
              <w:left w:type="dxa" w:w="80"/>
              <w:bottom w:type="dxa" w:w="50"/>
              <w:right w:type="dxa" w:w="80"/>
            </w:tcMar>
            <w:vAlign w:val="center"/>
          </w:tcPr>
          <w:p>
            <w:pPr>
              <w:keepNext w:val="false"/>
              <w:spacing w:after="20" w:line="240"/>
              <w:jc w:val="center"/>
            </w:pPr>
          </w:p>
        </w:tc>
        <w:tc>
          <w:tcPr>
            <w:tcW w:type="dxa" w:w="972"/>
            <w:tcMar>
              <w:top w:type="dxa" w:w="50"/>
              <w:left w:type="dxa" w:w="80"/>
              <w:bottom w:type="dxa" w:w="50"/>
              <w:right w:type="dxa" w:w="80"/>
            </w:tcMar>
            <w:vAlign w:val="center"/>
          </w:tcPr>
          <w:p>
            <w:pPr>
              <w:keepNext w:val="false"/>
              <w:spacing w:after="20" w:line="240"/>
              <w:jc w:val="center"/>
            </w:pPr>
          </w:p>
        </w:tc>
        <w:tc>
          <w:tcPr>
            <w:tcW w:type="dxa" w:w="972"/>
            <w:shd w:fill="2E75B6" w:color="auto" w:val="clear"/>
            <w:tcMar>
              <w:top w:type="dxa" w:w="50"/>
              <w:left w:type="dxa" w:w="80"/>
              <w:bottom w:type="dxa" w:w="50"/>
              <w:right w:type="dxa" w:w="80"/>
            </w:tcMar>
            <w:vAlign w:val="center"/>
          </w:tcPr>
          <w:p>
            <w:pPr>
              <w:keepNext w:val="false"/>
              <w:spacing w:after="20" w:line="240"/>
              <w:jc w:val="center"/>
            </w:pPr>
            <w:r>
              <w:rPr>
                <w:color w:val="2E75B6"/>
                <w:sz w:val="17"/>
                <w:szCs w:val="17"/>
              </w:rPr>
              <w:t xml:space="preserve">■</w:t>
            </w:r>
          </w:p>
        </w:tc>
        <w:tc>
          <w:tcPr>
            <w:tcW w:type="dxa" w:w="972"/>
            <w:shd w:fill="2E75B6" w:color="auto" w:val="clear"/>
            <w:tcMar>
              <w:top w:type="dxa" w:w="50"/>
              <w:left w:type="dxa" w:w="80"/>
              <w:bottom w:type="dxa" w:w="50"/>
              <w:right w:type="dxa" w:w="80"/>
            </w:tcMar>
            <w:vAlign w:val="center"/>
          </w:tcPr>
          <w:p>
            <w:pPr>
              <w:keepNext w:val="false"/>
              <w:spacing w:after="20" w:line="240"/>
              <w:jc w:val="center"/>
            </w:pPr>
            <w:r>
              <w:rPr>
                <w:color w:val="2E75B6"/>
                <w:sz w:val="17"/>
                <w:szCs w:val="17"/>
              </w:rPr>
              <w:t xml:space="preserve">■</w:t>
            </w:r>
          </w:p>
        </w:tc>
        <w:tc>
          <w:tcPr>
            <w:tcW w:type="dxa" w:w="972"/>
            <w:tcMar>
              <w:top w:type="dxa" w:w="50"/>
              <w:left w:type="dxa" w:w="80"/>
              <w:bottom w:type="dxa" w:w="50"/>
              <w:right w:type="dxa" w:w="80"/>
            </w:tcMar>
            <w:vAlign w:val="center"/>
          </w:tcPr>
          <w:p>
            <w:pPr>
              <w:keepNext w:val="false"/>
              <w:spacing w:after="20" w:line="240"/>
              <w:jc w:val="center"/>
            </w:pPr>
          </w:p>
        </w:tc>
      </w:tr>
      <w:tr>
        <w:trPr>
          <w:cantSplit/>
        </w:trPr>
        <w:tc>
          <w:tcPr>
            <w:tcW w:type="dxa" w:w="4140"/>
            <w:tcMar>
              <w:top w:type="dxa" w:w="50"/>
              <w:left w:type="dxa" w:w="80"/>
              <w:bottom w:type="dxa" w:w="50"/>
              <w:right w:type="dxa" w:w="80"/>
            </w:tcMar>
            <w:vAlign w:val="center"/>
          </w:tcPr>
          <w:p>
            <w:pPr>
              <w:keepNext w:val="false"/>
              <w:spacing w:after="20" w:line="240"/>
              <w:jc w:val="left"/>
            </w:pPr>
            <w:r>
              <w:rPr>
                <w:sz w:val="17"/>
                <w:szCs w:val="17"/>
              </w:rPr>
              <w:t xml:space="preserve">Cap. 9: Evaluación de desempeño esperado</w:t>
            </w:r>
          </w:p>
        </w:tc>
        <w:tc>
          <w:tcPr>
            <w:tcW w:type="dxa" w:w="972"/>
            <w:tcMar>
              <w:top w:type="dxa" w:w="50"/>
              <w:left w:type="dxa" w:w="80"/>
              <w:bottom w:type="dxa" w:w="50"/>
              <w:right w:type="dxa" w:w="80"/>
            </w:tcMar>
            <w:vAlign w:val="center"/>
          </w:tcPr>
          <w:p>
            <w:pPr>
              <w:keepNext w:val="false"/>
              <w:spacing w:after="20" w:line="240"/>
              <w:jc w:val="center"/>
            </w:pPr>
          </w:p>
        </w:tc>
        <w:tc>
          <w:tcPr>
            <w:tcW w:type="dxa" w:w="972"/>
            <w:tcMar>
              <w:top w:type="dxa" w:w="50"/>
              <w:left w:type="dxa" w:w="80"/>
              <w:bottom w:type="dxa" w:w="50"/>
              <w:right w:type="dxa" w:w="80"/>
            </w:tcMar>
            <w:vAlign w:val="center"/>
          </w:tcPr>
          <w:p>
            <w:pPr>
              <w:keepNext w:val="false"/>
              <w:spacing w:after="20" w:line="240"/>
              <w:jc w:val="center"/>
            </w:pPr>
          </w:p>
        </w:tc>
        <w:tc>
          <w:tcPr>
            <w:tcW w:type="dxa" w:w="972"/>
            <w:tcMar>
              <w:top w:type="dxa" w:w="50"/>
              <w:left w:type="dxa" w:w="80"/>
              <w:bottom w:type="dxa" w:w="50"/>
              <w:right w:type="dxa" w:w="80"/>
            </w:tcMar>
            <w:vAlign w:val="center"/>
          </w:tcPr>
          <w:p>
            <w:pPr>
              <w:keepNext w:val="false"/>
              <w:spacing w:after="20" w:line="240"/>
              <w:jc w:val="center"/>
            </w:pPr>
          </w:p>
        </w:tc>
        <w:tc>
          <w:tcPr>
            <w:tcW w:type="dxa" w:w="972"/>
            <w:shd w:fill="2E75B6" w:color="auto" w:val="clear"/>
            <w:tcMar>
              <w:top w:type="dxa" w:w="50"/>
              <w:left w:type="dxa" w:w="80"/>
              <w:bottom w:type="dxa" w:w="50"/>
              <w:right w:type="dxa" w:w="80"/>
            </w:tcMar>
            <w:vAlign w:val="center"/>
          </w:tcPr>
          <w:p>
            <w:pPr>
              <w:keepNext w:val="false"/>
              <w:spacing w:after="20" w:line="240"/>
              <w:jc w:val="center"/>
            </w:pPr>
            <w:r>
              <w:rPr>
                <w:color w:val="2E75B6"/>
                <w:sz w:val="17"/>
                <w:szCs w:val="17"/>
              </w:rPr>
              <w:t xml:space="preserve">■</w:t>
            </w:r>
          </w:p>
        </w:tc>
        <w:tc>
          <w:tcPr>
            <w:tcW w:type="dxa" w:w="972"/>
            <w:shd w:fill="2E75B6" w:color="auto" w:val="clear"/>
            <w:tcMar>
              <w:top w:type="dxa" w:w="50"/>
              <w:left w:type="dxa" w:w="80"/>
              <w:bottom w:type="dxa" w:w="50"/>
              <w:right w:type="dxa" w:w="80"/>
            </w:tcMar>
            <w:vAlign w:val="center"/>
          </w:tcPr>
          <w:p>
            <w:pPr>
              <w:keepNext w:val="false"/>
              <w:spacing w:after="20" w:line="240"/>
              <w:jc w:val="center"/>
            </w:pPr>
            <w:r>
              <w:rPr>
                <w:color w:val="2E75B6"/>
                <w:sz w:val="17"/>
                <w:szCs w:val="17"/>
              </w:rPr>
              <w:t xml:space="preserve">■</w:t>
            </w:r>
          </w:p>
        </w:tc>
      </w:tr>
      <w:tr>
        <w:trPr>
          <w:cantSplit/>
        </w:trPr>
        <w:tc>
          <w:tcPr>
            <w:tcW w:type="dxa" w:w="4140"/>
            <w:tcMar>
              <w:top w:type="dxa" w:w="50"/>
              <w:left w:type="dxa" w:w="80"/>
              <w:bottom w:type="dxa" w:w="50"/>
              <w:right w:type="dxa" w:w="80"/>
            </w:tcMar>
            <w:vAlign w:val="center"/>
          </w:tcPr>
          <w:p>
            <w:pPr>
              <w:keepNext w:val="false"/>
              <w:spacing w:after="20" w:line="240"/>
              <w:jc w:val="left"/>
            </w:pPr>
            <w:r>
              <w:rPr>
                <w:sz w:val="17"/>
                <w:szCs w:val="17"/>
              </w:rPr>
              <w:t xml:space="preserve">Cap. 10: Conclusiones y redacción final</w:t>
            </w:r>
          </w:p>
        </w:tc>
        <w:tc>
          <w:tcPr>
            <w:tcW w:type="dxa" w:w="972"/>
            <w:tcMar>
              <w:top w:type="dxa" w:w="50"/>
              <w:left w:type="dxa" w:w="80"/>
              <w:bottom w:type="dxa" w:w="50"/>
              <w:right w:type="dxa" w:w="80"/>
            </w:tcMar>
            <w:vAlign w:val="center"/>
          </w:tcPr>
          <w:p>
            <w:pPr>
              <w:keepNext w:val="false"/>
              <w:spacing w:after="20" w:line="240"/>
              <w:jc w:val="center"/>
            </w:pPr>
          </w:p>
        </w:tc>
        <w:tc>
          <w:tcPr>
            <w:tcW w:type="dxa" w:w="972"/>
            <w:tcMar>
              <w:top w:type="dxa" w:w="50"/>
              <w:left w:type="dxa" w:w="80"/>
              <w:bottom w:type="dxa" w:w="50"/>
              <w:right w:type="dxa" w:w="80"/>
            </w:tcMar>
            <w:vAlign w:val="center"/>
          </w:tcPr>
          <w:p>
            <w:pPr>
              <w:keepNext w:val="false"/>
              <w:spacing w:after="20" w:line="240"/>
              <w:jc w:val="center"/>
            </w:pPr>
          </w:p>
        </w:tc>
        <w:tc>
          <w:tcPr>
            <w:tcW w:type="dxa" w:w="972"/>
            <w:tcMar>
              <w:top w:type="dxa" w:w="50"/>
              <w:left w:type="dxa" w:w="80"/>
              <w:bottom w:type="dxa" w:w="50"/>
              <w:right w:type="dxa" w:w="80"/>
            </w:tcMar>
            <w:vAlign w:val="center"/>
          </w:tcPr>
          <w:p>
            <w:pPr>
              <w:keepNext w:val="false"/>
              <w:spacing w:after="20" w:line="240"/>
              <w:jc w:val="center"/>
            </w:pPr>
          </w:p>
        </w:tc>
        <w:tc>
          <w:tcPr>
            <w:tcW w:type="dxa" w:w="972"/>
            <w:shd w:fill="2E75B6" w:color="auto" w:val="clear"/>
            <w:tcMar>
              <w:top w:type="dxa" w:w="50"/>
              <w:left w:type="dxa" w:w="80"/>
              <w:bottom w:type="dxa" w:w="50"/>
              <w:right w:type="dxa" w:w="80"/>
            </w:tcMar>
            <w:vAlign w:val="center"/>
          </w:tcPr>
          <w:p>
            <w:pPr>
              <w:keepNext w:val="false"/>
              <w:spacing w:after="20" w:line="240"/>
              <w:jc w:val="center"/>
            </w:pPr>
            <w:r>
              <w:rPr>
                <w:color w:val="2E75B6"/>
                <w:sz w:val="17"/>
                <w:szCs w:val="17"/>
              </w:rPr>
              <w:t xml:space="preserve">■</w:t>
            </w:r>
          </w:p>
        </w:tc>
        <w:tc>
          <w:tcPr>
            <w:tcW w:type="dxa" w:w="972"/>
            <w:shd w:fill="2E75B6" w:color="auto" w:val="clear"/>
            <w:tcMar>
              <w:top w:type="dxa" w:w="50"/>
              <w:left w:type="dxa" w:w="80"/>
              <w:bottom w:type="dxa" w:w="50"/>
              <w:right w:type="dxa" w:w="80"/>
            </w:tcMar>
            <w:vAlign w:val="center"/>
          </w:tcPr>
          <w:p>
            <w:pPr>
              <w:keepNext w:val="false"/>
              <w:spacing w:after="20" w:line="240"/>
              <w:jc w:val="center"/>
            </w:pPr>
            <w:r>
              <w:rPr>
                <w:color w:val="2E75B6"/>
                <w:sz w:val="17"/>
                <w:szCs w:val="17"/>
              </w:rPr>
              <w:t xml:space="preserve">■</w:t>
            </w:r>
          </w:p>
        </w:tc>
      </w:tr>
      <w:tr>
        <w:trPr>
          <w:cantSplit/>
        </w:trPr>
        <w:tc>
          <w:tcPr>
            <w:tcW w:type="dxa" w:w="4140"/>
            <w:tcMar>
              <w:top w:type="dxa" w:w="50"/>
              <w:left w:type="dxa" w:w="80"/>
              <w:bottom w:type="dxa" w:w="50"/>
              <w:right w:type="dxa" w:w="80"/>
            </w:tcMar>
            <w:vAlign w:val="center"/>
          </w:tcPr>
          <w:p>
            <w:pPr>
              <w:keepNext w:val="false"/>
              <w:spacing w:after="20" w:line="240"/>
              <w:jc w:val="left"/>
            </w:pPr>
            <w:r>
              <w:rPr>
                <w:sz w:val="17"/>
                <w:szCs w:val="17"/>
              </w:rPr>
              <w:t xml:space="preserve">Revisión con profesora guía y entrega</w:t>
            </w:r>
          </w:p>
        </w:tc>
        <w:tc>
          <w:tcPr>
            <w:tcW w:type="dxa" w:w="972"/>
            <w:tcMar>
              <w:top w:type="dxa" w:w="50"/>
              <w:left w:type="dxa" w:w="80"/>
              <w:bottom w:type="dxa" w:w="50"/>
              <w:right w:type="dxa" w:w="80"/>
            </w:tcMar>
            <w:vAlign w:val="center"/>
          </w:tcPr>
          <w:p>
            <w:pPr>
              <w:keepNext w:val="false"/>
              <w:spacing w:after="20" w:line="240"/>
              <w:jc w:val="center"/>
            </w:pPr>
          </w:p>
        </w:tc>
        <w:tc>
          <w:tcPr>
            <w:tcW w:type="dxa" w:w="972"/>
            <w:tcMar>
              <w:top w:type="dxa" w:w="50"/>
              <w:left w:type="dxa" w:w="80"/>
              <w:bottom w:type="dxa" w:w="50"/>
              <w:right w:type="dxa" w:w="80"/>
            </w:tcMar>
            <w:vAlign w:val="center"/>
          </w:tcPr>
          <w:p>
            <w:pPr>
              <w:keepNext w:val="false"/>
              <w:spacing w:after="20" w:line="240"/>
              <w:jc w:val="center"/>
            </w:pPr>
          </w:p>
        </w:tc>
        <w:tc>
          <w:tcPr>
            <w:tcW w:type="dxa" w:w="972"/>
            <w:tcMar>
              <w:top w:type="dxa" w:w="50"/>
              <w:left w:type="dxa" w:w="80"/>
              <w:bottom w:type="dxa" w:w="50"/>
              <w:right w:type="dxa" w:w="80"/>
            </w:tcMar>
            <w:vAlign w:val="center"/>
          </w:tcPr>
          <w:p>
            <w:pPr>
              <w:keepNext w:val="false"/>
              <w:spacing w:after="20" w:line="240"/>
              <w:jc w:val="center"/>
            </w:pPr>
          </w:p>
        </w:tc>
        <w:tc>
          <w:tcPr>
            <w:tcW w:type="dxa" w:w="972"/>
            <w:tcMar>
              <w:top w:type="dxa" w:w="50"/>
              <w:left w:type="dxa" w:w="80"/>
              <w:bottom w:type="dxa" w:w="50"/>
              <w:right w:type="dxa" w:w="80"/>
            </w:tcMar>
            <w:vAlign w:val="center"/>
          </w:tcPr>
          <w:p>
            <w:pPr>
              <w:keepNext w:val="false"/>
              <w:spacing w:after="20" w:line="240"/>
              <w:jc w:val="center"/>
            </w:pPr>
          </w:p>
        </w:tc>
        <w:tc>
          <w:tcPr>
            <w:tcW w:type="dxa" w:w="972"/>
            <w:shd w:fill="2E75B6" w:color="auto" w:val="clear"/>
            <w:tcMar>
              <w:top w:type="dxa" w:w="50"/>
              <w:left w:type="dxa" w:w="80"/>
              <w:bottom w:type="dxa" w:w="50"/>
              <w:right w:type="dxa" w:w="80"/>
            </w:tcMar>
            <w:vAlign w:val="center"/>
          </w:tcPr>
          <w:p>
            <w:pPr>
              <w:keepNext w:val="false"/>
              <w:spacing w:after="20" w:line="240"/>
              <w:jc w:val="center"/>
            </w:pPr>
            <w:r>
              <w:rPr>
                <w:color w:val="2E75B6"/>
                <w:sz w:val="17"/>
                <w:szCs w:val="17"/>
              </w:rPr>
              <w:t xml:space="preserve">■</w:t>
            </w:r>
          </w:p>
        </w:tc>
      </w:tr>
    </w:tbl>
    <w:p>
      <w:pPr>
        <w:spacing w:after="200" w:before="60"/>
        <w:jc w:val="center"/>
      </w:pPr>
      <w:r>
        <w:rPr>
          <w:i/>
          <w:iCs/>
          <w:sz w:val="17"/>
          <w:szCs w:val="17"/>
        </w:rPr>
        <w:t xml:space="preserve">Fuente: Elaboración propia.</w:t>
      </w:r>
    </w:p>
    <w:p>
      <w:pPr>
        <w:pStyle w:val="Heading1"/>
        <w:pageBreakBefore/>
      </w:pPr>
      <w:r>
        <w:t xml:space="preserve">CAPÍTULO 7. DESARROLLO DEL OE4: DISEÑO DE LINEAMIENTOS ESTRATÉGICOS (PENDIENTE)</w:t>
      </w:r>
    </w:p>
    <w:p>
      <w:pPr>
        <w:spacing w:after="100" w:line="300"/>
        <w:jc w:val="both"/>
      </w:pPr>
      <w:r>
        <w:rPr>
          <w:i/>
          <w:iCs/>
        </w:rPr>
        <w:t xml:space="preserve">Este capítulo se desarrollará en la etapa siguiente. Contenido previsto:</w:t>
      </w:r>
    </w:p>
    <w:p>
      <w:pPr>
        <w:pStyle w:val="ListParagraph"/>
        <w:numPr>
          <w:ilvl w:val="0"/>
          <w:numId w:val="2"/>
        </w:numPr>
        <w:spacing w:after="80" w:line="290"/>
        <w:jc w:val="both"/>
      </w:pPr>
      <w:r>
        <w:rPr>
          <w:b/>
          <w:bCs/>
        </w:rPr>
        <w:t xml:space="preserve">7.1 Integración del diagnóstico:</w:t>
      </w:r>
      <w:r>
        <w:t xml:space="preserve"> síntesis de OE1 a OE3 (capacidades, barreras priorizadas, FCE, mecanismos con decisión de la matriz de transferibilidad), ajustada con los resultados de las entrevistas.</w:t>
      </w:r>
    </w:p>
    <w:p>
      <w:pPr>
        <w:pStyle w:val="ListParagraph"/>
        <w:numPr>
          <w:ilvl w:val="0"/>
          <w:numId w:val="2"/>
        </w:numPr>
        <w:spacing w:after="80" w:line="290"/>
        <w:jc w:val="both"/>
      </w:pPr>
      <w:r>
        <w:rPr>
          <w:b/>
          <w:bCs/>
        </w:rPr>
        <w:t xml:space="preserve">7.2 Análisis estratégico:</w:t>
      </w:r>
      <w:r>
        <w:t xml:space="preserve"> matriz FODA (Weihrich, 1982) y mapa de stakeholders (Mitchell et al., 1997), con roles, intereses e influencia de FACh, Defensa, Minciencia, Subtel, academia, industria y cooperación internacional.</w:t>
      </w:r>
    </w:p>
    <w:p>
      <w:pPr>
        <w:pStyle w:val="ListParagraph"/>
        <w:numPr>
          <w:ilvl w:val="0"/>
          <w:numId w:val="2"/>
        </w:numPr>
        <w:spacing w:after="80" w:line="290"/>
        <w:jc w:val="both"/>
      </w:pPr>
      <w:r>
        <w:rPr>
          <w:b/>
          <w:bCs/>
        </w:rPr>
        <w:t xml:space="preserve">7.3 Criterios de diseño y priorización:</w:t>
      </w:r>
      <w:r>
        <w:t xml:space="preserve"> derivación de cada lineamiento desde un problema identificado (barrera/FCE), con criterios de impacto, factibilidad, costo institucional y urgencia.</w:t>
      </w:r>
    </w:p>
    <w:p>
      <w:pPr>
        <w:pStyle w:val="ListParagraph"/>
        <w:numPr>
          <w:ilvl w:val="0"/>
          <w:numId w:val="2"/>
        </w:numPr>
        <w:spacing w:after="80" w:line="290"/>
        <w:jc w:val="both"/>
      </w:pPr>
      <w:r>
        <w:rPr>
          <w:b/>
          <w:bCs/>
        </w:rPr>
        <w:t xml:space="preserve">7.4 Fichas estratégicas:</w:t>
      </w:r>
      <w:r>
        <w:t xml:space="preserve"> una por lineamiento, con problema que resuelve, FCE y mecanismo asociado, objetivo, acciones, responsables potenciales, recursos y requerimientos, condiciones de implementación, plazo e indicadores de seguimiento.</w:t>
      </w:r>
    </w:p>
    <w:p>
      <w:pPr>
        <w:pStyle w:val="ListParagraph"/>
        <w:numPr>
          <w:ilvl w:val="0"/>
          <w:numId w:val="2"/>
        </w:numPr>
        <w:spacing w:after="80" w:line="290"/>
        <w:jc w:val="both"/>
      </w:pPr>
      <w:r>
        <w:rPr>
          <w:b/>
          <w:bCs/>
        </w:rPr>
        <w:t xml:space="preserve">7.5 Matriz de priorización</w:t>
      </w:r>
      <w:r>
        <w:t xml:space="preserve"> de los lineamientos y análisis de dependencias entre ellos.</w:t>
      </w:r>
    </w:p>
    <w:p>
      <w:pPr>
        <w:pStyle w:val="ListParagraph"/>
        <w:numPr>
          <w:ilvl w:val="0"/>
          <w:numId w:val="2"/>
        </w:numPr>
        <w:spacing w:after="80" w:line="290"/>
        <w:jc w:val="both"/>
      </w:pPr>
      <w:r>
        <w:rPr>
          <w:b/>
          <w:bCs/>
        </w:rPr>
        <w:t xml:space="preserve">7.6 Hoja de ruta</w:t>
      </w:r>
      <w:r>
        <w:t xml:space="preserve"> por fases (corto, mediano y largo plazo), alineada con la secuencia de maduración de los mecanismos (acceso → ordenamiento del ecosistema → generación de industria).</w:t>
      </w:r>
    </w:p>
    <w:p>
      <w:pPr>
        <w:pStyle w:val="ListParagraph"/>
        <w:numPr>
          <w:ilvl w:val="0"/>
          <w:numId w:val="2"/>
        </w:numPr>
        <w:spacing w:after="80" w:line="290"/>
        <w:jc w:val="both"/>
      </w:pPr>
      <w:r>
        <w:rPr>
          <w:b/>
          <w:bCs/>
        </w:rPr>
        <w:t xml:space="preserve">7.7 Riesgos y condiciones de implementación:</w:t>
      </w:r>
      <w:r>
        <w:t xml:space="preserve"> riesgos políticos, presupuestarios, de seguridad y de absorción, con medidas de mitigación.</w:t>
      </w:r>
    </w:p>
    <w:p>
      <w:pPr>
        <w:pStyle w:val="Heading1"/>
        <w:pageBreakBefore/>
      </w:pPr>
      <w:r>
        <w:t xml:space="preserve">CAPÍTULO 8. DESARROLLO DEL OE5: VALIDACIÓN CON EXPERTOS (PENDIENTE)</w:t>
      </w:r>
    </w:p>
    <w:p>
      <w:pPr>
        <w:spacing w:after="100" w:line="300"/>
        <w:jc w:val="both"/>
      </w:pPr>
      <w:r>
        <w:rPr>
          <w:i/>
          <w:iCs/>
        </w:rPr>
        <w:t xml:space="preserve">Este capítulo se desarrollará en la etapa siguiente. Contenido previsto:</w:t>
      </w:r>
    </w:p>
    <w:p>
      <w:pPr>
        <w:pStyle w:val="ListParagraph"/>
        <w:numPr>
          <w:ilvl w:val="0"/>
          <w:numId w:val="2"/>
        </w:numPr>
        <w:spacing w:after="80" w:line="290"/>
        <w:jc w:val="both"/>
      </w:pPr>
      <w:r>
        <w:rPr>
          <w:b/>
          <w:bCs/>
        </w:rPr>
        <w:t xml:space="preserve">8.1 Qué se valida y qué no:</w:t>
      </w:r>
      <w:r>
        <w:t xml:space="preserve"> pertinencia, coherencia y factibilidad de los lineamientos; no se valida su impacto real sobre el escalamiento.</w:t>
      </w:r>
    </w:p>
    <w:p>
      <w:pPr>
        <w:pStyle w:val="ListParagraph"/>
        <w:numPr>
          <w:ilvl w:val="0"/>
          <w:numId w:val="2"/>
        </w:numPr>
        <w:spacing w:after="80" w:line="290"/>
        <w:jc w:val="both"/>
      </w:pPr>
      <w:r>
        <w:rPr>
          <w:b/>
          <w:bCs/>
        </w:rPr>
        <w:t xml:space="preserve">8.2 Justificación y diseño del método Delphi</w:t>
      </w:r>
      <w:r>
        <w:t xml:space="preserve"> (Linstone y Turoff, 1975; Okoli y Pawlowski, 2004): carácter anónimo, iterativo y con retroalimentación controlada.</w:t>
      </w:r>
    </w:p>
    <w:p>
      <w:pPr>
        <w:pStyle w:val="ListParagraph"/>
        <w:numPr>
          <w:ilvl w:val="0"/>
          <w:numId w:val="2"/>
        </w:numPr>
        <w:spacing w:after="80" w:line="290"/>
        <w:jc w:val="both"/>
      </w:pPr>
      <w:r>
        <w:rPr>
          <w:b/>
          <w:bCs/>
        </w:rPr>
        <w:t xml:space="preserve">8.3 Panel de expertos:</w:t>
      </w:r>
      <w:r>
        <w:t xml:space="preserve"> perfiles (Estado-Defensa, Estado civil, academia, industria), tamaño tentativo de 8 a 12 participantes y criterios de selección (experiencia mínima en política espacial, transferencia tecnológica o ingeniería espacial; representatividad de sectores).</w:t>
      </w:r>
    </w:p>
    <w:p>
      <w:pPr>
        <w:pStyle w:val="ListParagraph"/>
        <w:numPr>
          <w:ilvl w:val="0"/>
          <w:numId w:val="2"/>
        </w:numPr>
        <w:spacing w:after="80" w:line="290"/>
        <w:jc w:val="both"/>
      </w:pPr>
      <w:r>
        <w:rPr>
          <w:b/>
          <w:bCs/>
        </w:rPr>
        <w:t xml:space="preserve">8.4 Instrumentos y escalas:</w:t>
      </w:r>
      <w:r>
        <w:t xml:space="preserve"> cuestionarios por ronda, escala Likert de 1 a 5 para pertinencia, coherencia y factibilidad, y preguntas abiertas para fundamentar discrepancias.</w:t>
      </w:r>
    </w:p>
    <w:p>
      <w:pPr>
        <w:pStyle w:val="ListParagraph"/>
        <w:numPr>
          <w:ilvl w:val="0"/>
          <w:numId w:val="2"/>
        </w:numPr>
        <w:spacing w:after="80" w:line="290"/>
        <w:jc w:val="both"/>
      </w:pPr>
      <w:r>
        <w:rPr>
          <w:b/>
          <w:bCs/>
        </w:rPr>
        <w:t xml:space="preserve">8.5 Rondas y criterio de consenso:</w:t>
      </w:r>
      <w:r>
        <w:t xml:space="preserve"> 2 a 3 rondas; consenso tentativo definido por mediana igual o superior a 4 y acuerdo de al menos 70-75 % de los panelistas en las categorías 4-5 (Diamond et al., 2014), a fijar antes de la primera ronda.</w:t>
      </w:r>
    </w:p>
    <w:p>
      <w:pPr>
        <w:pStyle w:val="ListParagraph"/>
        <w:numPr>
          <w:ilvl w:val="0"/>
          <w:numId w:val="2"/>
        </w:numPr>
        <w:spacing w:after="80" w:line="290"/>
        <w:jc w:val="both"/>
      </w:pPr>
      <w:r>
        <w:rPr>
          <w:b/>
          <w:bCs/>
        </w:rPr>
        <w:t xml:space="preserve">8.6 Análisis de resultados:</w:t>
      </w:r>
      <w:r>
        <w:t xml:space="preserve"> estadísticos descriptivos, análisis de discrepancias y estabilidad entre rondas.</w:t>
      </w:r>
    </w:p>
    <w:p>
      <w:pPr>
        <w:pStyle w:val="ListParagraph"/>
        <w:numPr>
          <w:ilvl w:val="0"/>
          <w:numId w:val="2"/>
        </w:numPr>
        <w:spacing w:after="80" w:line="290"/>
        <w:jc w:val="both"/>
      </w:pPr>
      <w:r>
        <w:rPr>
          <w:b/>
          <w:bCs/>
        </w:rPr>
        <w:t xml:space="preserve">8.7 Ajustes a la propuesta:</w:t>
      </w:r>
      <w:r>
        <w:t xml:space="preserve"> modificaciones justificadas a partir de la validación y registro de lo que no alcanzó consenso.</w:t>
      </w:r>
    </w:p>
    <w:p>
      <w:pPr>
        <w:pStyle w:val="Heading1"/>
        <w:pageBreakBefore/>
      </w:pPr>
      <w:r>
        <w:t xml:space="preserve">CAPÍTULO 9. EVALUACIÓN DEL DESEMPEÑO ESPERADO (PENDIENTE)</w:t>
      </w:r>
    </w:p>
    <w:p>
      <w:pPr>
        <w:spacing w:after="100" w:line="300"/>
        <w:jc w:val="both"/>
      </w:pPr>
      <w:r>
        <w:rPr>
          <w:i/>
          <w:iCs/>
        </w:rPr>
        <w:t xml:space="preserve">Este capítulo se desarrollará en la etapa siguiente. Contenido previsto:</w:t>
      </w:r>
    </w:p>
    <w:p>
      <w:pPr>
        <w:pStyle w:val="ListParagraph"/>
        <w:numPr>
          <w:ilvl w:val="0"/>
          <w:numId w:val="2"/>
        </w:numPr>
        <w:spacing w:after="80" w:line="290"/>
        <w:jc w:val="both"/>
      </w:pPr>
      <w:r>
        <w:rPr>
          <w:b/>
          <w:bCs/>
        </w:rPr>
        <w:t xml:space="preserve">9.1 Indicadores por lineamiento:</w:t>
      </w:r>
      <w:r>
        <w:t xml:space="preserve"> definición, fórmula, fuente de datos, frecuencia y línea base (por ejemplo, convenios y accesos formalizados, proveedores vinculados, proyectos colaborativos, profesionales formados fuera de la dotación militar, participación de fuentes de financiamiento distintas del presupuesto fiscal).</w:t>
      </w:r>
    </w:p>
    <w:p>
      <w:pPr>
        <w:pStyle w:val="ListParagraph"/>
        <w:numPr>
          <w:ilvl w:val="0"/>
          <w:numId w:val="2"/>
        </w:numPr>
        <w:spacing w:after="80" w:line="290"/>
        <w:jc w:val="both"/>
      </w:pPr>
      <w:r>
        <w:rPr>
          <w:b/>
          <w:bCs/>
        </w:rPr>
        <w:t xml:space="preserve">9.2 Escenarios</w:t>
      </w:r>
      <w:r>
        <w:t xml:space="preserve"> conservador, base y favorable, construidos con los datos disponibles y los supuestos validados por los expertos.</w:t>
      </w:r>
    </w:p>
    <w:p>
      <w:pPr>
        <w:pStyle w:val="ListParagraph"/>
        <w:numPr>
          <w:ilvl w:val="0"/>
          <w:numId w:val="2"/>
        </w:numPr>
        <w:spacing w:after="80" w:line="290"/>
        <w:jc w:val="both"/>
      </w:pPr>
      <w:r>
        <w:rPr>
          <w:b/>
          <w:bCs/>
        </w:rPr>
        <w:t xml:space="preserve">9.3 Estimación del desempeño esperado</w:t>
      </w:r>
      <w:r>
        <w:t xml:space="preserve"> por escenario y análisis de sensibilidad frente a los supuestos críticos (continuidad presupuestaria, reglamento de acceso, origen de los datos).</w:t>
      </w:r>
    </w:p>
    <w:p>
      <w:pPr>
        <w:pStyle w:val="ListParagraph"/>
        <w:numPr>
          <w:ilvl w:val="0"/>
          <w:numId w:val="2"/>
        </w:numPr>
        <w:spacing w:after="80" w:line="290"/>
        <w:jc w:val="both"/>
      </w:pPr>
      <w:r>
        <w:rPr>
          <w:b/>
          <w:bCs/>
        </w:rPr>
        <w:t xml:space="preserve">9.4 Limitaciones:</w:t>
      </w:r>
      <w:r>
        <w:t xml:space="preserve"> alcance de la estimación, dependencia de supuestos y diferencia entre desempeño esperado e impacto real.</w:t>
      </w:r>
    </w:p>
    <w:p>
      <w:pPr>
        <w:pStyle w:val="Heading1"/>
        <w:pageBreakBefore/>
      </w:pPr>
      <w:r>
        <w:t xml:space="preserve">CAPÍTULO 10. CONCLUSIONES FINALES Y LÍNEAS FUTURAS (PENDIENTE)</w:t>
      </w:r>
    </w:p>
    <w:p>
      <w:pPr>
        <w:spacing w:after="100" w:line="300"/>
        <w:jc w:val="both"/>
      </w:pPr>
      <w:r>
        <w:rPr>
          <w:i/>
          <w:iCs/>
        </w:rPr>
        <w:t xml:space="preserve">Este capítulo se desarrollará al término de la memoria. Contenido previsto:</w:t>
      </w:r>
    </w:p>
    <w:p>
      <w:pPr>
        <w:pStyle w:val="ListParagraph"/>
        <w:numPr>
          <w:ilvl w:val="0"/>
          <w:numId w:val="2"/>
        </w:numPr>
        <w:spacing w:after="80" w:line="290"/>
        <w:jc w:val="both"/>
      </w:pPr>
      <w:r>
        <w:rPr>
          <w:b/>
          <w:bCs/>
        </w:rPr>
        <w:t xml:space="preserve">10.1 Cumplimiento de los objetivos</w:t>
      </w:r>
      <w:r>
        <w:t xml:space="preserve"> general y específicos, con la evidencia que lo respalda.</w:t>
      </w:r>
    </w:p>
    <w:p>
      <w:pPr>
        <w:pStyle w:val="ListParagraph"/>
        <w:numPr>
          <w:ilvl w:val="0"/>
          <w:numId w:val="2"/>
        </w:numPr>
        <w:spacing w:after="80" w:line="290"/>
        <w:jc w:val="both"/>
      </w:pPr>
      <w:r>
        <w:rPr>
          <w:b/>
          <w:bCs/>
        </w:rPr>
        <w:t xml:space="preserve">10.2 Aportes</w:t>
      </w:r>
      <w:r>
        <w:t xml:space="preserve"> de la memoria: diagnóstico, matrices de priorización y transferibilidad, lineamientos y hoja de ruta.</w:t>
      </w:r>
    </w:p>
    <w:p>
      <w:pPr>
        <w:pStyle w:val="ListParagraph"/>
        <w:numPr>
          <w:ilvl w:val="0"/>
          <w:numId w:val="2"/>
        </w:numPr>
        <w:spacing w:after="80" w:line="290"/>
        <w:jc w:val="both"/>
      </w:pPr>
      <w:r>
        <w:rPr>
          <w:b/>
          <w:bCs/>
        </w:rPr>
        <w:t xml:space="preserve">10.3 Limitaciones</w:t>
      </w:r>
      <w:r>
        <w:t xml:space="preserve"> del estudio (fuentes, tamaño del panel, caso único).</w:t>
      </w:r>
    </w:p>
    <w:p>
      <w:pPr>
        <w:pStyle w:val="ListParagraph"/>
        <w:numPr>
          <w:ilvl w:val="0"/>
          <w:numId w:val="2"/>
        </w:numPr>
        <w:spacing w:after="80" w:line="290"/>
        <w:jc w:val="both"/>
      </w:pPr>
      <w:r>
        <w:rPr>
          <w:b/>
          <w:bCs/>
        </w:rPr>
        <w:t xml:space="preserve">10.4 Líneas futuras</w:t>
      </w:r>
      <w:r>
        <w:t xml:space="preserve"> de investigación e implementación.</w:t>
      </w:r>
    </w:p>
    <w:p>
      <w:pPr>
        <w:spacing w:after="120" w:line="300"/>
        <w:jc w:val="both"/>
      </w:pPr>
      <w:r>
        <w:rPr>
          <w:b/>
          <w:bCs/>
        </w:rPr>
        <w:t xml:space="preserve">Anexos previstos:</w:t>
      </w:r>
      <w:r>
        <w:t xml:space="preserve"> (A) pauta de entrevista semiestructurada; (B) cuestionarios Delphi por ronda; (C) fichas estratégicas completas; (D) fichas técnicas y registros de verificación de evidencia.</w:t>
      </w:r>
    </w:p>
    <w:p>
      <w:pPr>
        <w:pStyle w:val="Heading1"/>
        <w:pageBreakBefore/>
      </w:pPr>
      <w:r>
        <w:t xml:space="preserve">REFERENCIAS</w:t>
      </w:r>
    </w:p>
    <w:p>
      <w:pPr>
        <w:spacing w:after="100" w:line="260"/>
        <w:ind w:left="540" w:hanging="540"/>
        <w:jc w:val="left"/>
      </w:pPr>
      <w:r>
        <w:rPr>
          <w:sz w:val="20"/>
          <w:szCs w:val="20"/>
        </w:rPr>
        <w:t xml:space="preserve">Agência Espacial Brasileira. (2020a). </w:t>
      </w:r>
      <w:r>
        <w:rPr>
          <w:i/>
          <w:iCs/>
          <w:sz w:val="20"/>
          <w:szCs w:val="20"/>
        </w:rPr>
        <w:t xml:space="preserve">Sistema Nacional de Desenvolvimento das Atividades Espaciais (SINDAE)</w:t>
      </w:r>
      <w:r>
        <w:rPr>
          <w:sz w:val="20"/>
          <w:szCs w:val="20"/>
        </w:rPr>
        <w:t xml:space="preserve">. https://www.gov.br/aeb</w:t>
      </w:r>
    </w:p>
    <w:p>
      <w:pPr>
        <w:spacing w:after="100" w:line="260"/>
        <w:ind w:left="540" w:hanging="540"/>
        <w:jc w:val="left"/>
      </w:pPr>
      <w:r>
        <w:rPr>
          <w:sz w:val="20"/>
          <w:szCs w:val="20"/>
        </w:rPr>
        <w:t xml:space="preserve">Agência Espacial Brasileira. (2020b). </w:t>
      </w:r>
      <w:r>
        <w:rPr>
          <w:i/>
          <w:iCs/>
          <w:sz w:val="20"/>
          <w:szCs w:val="20"/>
        </w:rPr>
        <w:t xml:space="preserve">Política Nacional de Desenvolvimento das Atividades Espaciais (PNDAE)</w:t>
      </w:r>
      <w:r>
        <w:rPr>
          <w:sz w:val="20"/>
          <w:szCs w:val="20"/>
        </w:rPr>
        <w:t xml:space="preserve">. https://www.gov.br/aeb</w:t>
      </w:r>
    </w:p>
    <w:p>
      <w:pPr>
        <w:spacing w:after="100" w:line="260"/>
        <w:ind w:left="540" w:hanging="540"/>
        <w:jc w:val="left"/>
      </w:pPr>
      <w:r>
        <w:rPr>
          <w:sz w:val="20"/>
          <w:szCs w:val="20"/>
        </w:rPr>
        <w:t xml:space="preserve">Agência Espacial Brasileira. (2022). </w:t>
      </w:r>
      <w:r>
        <w:rPr>
          <w:i/>
          <w:iCs/>
          <w:sz w:val="20"/>
          <w:szCs w:val="20"/>
        </w:rPr>
        <w:t xml:space="preserve">Programa Nacional de Atividades Espaciais (PNAE) 2022-2031</w:t>
      </w:r>
      <w:r>
        <w:rPr>
          <w:sz w:val="20"/>
          <w:szCs w:val="20"/>
        </w:rPr>
        <w:t xml:space="preserve">. https://www.gov.br/aeb/pt-br/programa-espacial-brasileiro/programa-nacional-de-atividades-espaciais</w:t>
      </w:r>
    </w:p>
    <w:p>
      <w:pPr>
        <w:spacing w:after="100" w:line="260"/>
        <w:ind w:left="540" w:hanging="540"/>
        <w:jc w:val="left"/>
      </w:pPr>
      <w:r>
        <w:rPr>
          <w:sz w:val="20"/>
          <w:szCs w:val="20"/>
        </w:rPr>
        <w:t xml:space="preserve">Agência Espacial Brasileira. (s.f.). </w:t>
      </w:r>
      <w:r>
        <w:rPr>
          <w:i/>
          <w:iCs/>
          <w:sz w:val="20"/>
          <w:szCs w:val="20"/>
        </w:rPr>
        <w:t xml:space="preserve">Programa Espacial Brasileiro: Encomenda Tecnológica (ETEC)</w:t>
      </w:r>
      <w:r>
        <w:rPr>
          <w:sz w:val="20"/>
          <w:szCs w:val="20"/>
        </w:rPr>
        <w:t xml:space="preserve">. https://www.gov.br/aeb/pt-br/programa-espacial-brasileiro</w:t>
      </w:r>
    </w:p>
    <w:p>
      <w:pPr>
        <w:spacing w:after="100" w:line="260"/>
        <w:ind w:left="540" w:hanging="540"/>
        <w:jc w:val="left"/>
      </w:pPr>
      <w:r>
        <w:rPr>
          <w:sz w:val="20"/>
          <w:szCs w:val="20"/>
        </w:rPr>
        <w:t xml:space="preserve">Agência Espacial Portuguesa (Portugal Space). (s.f.). </w:t>
      </w:r>
      <w:r>
        <w:rPr>
          <w:i/>
          <w:iCs/>
          <w:sz w:val="20"/>
          <w:szCs w:val="20"/>
        </w:rPr>
        <w:t xml:space="preserve">Portugal Espaço 2030</w:t>
      </w:r>
      <w:r>
        <w:rPr>
          <w:sz w:val="20"/>
          <w:szCs w:val="20"/>
        </w:rPr>
        <w:t xml:space="preserve">. https://ptspace.pt</w:t>
      </w:r>
    </w:p>
    <w:p>
      <w:pPr>
        <w:spacing w:after="100" w:line="260"/>
        <w:ind w:left="540" w:hanging="540"/>
        <w:jc w:val="left"/>
      </w:pPr>
      <w:r>
        <w:rPr>
          <w:sz w:val="20"/>
          <w:szCs w:val="20"/>
        </w:rPr>
        <w:t xml:space="preserve">Agencia Espacial Mexicana. (2020). </w:t>
      </w:r>
      <w:r>
        <w:rPr>
          <w:i/>
          <w:iCs/>
          <w:sz w:val="20"/>
          <w:szCs w:val="20"/>
        </w:rPr>
        <w:t xml:space="preserve">Antecedentes de la AEM</w:t>
      </w:r>
      <w:r>
        <w:rPr>
          <w:sz w:val="20"/>
          <w:szCs w:val="20"/>
        </w:rPr>
        <w:t xml:space="preserve">. https://www.gob.mx/aem/acciones-y-programas/antecedentes-de-la-aem</w:t>
      </w:r>
    </w:p>
    <w:p>
      <w:pPr>
        <w:spacing w:after="100" w:line="260"/>
        <w:ind w:left="540" w:hanging="540"/>
        <w:jc w:val="left"/>
      </w:pPr>
      <w:r>
        <w:rPr>
          <w:sz w:val="20"/>
          <w:szCs w:val="20"/>
        </w:rPr>
        <w:t xml:space="preserve">Aguilar, F. J. (1967). </w:t>
      </w:r>
      <w:r>
        <w:rPr>
          <w:i/>
          <w:iCs/>
          <w:sz w:val="20"/>
          <w:szCs w:val="20"/>
        </w:rPr>
        <w:t xml:space="preserve">Scanning the business environment</w:t>
      </w:r>
      <w:r>
        <w:rPr>
          <w:sz w:val="20"/>
          <w:szCs w:val="20"/>
        </w:rPr>
        <w:t xml:space="preserve">. Macmillan.</w:t>
      </w:r>
    </w:p>
    <w:p>
      <w:pPr>
        <w:spacing w:after="100" w:line="260"/>
        <w:ind w:left="540" w:hanging="540"/>
        <w:jc w:val="left"/>
      </w:pPr>
      <w:r>
        <w:rPr>
          <w:sz w:val="20"/>
          <w:szCs w:val="20"/>
        </w:rPr>
        <w:t xml:space="preserve">AURA. (s.f.). </w:t>
      </w:r>
      <w:r>
        <w:rPr>
          <w:i/>
          <w:iCs/>
          <w:sz w:val="20"/>
          <w:szCs w:val="20"/>
        </w:rPr>
        <w:t xml:space="preserve">AURA Observatory in Chile</w:t>
      </w:r>
      <w:r>
        <w:rPr>
          <w:sz w:val="20"/>
          <w:szCs w:val="20"/>
        </w:rPr>
        <w:t xml:space="preserve">. https://observatorioaura.cl</w:t>
      </w:r>
    </w:p>
    <w:p>
      <w:pPr>
        <w:spacing w:after="100" w:line="260"/>
        <w:ind w:left="540" w:hanging="540"/>
        <w:jc w:val="left"/>
      </w:pPr>
      <w:r>
        <w:rPr>
          <w:sz w:val="20"/>
          <w:szCs w:val="20"/>
        </w:rPr>
        <w:t xml:space="preserve">Barney, J. (1991). Firm resources and sustained competitive advantage. </w:t>
      </w:r>
      <w:r>
        <w:rPr>
          <w:i/>
          <w:iCs/>
          <w:sz w:val="20"/>
          <w:szCs w:val="20"/>
        </w:rPr>
        <w:t xml:space="preserve">Journal of Management, 17</w:t>
      </w:r>
      <w:r>
        <w:rPr>
          <w:sz w:val="20"/>
          <w:szCs w:val="20"/>
        </w:rPr>
        <w:t xml:space="preserve">(1), 99-120.</w:t>
      </w:r>
    </w:p>
    <w:p>
      <w:pPr>
        <w:spacing w:after="100" w:line="260"/>
        <w:ind w:left="540" w:hanging="540"/>
        <w:jc w:val="left"/>
      </w:pPr>
      <w:r>
        <w:rPr>
          <w:sz w:val="20"/>
          <w:szCs w:val="20"/>
        </w:rPr>
        <w:t xml:space="preserve">Boletín Oficial de la República Argentina. (2019, 29 de agosto). </w:t>
      </w:r>
      <w:r>
        <w:rPr>
          <w:i/>
          <w:iCs/>
          <w:sz w:val="20"/>
          <w:szCs w:val="20"/>
        </w:rPr>
        <w:t xml:space="preserve">Comisión Nacional de Actividades Espaciales — Decreto N.º 995/91</w:t>
      </w:r>
      <w:r>
        <w:rPr>
          <w:sz w:val="20"/>
          <w:szCs w:val="20"/>
        </w:rPr>
        <w:t xml:space="preserve">. https://www.boletinoficial.gob.ar</w:t>
      </w:r>
    </w:p>
    <w:p>
      <w:pPr>
        <w:spacing w:after="100" w:line="260"/>
        <w:ind w:left="540" w:hanging="540"/>
        <w:jc w:val="left"/>
      </w:pPr>
      <w:r>
        <w:rPr>
          <w:sz w:val="20"/>
          <w:szCs w:val="20"/>
        </w:rPr>
        <w:t xml:space="preserve">Boletín Oficial de la República Argentina. (2022, 28 de octubre). </w:t>
      </w:r>
      <w:r>
        <w:rPr>
          <w:i/>
          <w:iCs/>
          <w:sz w:val="20"/>
          <w:szCs w:val="20"/>
        </w:rPr>
        <w:t xml:space="preserve">Comisión Nacional de Actividades Espaciales</w:t>
      </w:r>
      <w:r>
        <w:rPr>
          <w:sz w:val="20"/>
          <w:szCs w:val="20"/>
        </w:rPr>
        <w:t xml:space="preserve">. https://www.boletinoficial.gob.ar</w:t>
      </w:r>
    </w:p>
    <w:p>
      <w:pPr>
        <w:spacing w:after="100" w:line="260"/>
        <w:ind w:left="540" w:hanging="540"/>
        <w:jc w:val="left"/>
      </w:pPr>
      <w:r>
        <w:rPr>
          <w:sz w:val="20"/>
          <w:szCs w:val="20"/>
        </w:rPr>
        <w:t xml:space="preserve">Boletín Oficial de la República Argentina. (2026, 21 de julio). </w:t>
      </w:r>
      <w:r>
        <w:rPr>
          <w:i/>
          <w:iCs/>
          <w:sz w:val="20"/>
          <w:szCs w:val="20"/>
        </w:rPr>
        <w:t xml:space="preserve">Comisión Nacional de Actividades Espaciales</w:t>
      </w:r>
      <w:r>
        <w:rPr>
          <w:sz w:val="20"/>
          <w:szCs w:val="20"/>
        </w:rPr>
        <w:t xml:space="preserve">. https://www.boletinoficial.gob.ar</w:t>
      </w:r>
    </w:p>
    <w:p>
      <w:pPr>
        <w:spacing w:after="100" w:line="260"/>
        <w:ind w:left="540" w:hanging="540"/>
        <w:jc w:val="left"/>
      </w:pPr>
      <w:r>
        <w:rPr>
          <w:sz w:val="20"/>
          <w:szCs w:val="20"/>
        </w:rPr>
        <w:t xml:space="preserve">Center for Strategic and International Studies. (2024). </w:t>
      </w:r>
      <w:r>
        <w:rPr>
          <w:i/>
          <w:iCs/>
          <w:sz w:val="20"/>
          <w:szCs w:val="20"/>
        </w:rPr>
        <w:t xml:space="preserve">The Korea AeroSpace Administration (KASA)</w:t>
      </w:r>
      <w:r>
        <w:rPr>
          <w:sz w:val="20"/>
          <w:szCs w:val="20"/>
        </w:rPr>
        <w:t xml:space="preserve">. https://aerospace.csis.org</w:t>
      </w:r>
    </w:p>
    <w:p>
      <w:pPr>
        <w:spacing w:after="100" w:line="260"/>
        <w:ind w:left="540" w:hanging="540"/>
        <w:jc w:val="left"/>
      </w:pPr>
      <w:r>
        <w:rPr>
          <w:sz w:val="20"/>
          <w:szCs w:val="20"/>
        </w:rPr>
        <w:t xml:space="preserve">Centro de Astro-Ingeniería UC (AIUC). (s.f.). </w:t>
      </w:r>
      <w:r>
        <w:rPr>
          <w:i/>
          <w:iCs/>
          <w:sz w:val="20"/>
          <w:szCs w:val="20"/>
        </w:rPr>
        <w:t xml:space="preserve">Astroingeniería / instrumentación astronómica</w:t>
      </w:r>
      <w:r>
        <w:rPr>
          <w:sz w:val="20"/>
          <w:szCs w:val="20"/>
        </w:rPr>
        <w:t xml:space="preserve">. https://www.ing.uc.cl</w:t>
      </w:r>
    </w:p>
    <w:p>
      <w:pPr>
        <w:spacing w:after="100" w:line="260"/>
        <w:ind w:left="540" w:hanging="540"/>
        <w:jc w:val="left"/>
      </w:pPr>
      <w:r>
        <w:rPr>
          <w:sz w:val="20"/>
          <w:szCs w:val="20"/>
        </w:rPr>
        <w:t xml:space="preserve">Chesbrough, H. W. (2003). </w:t>
      </w:r>
      <w:r>
        <w:rPr>
          <w:i/>
          <w:iCs/>
          <w:sz w:val="20"/>
          <w:szCs w:val="20"/>
        </w:rPr>
        <w:t xml:space="preserve">Open innovation: The new imperative for creating and profiting from technology</w:t>
      </w:r>
      <w:r>
        <w:rPr>
          <w:sz w:val="20"/>
          <w:szCs w:val="20"/>
        </w:rPr>
        <w:t xml:space="preserve">. Harvard Business School Press.</w:t>
      </w:r>
    </w:p>
    <w:p>
      <w:pPr>
        <w:spacing w:after="100" w:line="260"/>
        <w:ind w:left="540" w:hanging="540"/>
        <w:jc w:val="left"/>
      </w:pPr>
      <w:r>
        <w:rPr>
          <w:sz w:val="20"/>
          <w:szCs w:val="20"/>
        </w:rPr>
        <w:t xml:space="preserve">Chosun. (2025, 25 de julio). </w:t>
      </w:r>
      <w:r>
        <w:rPr>
          <w:i/>
          <w:iCs/>
          <w:sz w:val="20"/>
          <w:szCs w:val="20"/>
        </w:rPr>
        <w:t xml:space="preserve">Korea transfers Nuri rocket technology to Hanwha Aerospace</w:t>
      </w:r>
      <w:r>
        <w:rPr>
          <w:sz w:val="20"/>
          <w:szCs w:val="20"/>
        </w:rPr>
        <w:t xml:space="preserve">. https://www.chosun.com</w:t>
      </w:r>
    </w:p>
    <w:p>
      <w:pPr>
        <w:spacing w:after="100" w:line="260"/>
        <w:ind w:left="540" w:hanging="540"/>
        <w:jc w:val="left"/>
      </w:pPr>
      <w:r>
        <w:rPr>
          <w:sz w:val="20"/>
          <w:szCs w:val="20"/>
        </w:rPr>
        <w:t xml:space="preserve">Cohen, W. M., &amp; Levinthal, D. A. (1990). Absorptive capacity: A new perspective on learning and innovation. </w:t>
      </w:r>
      <w:r>
        <w:rPr>
          <w:i/>
          <w:iCs/>
          <w:sz w:val="20"/>
          <w:szCs w:val="20"/>
        </w:rPr>
        <w:t xml:space="preserve">Administrative Science Quarterly, 35</w:t>
      </w:r>
      <w:r>
        <w:rPr>
          <w:sz w:val="20"/>
          <w:szCs w:val="20"/>
        </w:rPr>
        <w:t xml:space="preserve">(1), 128-152.</w:t>
      </w:r>
    </w:p>
    <w:p>
      <w:pPr>
        <w:spacing w:after="100" w:line="260"/>
        <w:ind w:left="540" w:hanging="540"/>
        <w:jc w:val="left"/>
      </w:pPr>
      <w:r>
        <w:rPr>
          <w:sz w:val="20"/>
          <w:szCs w:val="20"/>
        </w:rPr>
        <w:t xml:space="preserve">Comisión Nacional de Actividades Espaciales. (s.f.). </w:t>
      </w:r>
      <w:r>
        <w:rPr>
          <w:i/>
          <w:iCs/>
          <w:sz w:val="20"/>
          <w:szCs w:val="20"/>
        </w:rPr>
        <w:t xml:space="preserve">Portal de Información Geoespacial / Catálogos SAOCOM</w:t>
      </w:r>
      <w:r>
        <w:rPr>
          <w:sz w:val="20"/>
          <w:szCs w:val="20"/>
        </w:rPr>
        <w:t xml:space="preserve">. https://catalogos.conae.gov.ar</w:t>
      </w:r>
    </w:p>
    <w:p>
      <w:pPr>
        <w:spacing w:after="100" w:line="260"/>
        <w:ind w:left="540" w:hanging="540"/>
        <w:jc w:val="left"/>
      </w:pPr>
      <w:r>
        <w:rPr>
          <w:sz w:val="20"/>
          <w:szCs w:val="20"/>
        </w:rPr>
        <w:t xml:space="preserve">Cooperativa. (2026, 22 de enero). </w:t>
      </w:r>
      <w:r>
        <w:rPr>
          <w:i/>
          <w:iCs/>
          <w:sz w:val="20"/>
          <w:szCs w:val="20"/>
        </w:rPr>
        <w:t xml:space="preserve">Desarrollo espacial, ahora sí: oportunidad para crear la Agencia Chilena del Espacio</w:t>
      </w:r>
      <w:r>
        <w:rPr>
          <w:sz w:val="20"/>
          <w:szCs w:val="20"/>
        </w:rPr>
        <w:t xml:space="preserve"> [Columna de opinión]. https://opinion.cooperativa.cl</w:t>
      </w:r>
    </w:p>
    <w:p>
      <w:pPr>
        <w:spacing w:after="100" w:line="260"/>
        <w:ind w:left="540" w:hanging="540"/>
        <w:jc w:val="left"/>
      </w:pPr>
      <w:r>
        <w:rPr>
          <w:sz w:val="20"/>
          <w:szCs w:val="20"/>
        </w:rPr>
        <w:t xml:space="preserve">Defensa.com. (2025). </w:t>
      </w:r>
      <w:r>
        <w:rPr>
          <w:i/>
          <w:iCs/>
          <w:sz w:val="20"/>
          <w:szCs w:val="20"/>
        </w:rPr>
        <w:t xml:space="preserve">El Centro Espacial Nacional, centro neurálgico de la soberanía espacial de Chile</w:t>
      </w:r>
      <w:r>
        <w:rPr>
          <w:sz w:val="20"/>
          <w:szCs w:val="20"/>
        </w:rPr>
        <w:t xml:space="preserve">. https://www.defensa.com</w:t>
      </w:r>
    </w:p>
    <w:p>
      <w:pPr>
        <w:spacing w:after="100" w:line="260"/>
        <w:ind w:left="540" w:hanging="540"/>
        <w:jc w:val="left"/>
      </w:pPr>
      <w:r>
        <w:rPr>
          <w:sz w:val="20"/>
          <w:szCs w:val="20"/>
        </w:rPr>
        <w:t xml:space="preserve">Diamond, I. R., Grant, R. C., Feldman, B. M., Pencharz, P. B., Ling, S. C., Moore, A. M., &amp; Wales, P. W. (2014). Defining consensus: A systematic review recommends methodologic criteria for reporting of Delphi studies. </w:t>
      </w:r>
      <w:r>
        <w:rPr>
          <w:i/>
          <w:iCs/>
          <w:sz w:val="20"/>
          <w:szCs w:val="20"/>
        </w:rPr>
        <w:t xml:space="preserve">Journal of Clinical Epidemiology, 67</w:t>
      </w:r>
      <w:r>
        <w:rPr>
          <w:sz w:val="20"/>
          <w:szCs w:val="20"/>
        </w:rPr>
        <w:t xml:space="preserve">(4), 401-409.</w:t>
      </w:r>
    </w:p>
    <w:p>
      <w:pPr>
        <w:spacing w:after="100" w:line="260"/>
        <w:ind w:left="540" w:hanging="540"/>
        <w:jc w:val="left"/>
      </w:pPr>
      <w:r>
        <w:rPr>
          <w:sz w:val="20"/>
          <w:szCs w:val="20"/>
        </w:rPr>
        <w:t xml:space="preserve">El Desconcierto. (2025, 23 de diciembre). </w:t>
      </w:r>
      <w:r>
        <w:rPr>
          <w:i/>
          <w:iCs/>
          <w:sz w:val="20"/>
          <w:szCs w:val="20"/>
        </w:rPr>
        <w:t xml:space="preserve">Chile inaugura su primer Centro Espacial Nacional que fabricará 8 satélites de hasta 200 kg en Cerrillos</w:t>
      </w:r>
      <w:r>
        <w:rPr>
          <w:sz w:val="20"/>
          <w:szCs w:val="20"/>
        </w:rPr>
        <w:t xml:space="preserve">. https://eldesconcierto.cl</w:t>
      </w:r>
    </w:p>
    <w:p>
      <w:pPr>
        <w:spacing w:after="100" w:line="260"/>
        <w:ind w:left="540" w:hanging="540"/>
        <w:jc w:val="left"/>
      </w:pPr>
      <w:r>
        <w:rPr>
          <w:sz w:val="20"/>
          <w:szCs w:val="20"/>
        </w:rPr>
        <w:t xml:space="preserve">El Destape. (2025, 24 de septiembre). </w:t>
      </w:r>
      <w:r>
        <w:rPr>
          <w:i/>
          <w:iCs/>
          <w:sz w:val="20"/>
          <w:szCs w:val="20"/>
        </w:rPr>
        <w:t xml:space="preserve">La agencia espacial argentina paralizada y con deudas</w:t>
      </w:r>
      <w:r>
        <w:rPr>
          <w:sz w:val="20"/>
          <w:szCs w:val="20"/>
        </w:rPr>
        <w:t xml:space="preserve">. https://www.eldestapeweb.com</w:t>
      </w:r>
    </w:p>
    <w:p>
      <w:pPr>
        <w:spacing w:after="100" w:line="260"/>
        <w:ind w:left="540" w:hanging="540"/>
        <w:jc w:val="left"/>
      </w:pPr>
      <w:r>
        <w:rPr>
          <w:sz w:val="20"/>
          <w:szCs w:val="20"/>
        </w:rPr>
        <w:t xml:space="preserve">El Mostrador. (2018, 22 de junio). </w:t>
      </w:r>
      <w:r>
        <w:rPr>
          <w:i/>
          <w:iCs/>
          <w:sz w:val="20"/>
          <w:szCs w:val="20"/>
        </w:rPr>
        <w:t xml:space="preserve">El futuro de la Agencia Aeroespacial: una nueva oportunidad para el desarrollo de Chile</w:t>
      </w:r>
      <w:r>
        <w:rPr>
          <w:sz w:val="20"/>
          <w:szCs w:val="20"/>
        </w:rPr>
        <w:t xml:space="preserve">. https://www.elmostrador.cl</w:t>
      </w:r>
    </w:p>
    <w:p>
      <w:pPr>
        <w:spacing w:after="100" w:line="260"/>
        <w:ind w:left="540" w:hanging="540"/>
        <w:jc w:val="left"/>
      </w:pPr>
      <w:r>
        <w:rPr>
          <w:sz w:val="20"/>
          <w:szCs w:val="20"/>
        </w:rPr>
        <w:t xml:space="preserve">El Mostrador. (2025, 29 de diciembre). </w:t>
      </w:r>
      <w:r>
        <w:rPr>
          <w:i/>
          <w:iCs/>
          <w:sz w:val="20"/>
          <w:szCs w:val="20"/>
        </w:rPr>
        <w:t xml:space="preserve">El nuevo centro espacial nacional y la necesidad de una agencia espacial</w:t>
      </w:r>
      <w:r>
        <w:rPr>
          <w:sz w:val="20"/>
          <w:szCs w:val="20"/>
        </w:rPr>
        <w:t xml:space="preserve">. https://www.elmostrador.cl</w:t>
      </w:r>
    </w:p>
    <w:p>
      <w:pPr>
        <w:spacing w:after="100" w:line="260"/>
        <w:ind w:left="540" w:hanging="540"/>
        <w:jc w:val="left"/>
      </w:pPr>
      <w:r>
        <w:rPr>
          <w:sz w:val="20"/>
          <w:szCs w:val="20"/>
        </w:rPr>
        <w:t xml:space="preserve">ENAER. (s.f.-a). </w:t>
      </w:r>
      <w:r>
        <w:rPr>
          <w:i/>
          <w:iCs/>
          <w:sz w:val="20"/>
          <w:szCs w:val="20"/>
        </w:rPr>
        <w:t xml:space="preserve">Capacidades</w:t>
      </w:r>
      <w:r>
        <w:rPr>
          <w:sz w:val="20"/>
          <w:szCs w:val="20"/>
        </w:rPr>
        <w:t xml:space="preserve">. https://www.enaer.cl</w:t>
      </w:r>
    </w:p>
    <w:p>
      <w:pPr>
        <w:spacing w:after="100" w:line="260"/>
        <w:ind w:left="540" w:hanging="540"/>
        <w:jc w:val="left"/>
      </w:pPr>
      <w:r>
        <w:rPr>
          <w:sz w:val="20"/>
          <w:szCs w:val="20"/>
        </w:rPr>
        <w:t xml:space="preserve">ENAER. (s.f.-b). </w:t>
      </w:r>
      <w:r>
        <w:rPr>
          <w:i/>
          <w:iCs/>
          <w:sz w:val="20"/>
          <w:szCs w:val="20"/>
        </w:rPr>
        <w:t xml:space="preserve">Fabricación</w:t>
      </w:r>
      <w:r>
        <w:rPr>
          <w:sz w:val="20"/>
          <w:szCs w:val="20"/>
        </w:rPr>
        <w:t xml:space="preserve">. https://www.enaer.cl/fabricacion/</w:t>
      </w:r>
    </w:p>
    <w:p>
      <w:pPr>
        <w:spacing w:after="100" w:line="260"/>
        <w:ind w:left="540" w:hanging="540"/>
        <w:jc w:val="left"/>
      </w:pPr>
      <w:r>
        <w:rPr>
          <w:sz w:val="20"/>
          <w:szCs w:val="20"/>
        </w:rPr>
        <w:t xml:space="preserve">ENAER. (s.f.-c). </w:t>
      </w:r>
      <w:r>
        <w:rPr>
          <w:i/>
          <w:iCs/>
          <w:sz w:val="20"/>
          <w:szCs w:val="20"/>
        </w:rPr>
        <w:t xml:space="preserve">Soporte (T-35 Pillán)</w:t>
      </w:r>
      <w:r>
        <w:rPr>
          <w:sz w:val="20"/>
          <w:szCs w:val="20"/>
        </w:rPr>
        <w:t xml:space="preserve">. https://www.enaer.cl</w:t>
      </w:r>
    </w:p>
    <w:p>
      <w:pPr>
        <w:spacing w:after="100" w:line="260"/>
        <w:ind w:left="540" w:hanging="540"/>
        <w:jc w:val="left"/>
      </w:pPr>
      <w:r>
        <w:rPr>
          <w:sz w:val="20"/>
          <w:szCs w:val="20"/>
        </w:rPr>
        <w:t xml:space="preserve">ENAER. (2024, abril). </w:t>
      </w:r>
      <w:r>
        <w:rPr>
          <w:i/>
          <w:iCs/>
          <w:sz w:val="20"/>
          <w:szCs w:val="20"/>
        </w:rPr>
        <w:t xml:space="preserve">Acuerdo marco ENAER–DIAF en FIDAE 2024</w:t>
      </w:r>
      <w:r>
        <w:rPr>
          <w:sz w:val="20"/>
          <w:szCs w:val="20"/>
        </w:rPr>
        <w:t xml:space="preserve">. https://www.enaer.cl/2024/04/</w:t>
      </w:r>
    </w:p>
    <w:p>
      <w:pPr>
        <w:spacing w:after="100" w:line="260"/>
        <w:ind w:left="540" w:hanging="540"/>
        <w:jc w:val="left"/>
      </w:pPr>
      <w:r>
        <w:rPr>
          <w:sz w:val="20"/>
          <w:szCs w:val="20"/>
        </w:rPr>
        <w:t xml:space="preserve">Espaciotech. (2026, 9 de abril). </w:t>
      </w:r>
      <w:r>
        <w:rPr>
          <w:i/>
          <w:iCs/>
          <w:sz w:val="20"/>
          <w:szCs w:val="20"/>
        </w:rPr>
        <w:t xml:space="preserve">¿Qué es el Plan Espacial Nacional y cómo se estructura?</w:t>
      </w:r>
      <w:r>
        <w:rPr>
          <w:sz w:val="20"/>
          <w:szCs w:val="20"/>
        </w:rPr>
        <w:t xml:space="preserve"> https://www.espaciotech.net</w:t>
      </w:r>
    </w:p>
    <w:p>
      <w:pPr>
        <w:spacing w:after="100" w:line="260"/>
        <w:ind w:left="540" w:hanging="540"/>
        <w:jc w:val="left"/>
      </w:pPr>
      <w:r>
        <w:rPr>
          <w:sz w:val="20"/>
          <w:szCs w:val="20"/>
        </w:rPr>
        <w:t xml:space="preserve">Etzkowitz, H., &amp; Leydesdorff, L. (2000). The dynamics of innovation: From National Systems and «Mode 2» to a Triple Helix of university-industry-government relations. </w:t>
      </w:r>
      <w:r>
        <w:rPr>
          <w:i/>
          <w:iCs/>
          <w:sz w:val="20"/>
          <w:szCs w:val="20"/>
        </w:rPr>
        <w:t xml:space="preserve">Research Policy, 29</w:t>
      </w:r>
      <w:r>
        <w:rPr>
          <w:sz w:val="20"/>
          <w:szCs w:val="20"/>
        </w:rPr>
        <w:t xml:space="preserve">(2), 109-123.</w:t>
      </w:r>
    </w:p>
    <w:p>
      <w:pPr>
        <w:spacing w:after="100" w:line="260"/>
        <w:ind w:left="540" w:hanging="540"/>
        <w:jc w:val="left"/>
      </w:pPr>
      <w:r>
        <w:rPr>
          <w:sz w:val="20"/>
          <w:szCs w:val="20"/>
        </w:rPr>
        <w:t xml:space="preserve">European Southern Observatory (ESO). (2015). </w:t>
      </w:r>
      <w:r>
        <w:rPr>
          <w:i/>
          <w:iCs/>
          <w:sz w:val="20"/>
          <w:szCs w:val="20"/>
        </w:rPr>
        <w:t xml:space="preserve">Taller de Astroingeniería de Chile</w:t>
      </w:r>
      <w:r>
        <w:rPr>
          <w:sz w:val="20"/>
          <w:szCs w:val="20"/>
        </w:rPr>
        <w:t xml:space="preserve">. https://eso.org</w:t>
      </w:r>
    </w:p>
    <w:p>
      <w:pPr>
        <w:spacing w:after="100" w:line="260"/>
        <w:ind w:left="540" w:hanging="540"/>
        <w:jc w:val="left"/>
      </w:pPr>
      <w:r>
        <w:rPr>
          <w:sz w:val="20"/>
          <w:szCs w:val="20"/>
        </w:rPr>
        <w:t xml:space="preserve">Freeman, C. (1987). </w:t>
      </w:r>
      <w:r>
        <w:rPr>
          <w:i/>
          <w:iCs/>
          <w:sz w:val="20"/>
          <w:szCs w:val="20"/>
        </w:rPr>
        <w:t xml:space="preserve">Technology policy and economic performance: Lessons from Japan</w:t>
      </w:r>
      <w:r>
        <w:rPr>
          <w:sz w:val="20"/>
          <w:szCs w:val="20"/>
        </w:rPr>
        <w:t xml:space="preserve">. Pinter Publishers.</w:t>
      </w:r>
    </w:p>
    <w:p>
      <w:pPr>
        <w:spacing w:after="100" w:line="260"/>
        <w:ind w:left="540" w:hanging="540"/>
        <w:jc w:val="left"/>
      </w:pPr>
      <w:r>
        <w:rPr>
          <w:sz w:val="20"/>
          <w:szCs w:val="20"/>
        </w:rPr>
        <w:t xml:space="preserve">Fuerza Aérea de Chile. (2025a). </w:t>
      </w:r>
      <w:r>
        <w:rPr>
          <w:i/>
          <w:iCs/>
          <w:sz w:val="20"/>
          <w:szCs w:val="20"/>
        </w:rPr>
        <w:t xml:space="preserve">Diario Oficial publica la Política Nacional Espacial</w:t>
      </w:r>
      <w:r>
        <w:rPr>
          <w:sz w:val="20"/>
          <w:szCs w:val="20"/>
        </w:rPr>
        <w:t xml:space="preserve">. https://fach.mil.cl</w:t>
      </w:r>
    </w:p>
    <w:p>
      <w:pPr>
        <w:spacing w:after="100" w:line="260"/>
        <w:ind w:left="540" w:hanging="540"/>
        <w:jc w:val="left"/>
      </w:pPr>
      <w:r>
        <w:rPr>
          <w:sz w:val="20"/>
          <w:szCs w:val="20"/>
        </w:rPr>
        <w:t xml:space="preserve">Fuerza Aérea de Chile. (2025b). </w:t>
      </w:r>
      <w:r>
        <w:rPr>
          <w:i/>
          <w:iCs/>
          <w:sz w:val="20"/>
          <w:szCs w:val="20"/>
        </w:rPr>
        <w:t xml:space="preserve">La Fuerza Aérea de Chile presentó el proyecto Sistema Nacional Satelital ante autoridades</w:t>
      </w:r>
      <w:r>
        <w:rPr>
          <w:sz w:val="20"/>
          <w:szCs w:val="20"/>
        </w:rPr>
        <w:t xml:space="preserve">. https://fach.mil.cl</w:t>
      </w:r>
    </w:p>
    <w:p>
      <w:pPr>
        <w:spacing w:after="100" w:line="260"/>
        <w:ind w:left="540" w:hanging="540"/>
        <w:jc w:val="left"/>
      </w:pPr>
      <w:r>
        <w:rPr>
          <w:sz w:val="20"/>
          <w:szCs w:val="20"/>
        </w:rPr>
        <w:t xml:space="preserve">Fuerza Aérea de Chile. (2025c). </w:t>
      </w:r>
      <w:r>
        <w:rPr>
          <w:i/>
          <w:iCs/>
          <w:sz w:val="20"/>
          <w:szCs w:val="20"/>
        </w:rPr>
        <w:t xml:space="preserve">El Presidente de la República inaugura el Centro Espacial Nacional</w:t>
      </w:r>
      <w:r>
        <w:rPr>
          <w:sz w:val="20"/>
          <w:szCs w:val="20"/>
        </w:rPr>
        <w:t xml:space="preserve">. https://fach.mil.cl</w:t>
      </w:r>
    </w:p>
    <w:p>
      <w:pPr>
        <w:spacing w:after="100" w:line="260"/>
        <w:ind w:left="540" w:hanging="540"/>
        <w:jc w:val="left"/>
      </w:pPr>
      <w:r>
        <w:rPr>
          <w:sz w:val="20"/>
          <w:szCs w:val="20"/>
        </w:rPr>
        <w:t xml:space="preserve">Fuerza Aérea de Chile. (2025d). </w:t>
      </w:r>
      <w:r>
        <w:rPr>
          <w:i/>
          <w:iCs/>
          <w:sz w:val="20"/>
          <w:szCs w:val="20"/>
        </w:rPr>
        <w:t xml:space="preserve">La dotación del Centro Espacial Nacional se capacita para la integración y ensamblaje de satélites</w:t>
      </w:r>
      <w:r>
        <w:rPr>
          <w:sz w:val="20"/>
          <w:szCs w:val="20"/>
        </w:rPr>
        <w:t xml:space="preserve">. https://fach.mil.cl</w:t>
      </w:r>
    </w:p>
    <w:p>
      <w:pPr>
        <w:spacing w:after="100" w:line="260"/>
        <w:ind w:left="540" w:hanging="540"/>
        <w:jc w:val="left"/>
      </w:pPr>
      <w:r>
        <w:rPr>
          <w:sz w:val="20"/>
          <w:szCs w:val="20"/>
        </w:rPr>
        <w:t xml:space="preserve">Fuerza Aérea de Chile. (2025e). </w:t>
      </w:r>
      <w:r>
        <w:rPr>
          <w:i/>
          <w:iCs/>
          <w:sz w:val="20"/>
          <w:szCs w:val="20"/>
        </w:rPr>
        <w:t xml:space="preserve">Radio Cooperativa destaca avances del Centro Espacial Nacional</w:t>
      </w:r>
      <w:r>
        <w:rPr>
          <w:sz w:val="20"/>
          <w:szCs w:val="20"/>
        </w:rPr>
        <w:t xml:space="preserve">. https://cmae.fach.cl</w:t>
      </w:r>
    </w:p>
    <w:p>
      <w:pPr>
        <w:spacing w:after="100" w:line="260"/>
        <w:ind w:left="540" w:hanging="540"/>
        <w:jc w:val="left"/>
      </w:pPr>
      <w:r>
        <w:rPr>
          <w:sz w:val="20"/>
          <w:szCs w:val="20"/>
        </w:rPr>
        <w:t xml:space="preserve">Fuerza Aérea de Chile. (2026). </w:t>
      </w:r>
      <w:r>
        <w:rPr>
          <w:i/>
          <w:iCs/>
          <w:sz w:val="20"/>
          <w:szCs w:val="20"/>
        </w:rPr>
        <w:t xml:space="preserve">Activa participación del Centro Espacial Nacional en el ejercicio Salitre 2026</w:t>
      </w:r>
      <w:r>
        <w:rPr>
          <w:sz w:val="20"/>
          <w:szCs w:val="20"/>
        </w:rPr>
        <w:t xml:space="preserve">. https://fach.mil.cl</w:t>
      </w:r>
    </w:p>
    <w:p>
      <w:pPr>
        <w:spacing w:after="100" w:line="260"/>
        <w:ind w:left="540" w:hanging="540"/>
        <w:jc w:val="left"/>
      </w:pPr>
      <w:r>
        <w:rPr>
          <w:sz w:val="20"/>
          <w:szCs w:val="20"/>
        </w:rPr>
        <w:t xml:space="preserve">GlobalSecurity. (2020). </w:t>
      </w:r>
      <w:r>
        <w:rPr>
          <w:i/>
          <w:iCs/>
          <w:sz w:val="20"/>
          <w:szCs w:val="20"/>
        </w:rPr>
        <w:t xml:space="preserve">SAOCOM</w:t>
      </w:r>
      <w:r>
        <w:rPr>
          <w:sz w:val="20"/>
          <w:szCs w:val="20"/>
        </w:rPr>
        <w:t xml:space="preserve">. https://www.globalsecurity.org/space/world/argentina/saocom.htm</w:t>
      </w:r>
    </w:p>
    <w:p>
      <w:pPr>
        <w:spacing w:after="100" w:line="260"/>
        <w:ind w:left="540" w:hanging="540"/>
        <w:jc w:val="left"/>
      </w:pPr>
      <w:r>
        <w:rPr>
          <w:sz w:val="20"/>
          <w:szCs w:val="20"/>
        </w:rPr>
        <w:t xml:space="preserve">Gobierno de Portugal. (2019). </w:t>
      </w:r>
      <w:r>
        <w:rPr>
          <w:i/>
          <w:iCs/>
          <w:sz w:val="20"/>
          <w:szCs w:val="20"/>
        </w:rPr>
        <w:t xml:space="preserve">Estratégia de Portugal para a Agência Espacial Europeia (Space19+)</w:t>
      </w:r>
      <w:r>
        <w:rPr>
          <w:sz w:val="20"/>
          <w:szCs w:val="20"/>
        </w:rPr>
        <w:t xml:space="preserve">. https://portugal.gov.pt</w:t>
      </w:r>
    </w:p>
    <w:p>
      <w:pPr>
        <w:spacing w:after="100" w:line="260"/>
        <w:ind w:left="540" w:hanging="540"/>
        <w:jc w:val="left"/>
      </w:pPr>
      <w:r>
        <w:rPr>
          <w:sz w:val="20"/>
          <w:szCs w:val="20"/>
        </w:rPr>
        <w:t xml:space="preserve">Gobierno Regional de Magallanes. (2025). </w:t>
      </w:r>
      <w:r>
        <w:rPr>
          <w:i/>
          <w:iCs/>
          <w:sz w:val="20"/>
          <w:szCs w:val="20"/>
        </w:rPr>
        <w:t xml:space="preserve">Gobernador Flies visita obras del Centro Espacial Nacional (CEN)</w:t>
      </w:r>
      <w:r>
        <w:rPr>
          <w:sz w:val="20"/>
          <w:szCs w:val="20"/>
        </w:rPr>
        <w:t xml:space="preserve">. https://www.goremagallanes.cl</w:t>
      </w:r>
    </w:p>
    <w:p>
      <w:pPr>
        <w:spacing w:after="100" w:line="260"/>
        <w:ind w:left="540" w:hanging="540"/>
        <w:jc w:val="left"/>
      </w:pPr>
      <w:r>
        <w:rPr>
          <w:sz w:val="20"/>
          <w:szCs w:val="20"/>
        </w:rPr>
        <w:t xml:space="preserve">Hanwha. (2025). </w:t>
      </w:r>
      <w:r>
        <w:rPr>
          <w:i/>
          <w:iCs/>
          <w:sz w:val="20"/>
          <w:szCs w:val="20"/>
        </w:rPr>
        <w:t xml:space="preserve">Hanwha Aerospace receives full Nuri rocket technology transfer</w:t>
      </w:r>
      <w:r>
        <w:rPr>
          <w:sz w:val="20"/>
          <w:szCs w:val="20"/>
        </w:rPr>
        <w:t xml:space="preserve">. https://www.hanwha.com</w:t>
      </w:r>
    </w:p>
    <w:p>
      <w:pPr>
        <w:spacing w:after="100" w:line="260"/>
        <w:ind w:left="540" w:hanging="540"/>
        <w:jc w:val="left"/>
      </w:pPr>
      <w:r>
        <w:rPr>
          <w:sz w:val="20"/>
          <w:szCs w:val="20"/>
        </w:rPr>
        <w:t xml:space="preserve">International Astronautical Federation. (2026). </w:t>
      </w:r>
      <w:r>
        <w:rPr>
          <w:i/>
          <w:iCs/>
          <w:sz w:val="20"/>
          <w:szCs w:val="20"/>
        </w:rPr>
        <w:t xml:space="preserve">Space law and technology transfer frameworks</w:t>
      </w:r>
      <w:r>
        <w:rPr>
          <w:sz w:val="20"/>
          <w:szCs w:val="20"/>
        </w:rPr>
        <w:t xml:space="preserve"> [Resumen IAC-26]. https://iafastro.directory</w:t>
      </w:r>
    </w:p>
    <w:p>
      <w:pPr>
        <w:spacing w:after="100" w:line="260"/>
        <w:ind w:left="540" w:hanging="540"/>
        <w:jc w:val="left"/>
      </w:pPr>
      <w:r>
        <w:rPr>
          <w:sz w:val="20"/>
          <w:szCs w:val="20"/>
        </w:rPr>
        <w:t xml:space="preserve">INVAP. (2020). </w:t>
      </w:r>
      <w:r>
        <w:rPr>
          <w:i/>
          <w:iCs/>
          <w:sz w:val="20"/>
          <w:szCs w:val="20"/>
        </w:rPr>
        <w:t xml:space="preserve">SAOCOM 1A: los principales logros a dos años de su lanzamiento</w:t>
      </w:r>
      <w:r>
        <w:rPr>
          <w:sz w:val="20"/>
          <w:szCs w:val="20"/>
        </w:rPr>
        <w:t xml:space="preserve">. https://saocom.invap.com.ar</w:t>
      </w:r>
    </w:p>
    <w:p>
      <w:pPr>
        <w:spacing w:after="100" w:line="260"/>
        <w:ind w:left="540" w:hanging="540"/>
        <w:jc w:val="left"/>
      </w:pPr>
      <w:r>
        <w:rPr>
          <w:sz w:val="20"/>
          <w:szCs w:val="20"/>
        </w:rPr>
        <w:t xml:space="preserve">INVAP. (2024). </w:t>
      </w:r>
      <w:r>
        <w:rPr>
          <w:i/>
          <w:iCs/>
          <w:sz w:val="20"/>
          <w:szCs w:val="20"/>
        </w:rPr>
        <w:t xml:space="preserve">SAOCOM mission brochure</w:t>
      </w:r>
      <w:r>
        <w:rPr>
          <w:sz w:val="20"/>
          <w:szCs w:val="20"/>
        </w:rPr>
        <w:t xml:space="preserve">. https://www.invap.com.ar</w:t>
      </w:r>
    </w:p>
    <w:p>
      <w:pPr>
        <w:spacing w:after="100" w:line="260"/>
        <w:ind w:left="540" w:hanging="540"/>
        <w:jc w:val="left"/>
      </w:pPr>
      <w:r>
        <w:rPr>
          <w:sz w:val="20"/>
          <w:szCs w:val="20"/>
        </w:rPr>
        <w:t xml:space="preserve">INVAP. (2025). </w:t>
      </w:r>
      <w:r>
        <w:rPr>
          <w:i/>
          <w:iCs/>
          <w:sz w:val="20"/>
          <w:szCs w:val="20"/>
        </w:rPr>
        <w:t xml:space="preserve">Presentación institucional</w:t>
      </w:r>
      <w:r>
        <w:rPr>
          <w:sz w:val="20"/>
          <w:szCs w:val="20"/>
        </w:rPr>
        <w:t xml:space="preserve">. https://www.invap.com.ar/la-empresa/presentacion/</w:t>
      </w:r>
    </w:p>
    <w:p>
      <w:pPr>
        <w:spacing w:after="100" w:line="260"/>
        <w:ind w:left="540" w:hanging="540"/>
        <w:jc w:val="left"/>
      </w:pPr>
      <w:r>
        <w:rPr>
          <w:sz w:val="20"/>
          <w:szCs w:val="20"/>
        </w:rPr>
        <w:t xml:space="preserve">Ishikawa, K. (1985). </w:t>
      </w:r>
      <w:r>
        <w:rPr>
          <w:i/>
          <w:iCs/>
          <w:sz w:val="20"/>
          <w:szCs w:val="20"/>
        </w:rPr>
        <w:t xml:space="preserve">What is total quality control? The Japanese way</w:t>
      </w:r>
      <w:r>
        <w:rPr>
          <w:sz w:val="20"/>
          <w:szCs w:val="20"/>
        </w:rPr>
        <w:t xml:space="preserve">. Prentice-Hall.</w:t>
      </w:r>
    </w:p>
    <w:p>
      <w:pPr>
        <w:spacing w:after="100" w:line="260"/>
        <w:ind w:left="540" w:hanging="540"/>
        <w:jc w:val="left"/>
      </w:pPr>
      <w:r>
        <w:rPr>
          <w:sz w:val="20"/>
          <w:szCs w:val="20"/>
        </w:rPr>
        <w:t xml:space="preserve">KeepTrack. (2026). </w:t>
      </w:r>
      <w:r>
        <w:rPr>
          <w:i/>
          <w:iCs/>
          <w:sz w:val="20"/>
          <w:szCs w:val="20"/>
        </w:rPr>
        <w:t xml:space="preserve">Santa Maria Spaceport (Azores)</w:t>
      </w:r>
      <w:r>
        <w:rPr>
          <w:sz w:val="20"/>
          <w:szCs w:val="20"/>
        </w:rPr>
        <w:t xml:space="preserve">. https://keeptrack.space/deep-dive/santa-maria-spaceport</w:t>
      </w:r>
    </w:p>
    <w:p>
      <w:pPr>
        <w:spacing w:after="100" w:line="260"/>
        <w:ind w:left="540" w:hanging="540"/>
        <w:jc w:val="left"/>
      </w:pPr>
      <w:r>
        <w:rPr>
          <w:sz w:val="20"/>
          <w:szCs w:val="20"/>
        </w:rPr>
        <w:t xml:space="preserve">Korea Aerospace Research Institute (KARI). (s.f.). </w:t>
      </w:r>
      <w:r>
        <w:rPr>
          <w:i/>
          <w:iCs/>
          <w:sz w:val="20"/>
          <w:szCs w:val="20"/>
        </w:rPr>
        <w:t xml:space="preserve">Nuri (KSLV-II): development and technology transfer to the private sector</w:t>
      </w:r>
      <w:r>
        <w:rPr>
          <w:sz w:val="20"/>
          <w:szCs w:val="20"/>
        </w:rPr>
        <w:t xml:space="preserve">. https://www.kari.re.kr</w:t>
      </w:r>
    </w:p>
    <w:p>
      <w:pPr>
        <w:spacing w:after="100" w:line="260"/>
        <w:ind w:left="540" w:hanging="540"/>
        <w:jc w:val="left"/>
      </w:pPr>
      <w:r>
        <w:rPr>
          <w:sz w:val="20"/>
          <w:szCs w:val="20"/>
        </w:rPr>
        <w:t xml:space="preserve">Korea Times. (2025, 29 de julio). </w:t>
      </w:r>
      <w:r>
        <w:rPr>
          <w:i/>
          <w:iCs/>
          <w:sz w:val="20"/>
          <w:szCs w:val="20"/>
        </w:rPr>
        <w:t xml:space="preserve">Hanwha on mission to private space era with Nuri rocket legacy</w:t>
      </w:r>
      <w:r>
        <w:rPr>
          <w:sz w:val="20"/>
          <w:szCs w:val="20"/>
        </w:rPr>
        <w:t xml:space="preserve">. https://www.koreatimes.co.kr</w:t>
      </w:r>
    </w:p>
    <w:p>
      <w:pPr>
        <w:spacing w:after="100" w:line="260"/>
        <w:ind w:left="540" w:hanging="540"/>
        <w:jc w:val="left"/>
      </w:pPr>
      <w:r>
        <w:rPr>
          <w:sz w:val="20"/>
          <w:szCs w:val="20"/>
        </w:rPr>
        <w:t xml:space="preserve">Laboratorio Nacional de Computación de Alto Rendimiento. (2024). </w:t>
      </w:r>
      <w:r>
        <w:rPr>
          <w:i/>
          <w:iCs/>
          <w:sz w:val="20"/>
          <w:szCs w:val="20"/>
        </w:rPr>
        <w:t xml:space="preserve">Infraestructura: supercomputador Guacolda-Leftraru</w:t>
      </w:r>
      <w:r>
        <w:rPr>
          <w:sz w:val="20"/>
          <w:szCs w:val="20"/>
        </w:rPr>
        <w:t xml:space="preserve">. https://www.nlhpc.cl/infraestructura/</w:t>
      </w:r>
    </w:p>
    <w:p>
      <w:pPr>
        <w:spacing w:after="100" w:line="260"/>
        <w:ind w:left="540" w:hanging="540"/>
        <w:jc w:val="left"/>
      </w:pPr>
      <w:r>
        <w:rPr>
          <w:sz w:val="20"/>
          <w:szCs w:val="20"/>
        </w:rPr>
        <w:t xml:space="preserve">Ley 21.105. (2018, 13 de agosto). </w:t>
      </w:r>
      <w:r>
        <w:rPr>
          <w:i/>
          <w:iCs/>
          <w:sz w:val="20"/>
          <w:szCs w:val="20"/>
        </w:rPr>
        <w:t xml:space="preserve">Crea el Ministerio de Ciencia, Tecnología, Conocimiento e Innovación</w:t>
      </w:r>
      <w:r>
        <w:rPr>
          <w:sz w:val="20"/>
          <w:szCs w:val="20"/>
        </w:rPr>
        <w:t xml:space="preserve">. Diario Oficial de la República de Chile. https://www.bcn.cl/leychile/navegar?idNorma=1121682</w:t>
      </w:r>
    </w:p>
    <w:p>
      <w:pPr>
        <w:spacing w:after="100" w:line="260"/>
        <w:ind w:left="540" w:hanging="540"/>
        <w:jc w:val="left"/>
      </w:pPr>
      <w:r>
        <w:rPr>
          <w:sz w:val="20"/>
          <w:szCs w:val="20"/>
        </w:rPr>
        <w:t xml:space="preserve">Linstone, H. A., &amp; Turoff, M. (Eds.). (1975). </w:t>
      </w:r>
      <w:r>
        <w:rPr>
          <w:i/>
          <w:iCs/>
          <w:sz w:val="20"/>
          <w:szCs w:val="20"/>
        </w:rPr>
        <w:t xml:space="preserve">The Delphi method: Techniques and applications</w:t>
      </w:r>
      <w:r>
        <w:rPr>
          <w:sz w:val="20"/>
          <w:szCs w:val="20"/>
        </w:rPr>
        <w:t xml:space="preserve">. Addison-Wesley.</w:t>
      </w:r>
    </w:p>
    <w:p>
      <w:pPr>
        <w:spacing w:after="100" w:line="260"/>
        <w:ind w:left="540" w:hanging="540"/>
        <w:jc w:val="left"/>
      </w:pPr>
      <w:r>
        <w:rPr>
          <w:sz w:val="20"/>
          <w:szCs w:val="20"/>
        </w:rPr>
        <w:t xml:space="preserve">Mars Society Argentina. (s.f.). </w:t>
      </w:r>
      <w:r>
        <w:rPr>
          <w:i/>
          <w:iCs/>
          <w:sz w:val="20"/>
          <w:szCs w:val="20"/>
        </w:rPr>
        <w:t xml:space="preserve">30 años de CONAE</w:t>
      </w:r>
      <w:r>
        <w:rPr>
          <w:sz w:val="20"/>
          <w:szCs w:val="20"/>
        </w:rPr>
        <w:t xml:space="preserve">. https://argentina.marssociety.org/30-anios-de-conae/</w:t>
      </w:r>
    </w:p>
    <w:p>
      <w:pPr>
        <w:spacing w:after="100" w:line="260"/>
        <w:ind w:left="540" w:hanging="540"/>
        <w:jc w:val="left"/>
      </w:pPr>
      <w:r>
        <w:rPr>
          <w:sz w:val="20"/>
          <w:szCs w:val="20"/>
        </w:rPr>
        <w:t xml:space="preserve">Meganesia. (2026). </w:t>
      </w:r>
      <w:r>
        <w:rPr>
          <w:i/>
          <w:iCs/>
          <w:sz w:val="20"/>
          <w:szCs w:val="20"/>
        </w:rPr>
        <w:t xml:space="preserve">Nova política de inovação da AEB busca fortalecer o setor espacial brasileiro</w:t>
      </w:r>
      <w:r>
        <w:rPr>
          <w:sz w:val="20"/>
          <w:szCs w:val="20"/>
        </w:rPr>
        <w:t xml:space="preserve">. https://meganesia.com.br</w:t>
      </w:r>
    </w:p>
    <w:p>
      <w:pPr>
        <w:spacing w:after="100" w:line="260"/>
        <w:ind w:left="540" w:hanging="540"/>
        <w:jc w:val="left"/>
      </w:pPr>
      <w:r>
        <w:rPr>
          <w:sz w:val="20"/>
          <w:szCs w:val="20"/>
        </w:rPr>
        <w:t xml:space="preserve">Ministerio de Ciencia, Tecnología, Conocimiento e Innovación. (2025). </w:t>
      </w:r>
      <w:r>
        <w:rPr>
          <w:i/>
          <w:iCs/>
          <w:sz w:val="20"/>
          <w:szCs w:val="20"/>
        </w:rPr>
        <w:t xml:space="preserve">Presidente Boric inaugura el Centro Espacial Nacional</w:t>
      </w:r>
      <w:r>
        <w:rPr>
          <w:sz w:val="20"/>
          <w:szCs w:val="20"/>
        </w:rPr>
        <w:t xml:space="preserve">. https://www.minciencia.gob.cl</w:t>
      </w:r>
    </w:p>
    <w:p>
      <w:pPr>
        <w:spacing w:after="100" w:line="260"/>
        <w:ind w:left="540" w:hanging="540"/>
        <w:jc w:val="left"/>
      </w:pPr>
      <w:r>
        <w:rPr>
          <w:sz w:val="20"/>
          <w:szCs w:val="20"/>
        </w:rPr>
        <w:t xml:space="preserve">Mitchell, R. K., Agle, B. R., &amp; Wood, D. J. (1997). Toward a theory of stakeholder identification and salience: Defining the principle of who and what really counts. </w:t>
      </w:r>
      <w:r>
        <w:rPr>
          <w:i/>
          <w:iCs/>
          <w:sz w:val="20"/>
          <w:szCs w:val="20"/>
        </w:rPr>
        <w:t xml:space="preserve">Academy of Management Review, 22</w:t>
      </w:r>
      <w:r>
        <w:rPr>
          <w:sz w:val="20"/>
          <w:szCs w:val="20"/>
        </w:rPr>
        <w:t xml:space="preserve">(4), 853-886.</w:t>
      </w:r>
    </w:p>
    <w:p>
      <w:pPr>
        <w:spacing w:after="100" w:line="260"/>
        <w:ind w:left="540" w:hanging="540"/>
        <w:jc w:val="left"/>
      </w:pPr>
      <w:r>
        <w:rPr>
          <w:sz w:val="20"/>
          <w:szCs w:val="20"/>
        </w:rPr>
        <w:t xml:space="preserve">Okoli, C., &amp; Pawlowski, S. D. (2004). The Delphi method as a research tool: An example, design considerations and applications. </w:t>
      </w:r>
      <w:r>
        <w:rPr>
          <w:i/>
          <w:iCs/>
          <w:sz w:val="20"/>
          <w:szCs w:val="20"/>
        </w:rPr>
        <w:t xml:space="preserve">Information &amp; Management, 42</w:t>
      </w:r>
      <w:r>
        <w:rPr>
          <w:sz w:val="20"/>
          <w:szCs w:val="20"/>
        </w:rPr>
        <w:t xml:space="preserve">(1), 15-29.</w:t>
      </w:r>
    </w:p>
    <w:p>
      <w:pPr>
        <w:spacing w:after="100" w:line="260"/>
        <w:ind w:left="540" w:hanging="540"/>
        <w:jc w:val="left"/>
      </w:pPr>
      <w:r>
        <w:rPr>
          <w:sz w:val="20"/>
          <w:szCs w:val="20"/>
        </w:rPr>
        <w:t xml:space="preserve">Organización para la Cooperación y el Desarrollo Económicos. (2022). </w:t>
      </w:r>
      <w:r>
        <w:rPr>
          <w:i/>
          <w:iCs/>
          <w:sz w:val="20"/>
          <w:szCs w:val="20"/>
        </w:rPr>
        <w:t xml:space="preserve">OECD handbook on measuring the space economy</w:t>
      </w:r>
      <w:r>
        <w:rPr>
          <w:sz w:val="20"/>
          <w:szCs w:val="20"/>
        </w:rPr>
        <w:t xml:space="preserve"> (2.ª ed.). OECD Publishing. https://doi.org/10.1787/8bfef437-en</w:t>
      </w:r>
    </w:p>
    <w:p>
      <w:pPr>
        <w:spacing w:after="100" w:line="260"/>
        <w:ind w:left="540" w:hanging="540"/>
        <w:jc w:val="left"/>
      </w:pPr>
      <w:r>
        <w:rPr>
          <w:sz w:val="20"/>
          <w:szCs w:val="20"/>
        </w:rPr>
        <w:t xml:space="preserve">Osterwalder, A., &amp; Pigneur, Y. (2010). </w:t>
      </w:r>
      <w:r>
        <w:rPr>
          <w:i/>
          <w:iCs/>
          <w:sz w:val="20"/>
          <w:szCs w:val="20"/>
        </w:rPr>
        <w:t xml:space="preserve">Business model generation: A handbook for visionaries, game changers, and challengers</w:t>
      </w:r>
      <w:r>
        <w:rPr>
          <w:sz w:val="20"/>
          <w:szCs w:val="20"/>
        </w:rPr>
        <w:t xml:space="preserve">. John Wiley &amp; Sons.</w:t>
      </w:r>
    </w:p>
    <w:p>
      <w:pPr>
        <w:spacing w:after="100" w:line="260"/>
        <w:ind w:left="540" w:hanging="540"/>
        <w:jc w:val="left"/>
      </w:pPr>
      <w:r>
        <w:rPr>
          <w:sz w:val="20"/>
          <w:szCs w:val="20"/>
        </w:rPr>
        <w:t xml:space="preserve">Paulk, M. C., Curtis, B., Chrissis, M. B., &amp; Weber, C. V. (1993). Capability maturity model, version 1.1. </w:t>
      </w:r>
      <w:r>
        <w:rPr>
          <w:i/>
          <w:iCs/>
          <w:sz w:val="20"/>
          <w:szCs w:val="20"/>
        </w:rPr>
        <w:t xml:space="preserve">IEEE Software, 10</w:t>
      </w:r>
      <w:r>
        <w:rPr>
          <w:sz w:val="20"/>
          <w:szCs w:val="20"/>
        </w:rPr>
        <w:t xml:space="preserve">(4), 18-27.</w:t>
      </w:r>
    </w:p>
    <w:p>
      <w:pPr>
        <w:spacing w:after="100" w:line="260"/>
        <w:ind w:left="540" w:hanging="540"/>
        <w:jc w:val="left"/>
      </w:pPr>
      <w:r>
        <w:rPr>
          <w:sz w:val="20"/>
          <w:szCs w:val="20"/>
        </w:rPr>
        <w:t xml:space="preserve">Porter, M. E. (1990). The competitive advantage of nations. </w:t>
      </w:r>
      <w:r>
        <w:rPr>
          <w:i/>
          <w:iCs/>
          <w:sz w:val="20"/>
          <w:szCs w:val="20"/>
        </w:rPr>
        <w:t xml:space="preserve">Harvard Business Review, 68</w:t>
      </w:r>
      <w:r>
        <w:rPr>
          <w:sz w:val="20"/>
          <w:szCs w:val="20"/>
        </w:rPr>
        <w:t xml:space="preserve">(2), 73-93.</w:t>
      </w:r>
    </w:p>
    <w:p>
      <w:pPr>
        <w:spacing w:after="100" w:line="260"/>
        <w:ind w:left="540" w:hanging="540"/>
        <w:jc w:val="left"/>
      </w:pPr>
      <w:r>
        <w:rPr>
          <w:sz w:val="20"/>
          <w:szCs w:val="20"/>
        </w:rPr>
        <w:t xml:space="preserve">Reconoce. (2012). </w:t>
      </w:r>
      <w:r>
        <w:rPr>
          <w:i/>
          <w:iCs/>
          <w:sz w:val="20"/>
          <w:szCs w:val="20"/>
        </w:rPr>
        <w:t xml:space="preserve">Entrevista con Carlos Duarte Muñoz, Agencia Espacial Mexicana</w:t>
      </w:r>
      <w:r>
        <w:rPr>
          <w:sz w:val="20"/>
          <w:szCs w:val="20"/>
        </w:rPr>
        <w:t xml:space="preserve">. http://www.reconoce.mx</w:t>
      </w:r>
    </w:p>
    <w:p>
      <w:pPr>
        <w:spacing w:after="100" w:line="260"/>
        <w:ind w:left="540" w:hanging="540"/>
        <w:jc w:val="left"/>
      </w:pPr>
      <w:r>
        <w:rPr>
          <w:sz w:val="20"/>
          <w:szCs w:val="20"/>
        </w:rPr>
        <w:t xml:space="preserve">Rockart, J. F. (1979). Chief executives define their own data needs. </w:t>
      </w:r>
      <w:r>
        <w:rPr>
          <w:i/>
          <w:iCs/>
          <w:sz w:val="20"/>
          <w:szCs w:val="20"/>
        </w:rPr>
        <w:t xml:space="preserve">Harvard Business Review, 57</w:t>
      </w:r>
      <w:r>
        <w:rPr>
          <w:sz w:val="20"/>
          <w:szCs w:val="20"/>
        </w:rPr>
        <w:t xml:space="preserve">(2), 81-93.</w:t>
      </w:r>
    </w:p>
    <w:p>
      <w:pPr>
        <w:spacing w:after="100" w:line="260"/>
        <w:ind w:left="540" w:hanging="540"/>
        <w:jc w:val="left"/>
      </w:pPr>
      <w:r>
        <w:rPr>
          <w:sz w:val="20"/>
          <w:szCs w:val="20"/>
        </w:rPr>
        <w:t xml:space="preserve">Springer Nature. (2025). </w:t>
      </w:r>
      <w:r>
        <w:rPr>
          <w:i/>
          <w:iCs/>
          <w:sz w:val="20"/>
          <w:szCs w:val="20"/>
        </w:rPr>
        <w:t xml:space="preserve">The Mexican space sector</w:t>
      </w:r>
      <w:r>
        <w:rPr>
          <w:sz w:val="20"/>
          <w:szCs w:val="20"/>
        </w:rPr>
        <w:t xml:space="preserve"> [capítulo]. https://link.springer.com/chapter/10.1007/978-3-032-05828-7_6</w:t>
      </w:r>
    </w:p>
    <w:p>
      <w:pPr>
        <w:spacing w:after="100" w:line="260"/>
        <w:ind w:left="540" w:hanging="540"/>
        <w:jc w:val="left"/>
      </w:pPr>
      <w:r>
        <w:rPr>
          <w:sz w:val="20"/>
          <w:szCs w:val="20"/>
        </w:rPr>
        <w:t xml:space="preserve">Subsecretaría de Telecomunicaciones. (2024). </w:t>
      </w:r>
      <w:r>
        <w:rPr>
          <w:i/>
          <w:iCs/>
          <w:sz w:val="20"/>
          <w:szCs w:val="20"/>
        </w:rPr>
        <w:t xml:space="preserve">Agenda espacial</w:t>
      </w:r>
      <w:r>
        <w:rPr>
          <w:sz w:val="20"/>
          <w:szCs w:val="20"/>
        </w:rPr>
        <w:t xml:space="preserve">. https://www.subtel.gob.cl/agenda-espacial/</w:t>
      </w:r>
    </w:p>
    <w:p>
      <w:pPr>
        <w:spacing w:after="100" w:line="260"/>
        <w:ind w:left="540" w:hanging="540"/>
        <w:jc w:val="left"/>
      </w:pPr>
      <w:r>
        <w:rPr>
          <w:sz w:val="20"/>
          <w:szCs w:val="20"/>
        </w:rPr>
        <w:t xml:space="preserve">Teece, D. J., Pisano, G., &amp; Shuen, A. (1997). Dynamic capabilities and strategic management. </w:t>
      </w:r>
      <w:r>
        <w:rPr>
          <w:i/>
          <w:iCs/>
          <w:sz w:val="20"/>
          <w:szCs w:val="20"/>
        </w:rPr>
        <w:t xml:space="preserve">Strategic Management Journal, 18</w:t>
      </w:r>
      <w:r>
        <w:rPr>
          <w:sz w:val="20"/>
          <w:szCs w:val="20"/>
        </w:rPr>
        <w:t xml:space="preserve">(7), 509-533.</w:t>
      </w:r>
    </w:p>
    <w:p>
      <w:pPr>
        <w:spacing w:after="100" w:line="260"/>
        <w:ind w:left="540" w:hanging="540"/>
        <w:jc w:val="left"/>
      </w:pPr>
      <w:r>
        <w:rPr>
          <w:sz w:val="20"/>
          <w:szCs w:val="20"/>
        </w:rPr>
        <w:t xml:space="preserve">The Clinic. (2025, 22 de diciembre). </w:t>
      </w:r>
      <w:r>
        <w:rPr>
          <w:i/>
          <w:iCs/>
          <w:sz w:val="20"/>
          <w:szCs w:val="20"/>
        </w:rPr>
        <w:t xml:space="preserve">Hoy se inaugura el primer Centro Espacial Nacional de Chile en Cerrillos</w:t>
      </w:r>
      <w:r>
        <w:rPr>
          <w:sz w:val="20"/>
          <w:szCs w:val="20"/>
        </w:rPr>
        <w:t xml:space="preserve">. https://www.theclinic.cl</w:t>
      </w:r>
    </w:p>
    <w:p>
      <w:pPr>
        <w:spacing w:after="100" w:line="260"/>
        <w:ind w:left="540" w:hanging="540"/>
        <w:jc w:val="left"/>
      </w:pPr>
      <w:r>
        <w:rPr>
          <w:sz w:val="20"/>
          <w:szCs w:val="20"/>
        </w:rPr>
        <w:t xml:space="preserve">Universidad Católica (UC). (2016). </w:t>
      </w:r>
      <w:r>
        <w:rPr>
          <w:i/>
          <w:iCs/>
          <w:sz w:val="20"/>
          <w:szCs w:val="20"/>
        </w:rPr>
        <w:t xml:space="preserve">Astroingeniería instala el primer instrumento chileno (FIDEOS) en un observatorio internacional</w:t>
      </w:r>
      <w:r>
        <w:rPr>
          <w:sz w:val="20"/>
          <w:szCs w:val="20"/>
        </w:rPr>
        <w:t xml:space="preserve">. https://www.uc.cl</w:t>
      </w:r>
    </w:p>
    <w:p>
      <w:pPr>
        <w:spacing w:after="100" w:line="260"/>
        <w:ind w:left="540" w:hanging="540"/>
        <w:jc w:val="left"/>
      </w:pPr>
      <w:r>
        <w:rPr>
          <w:sz w:val="20"/>
          <w:szCs w:val="20"/>
        </w:rPr>
        <w:t xml:space="preserve">Universidad de Chile. (2019). </w:t>
      </w:r>
      <w:r>
        <w:rPr>
          <w:i/>
          <w:iCs/>
          <w:sz w:val="20"/>
          <w:szCs w:val="20"/>
        </w:rPr>
        <w:t xml:space="preserve">Culminó con éxito su primera misión espacial (SUCHAI-1)</w:t>
      </w:r>
      <w:r>
        <w:rPr>
          <w:sz w:val="20"/>
          <w:szCs w:val="20"/>
        </w:rPr>
        <w:t xml:space="preserve">. https://ingenieria.uchile.cl</w:t>
      </w:r>
    </w:p>
    <w:p>
      <w:pPr>
        <w:spacing w:after="100" w:line="260"/>
        <w:ind w:left="540" w:hanging="540"/>
        <w:jc w:val="left"/>
      </w:pPr>
      <w:r>
        <w:rPr>
          <w:sz w:val="20"/>
          <w:szCs w:val="20"/>
        </w:rPr>
        <w:t xml:space="preserve">Universidad de Chile. (2022). </w:t>
      </w:r>
      <w:r>
        <w:rPr>
          <w:i/>
          <w:iCs/>
          <w:sz w:val="20"/>
          <w:szCs w:val="20"/>
        </w:rPr>
        <w:t xml:space="preserve">Programa Espacial U. de Chile: una escuela de talentos</w:t>
      </w:r>
      <w:r>
        <w:rPr>
          <w:sz w:val="20"/>
          <w:szCs w:val="20"/>
        </w:rPr>
        <w:t xml:space="preserve">. https://ingenieria.uchile.cl</w:t>
      </w:r>
    </w:p>
    <w:p>
      <w:pPr>
        <w:spacing w:after="100" w:line="260"/>
        <w:ind w:left="540" w:hanging="540"/>
        <w:jc w:val="left"/>
      </w:pPr>
      <w:r>
        <w:rPr>
          <w:sz w:val="20"/>
          <w:szCs w:val="20"/>
        </w:rPr>
        <w:t xml:space="preserve">Universidad de Chile. (2026). </w:t>
      </w:r>
      <w:r>
        <w:rPr>
          <w:i/>
          <w:iCs/>
          <w:sz w:val="20"/>
          <w:szCs w:val="20"/>
        </w:rPr>
        <w:t xml:space="preserve">SUCHAI-4 envía cerca de 60 experimentos al espacio</w:t>
      </w:r>
      <w:r>
        <w:rPr>
          <w:sz w:val="20"/>
          <w:szCs w:val="20"/>
        </w:rPr>
        <w:t xml:space="preserve">. https://radio.uchile.cl</w:t>
      </w:r>
    </w:p>
    <w:p>
      <w:pPr>
        <w:spacing w:after="100" w:line="260"/>
        <w:ind w:left="540" w:hanging="540"/>
        <w:jc w:val="left"/>
      </w:pPr>
      <w:r>
        <w:rPr>
          <w:sz w:val="20"/>
          <w:szCs w:val="20"/>
        </w:rPr>
        <w:t xml:space="preserve">Universidad de Santiago de Chile (USACH). (2026). </w:t>
      </w:r>
      <w:r>
        <w:rPr>
          <w:i/>
          <w:iCs/>
          <w:sz w:val="20"/>
          <w:szCs w:val="20"/>
        </w:rPr>
        <w:t xml:space="preserve">Nanosatélite chileno en órbita</w:t>
      </w:r>
      <w:r>
        <w:rPr>
          <w:sz w:val="20"/>
          <w:szCs w:val="20"/>
        </w:rPr>
        <w:t xml:space="preserve">. https://usach.cl</w:t>
      </w:r>
    </w:p>
    <w:p>
      <w:pPr>
        <w:spacing w:after="100" w:line="260"/>
        <w:ind w:left="540" w:hanging="540"/>
        <w:jc w:val="left"/>
      </w:pPr>
      <w:r>
        <w:rPr>
          <w:sz w:val="20"/>
          <w:szCs w:val="20"/>
        </w:rPr>
        <w:t xml:space="preserve">VdA. (2025). </w:t>
      </w:r>
      <w:r>
        <w:rPr>
          <w:i/>
          <w:iCs/>
          <w:sz w:val="20"/>
          <w:szCs w:val="20"/>
        </w:rPr>
        <w:t xml:space="preserve">Lexology In-Depth: Space Law 2025 — Portugal</w:t>
      </w:r>
      <w:r>
        <w:rPr>
          <w:sz w:val="20"/>
          <w:szCs w:val="20"/>
        </w:rPr>
        <w:t xml:space="preserve">. https://www.vda.pt</w:t>
      </w:r>
    </w:p>
    <w:p>
      <w:pPr>
        <w:spacing w:after="100" w:line="260"/>
        <w:ind w:left="540" w:hanging="540"/>
        <w:jc w:val="left"/>
      </w:pPr>
      <w:r>
        <w:rPr>
          <w:sz w:val="20"/>
          <w:szCs w:val="20"/>
        </w:rPr>
        <w:t xml:space="preserve">Weihrich, H. (1982). The TOWS matrix: A tool for situational analysis. </w:t>
      </w:r>
      <w:r>
        <w:rPr>
          <w:i/>
          <w:iCs/>
          <w:sz w:val="20"/>
          <w:szCs w:val="20"/>
        </w:rPr>
        <w:t xml:space="preserve">Long Range Planning, 15</w:t>
      </w:r>
      <w:r>
        <w:rPr>
          <w:sz w:val="20"/>
          <w:szCs w:val="20"/>
        </w:rPr>
        <w:t xml:space="preserve">(2), 54-66.</w:t>
      </w:r>
    </w:p>
    <w:p>
      <w:pPr>
        <w:spacing w:after="100" w:line="260"/>
        <w:ind w:left="540" w:hanging="540"/>
        <w:jc w:val="left"/>
      </w:pPr>
      <w:r>
        <w:rPr>
          <w:sz w:val="20"/>
          <w:szCs w:val="20"/>
        </w:rPr>
        <w:t xml:space="preserve">Yin, R. K. (2014). </w:t>
      </w:r>
      <w:r>
        <w:rPr>
          <w:i/>
          <w:iCs/>
          <w:sz w:val="20"/>
          <w:szCs w:val="20"/>
        </w:rPr>
        <w:t xml:space="preserve">Case study research: Design and methods</w:t>
      </w:r>
      <w:r>
        <w:rPr>
          <w:sz w:val="20"/>
          <w:szCs w:val="20"/>
        </w:rPr>
        <w:t xml:space="preserve"> (5.ª ed.). SAGE Publications.</w:t>
      </w:r>
    </w:p>
    <w:p>
      <w:pPr>
        <w:pStyle w:val="Heading1"/>
        <w:pageBreakBefore/>
      </w:pPr>
      <w:r>
        <w:t xml:space="preserve">ANEXO A. PAUTA PRELIMINAR DE ENTREVISTA SEMIESTRUCTURADA</w:t>
      </w:r>
    </w:p>
    <w:p>
      <w:pPr>
        <w:spacing w:after="140" w:line="300"/>
        <w:jc w:val="both"/>
      </w:pPr>
      <w:r>
        <w:t xml:space="preserve">Esta pauta es preliminar y se ajustará según el perfil del entrevistado y los resultados de las primeras entrevistas. Cada bloque se vincula con las hipótesis que busca contrastar (sección 2.10).</w:t>
      </w:r>
    </w:p>
    <w:p>
      <w:pPr>
        <w:pStyle w:val="Caption"/>
        <w:keepNext/>
        <w:spacing w:after="80" w:before="200"/>
        <w:jc w:val="center"/>
      </w:pPr>
      <w:r>
        <w:rPr>
          <w:b/>
          <w:bCs/>
        </w:rPr>
        <w:t xml:space="preserve">Tabla </w:t>
      </w:r>
      <w:fldSimple w:instr="SEQ Tabla \* ARABIC">
        <w:r>
          <w:t xml:space="preserve">32</w:t>
        </w:r>
      </w:fldSimple>
      <w:r>
        <w:rPr>
          <w:b/>
          <w:bCs/>
        </w:rPr>
        <w:t xml:space="preserve">. Pauta preliminar de entrevista por bloque temático</w:t>
      </w:r>
    </w:p>
    <w:tbl>
      <w:tblPr>
        <w:tblW w:type="dxa" w:w="9000"/>
        <w:tblBorders>
          <w:top w:val="single" w:color="A6A6A6" w:sz="4"/>
          <w:left w:val="single" w:color="A6A6A6" w:sz="4"/>
          <w:bottom w:val="single" w:color="A6A6A6" w:sz="4"/>
          <w:right w:val="single" w:color="A6A6A6" w:sz="4"/>
          <w:insideH w:val="single" w:color="A6A6A6" w:sz="4"/>
          <w:insideV w:val="single" w:color="A6A6A6" w:sz="4"/>
        </w:tblBorders>
      </w:tblPr>
      <w:tblGrid>
        <w:gridCol w:w="2160"/>
        <w:gridCol w:w="5040"/>
        <w:gridCol w:w="1800"/>
      </w:tblGrid>
      <w:tr>
        <w:trPr>
          <w:cantSplit/>
          <w:tblHeader/>
        </w:trPr>
        <w:tc>
          <w:tcPr>
            <w:tcW w:type="dxa" w:w="216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Bloque</w:t>
            </w:r>
          </w:p>
        </w:tc>
        <w:tc>
          <w:tcPr>
            <w:tcW w:type="dxa" w:w="504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Preguntas guía</w:t>
            </w:r>
          </w:p>
        </w:tc>
        <w:tc>
          <w:tcPr>
            <w:tcW w:type="dxa" w:w="1800"/>
            <w:shd w:fill="1F3864" w:color="auto" w:val="clear"/>
            <w:tcMar>
              <w:top w:type="dxa" w:w="50"/>
              <w:left w:type="dxa" w:w="80"/>
              <w:bottom w:type="dxa" w:w="50"/>
              <w:right w:type="dxa" w:w="80"/>
            </w:tcMar>
            <w:vAlign w:val="center"/>
          </w:tcPr>
          <w:p>
            <w:pPr>
              <w:spacing w:after="20" w:line="240"/>
              <w:jc w:val="center"/>
            </w:pPr>
            <w:r>
              <w:rPr>
                <w:b/>
                <w:bCs/>
                <w:color w:val="FFFFFF"/>
                <w:sz w:val="17"/>
                <w:szCs w:val="17"/>
              </w:rPr>
              <w:t xml:space="preserve">Hipótesis</w:t>
            </w:r>
          </w:p>
        </w:tc>
      </w:tr>
      <w:tr>
        <w:trPr>
          <w:cantSplit/>
        </w:trPr>
        <w:tc>
          <w:tcPr>
            <w:tcW w:type="dxa" w:w="2160"/>
            <w:tcMar>
              <w:top w:type="dxa" w:w="50"/>
              <w:left w:type="dxa" w:w="80"/>
              <w:bottom w:type="dxa" w:w="50"/>
              <w:right w:type="dxa" w:w="80"/>
            </w:tcMar>
            <w:vAlign w:val="center"/>
          </w:tcPr>
          <w:p>
            <w:pPr>
              <w:keepNext w:val="false"/>
              <w:spacing w:after="20" w:line="240"/>
              <w:jc w:val="left"/>
            </w:pPr>
            <w:r>
              <w:rPr>
                <w:sz w:val="17"/>
                <w:szCs w:val="17"/>
              </w:rPr>
              <w:t xml:space="preserve">1. Infraestructura y uso</w:t>
            </w:r>
          </w:p>
        </w:tc>
        <w:tc>
          <w:tcPr>
            <w:tcW w:type="dxa" w:w="5040"/>
            <w:tcMar>
              <w:top w:type="dxa" w:w="50"/>
              <w:left w:type="dxa" w:w="80"/>
              <w:bottom w:type="dxa" w:w="50"/>
              <w:right w:type="dxa" w:w="80"/>
            </w:tcMar>
            <w:vAlign w:val="center"/>
          </w:tcPr>
          <w:p>
            <w:pPr>
              <w:keepNext w:val="false"/>
              <w:spacing w:after="20" w:line="240"/>
              <w:jc w:val="left"/>
            </w:pPr>
            <w:r>
              <w:rPr>
                <w:sz w:val="17"/>
                <w:szCs w:val="17"/>
              </w:rPr>
              <w:t xml:space="preserve">¿Cuáles son las especificaciones técnicas de la sala limpia, la cámara de simulación y el HPC? ¿Qué actividades reales se han realizado y con qué frecuencia? ¿Existen registros o procedimientos documentados?</w:t>
            </w:r>
          </w:p>
        </w:tc>
        <w:tc>
          <w:tcPr>
            <w:tcW w:type="dxa" w:w="1800"/>
            <w:tcMar>
              <w:top w:type="dxa" w:w="50"/>
              <w:left w:type="dxa" w:w="80"/>
              <w:bottom w:type="dxa" w:w="50"/>
              <w:right w:type="dxa" w:w="80"/>
            </w:tcMar>
            <w:vAlign w:val="center"/>
          </w:tcPr>
          <w:p>
            <w:pPr>
              <w:keepNext w:val="false"/>
              <w:spacing w:after="20" w:line="240"/>
              <w:jc w:val="left"/>
            </w:pPr>
            <w:r>
              <w:rPr>
                <w:sz w:val="17"/>
                <w:szCs w:val="17"/>
              </w:rPr>
              <w:t xml:space="preserve">H2, H3</w:t>
            </w:r>
          </w:p>
        </w:tc>
      </w:tr>
      <w:tr>
        <w:trPr>
          <w:cantSplit/>
        </w:trPr>
        <w:tc>
          <w:tcPr>
            <w:tcW w:type="dxa" w:w="2160"/>
            <w:tcMar>
              <w:top w:type="dxa" w:w="50"/>
              <w:left w:type="dxa" w:w="80"/>
              <w:bottom w:type="dxa" w:w="50"/>
              <w:right w:type="dxa" w:w="80"/>
            </w:tcMar>
            <w:vAlign w:val="center"/>
          </w:tcPr>
          <w:p>
            <w:pPr>
              <w:keepNext w:val="false"/>
              <w:spacing w:after="20" w:line="240"/>
              <w:jc w:val="left"/>
            </w:pPr>
            <w:r>
              <w:rPr>
                <w:sz w:val="17"/>
                <w:szCs w:val="17"/>
              </w:rPr>
              <w:t xml:space="preserve">2. Datos</w:t>
            </w:r>
          </w:p>
        </w:tc>
        <w:tc>
          <w:tcPr>
            <w:tcW w:type="dxa" w:w="5040"/>
            <w:tcMar>
              <w:top w:type="dxa" w:w="50"/>
              <w:left w:type="dxa" w:w="80"/>
              <w:bottom w:type="dxa" w:w="50"/>
              <w:right w:type="dxa" w:w="80"/>
            </w:tcMar>
            <w:vAlign w:val="center"/>
          </w:tcPr>
          <w:p>
            <w:pPr>
              <w:keepNext w:val="false"/>
              <w:spacing w:after="20" w:line="240"/>
              <w:jc w:val="left"/>
            </w:pPr>
            <w:r>
              <w:rPr>
                <w:sz w:val="17"/>
                <w:szCs w:val="17"/>
              </w:rPr>
              <w:t xml:space="preserve">¿Qué sensores, resolución, revisita y calendario tendrá la constelación? ¿Qué datos estarían disponibles para usuarios civiles y en qué condiciones?</w:t>
            </w:r>
          </w:p>
        </w:tc>
        <w:tc>
          <w:tcPr>
            <w:tcW w:type="dxa" w:w="1800"/>
            <w:tcMar>
              <w:top w:type="dxa" w:w="50"/>
              <w:left w:type="dxa" w:w="80"/>
              <w:bottom w:type="dxa" w:w="50"/>
              <w:right w:type="dxa" w:w="80"/>
            </w:tcMar>
            <w:vAlign w:val="center"/>
          </w:tcPr>
          <w:p>
            <w:pPr>
              <w:keepNext w:val="false"/>
              <w:spacing w:after="20" w:line="240"/>
              <w:jc w:val="left"/>
            </w:pPr>
            <w:r>
              <w:rPr>
                <w:sz w:val="17"/>
                <w:szCs w:val="17"/>
              </w:rPr>
              <w:t xml:space="preserve">H1, H2</w:t>
            </w:r>
          </w:p>
        </w:tc>
      </w:tr>
      <w:tr>
        <w:trPr>
          <w:cantSplit/>
        </w:trPr>
        <w:tc>
          <w:tcPr>
            <w:tcW w:type="dxa" w:w="2160"/>
            <w:tcMar>
              <w:top w:type="dxa" w:w="50"/>
              <w:left w:type="dxa" w:w="80"/>
              <w:bottom w:type="dxa" w:w="50"/>
              <w:right w:type="dxa" w:w="80"/>
            </w:tcMar>
            <w:vAlign w:val="center"/>
          </w:tcPr>
          <w:p>
            <w:pPr>
              <w:keepNext w:val="false"/>
              <w:spacing w:after="20" w:line="240"/>
              <w:jc w:val="left"/>
            </w:pPr>
            <w:r>
              <w:rPr>
                <w:sz w:val="17"/>
                <w:szCs w:val="17"/>
              </w:rPr>
              <w:t xml:space="preserve">3. Acceso de terceros y seguridad</w:t>
            </w:r>
          </w:p>
        </w:tc>
        <w:tc>
          <w:tcPr>
            <w:tcW w:type="dxa" w:w="5040"/>
            <w:tcMar>
              <w:top w:type="dxa" w:w="50"/>
              <w:left w:type="dxa" w:w="80"/>
              <w:bottom w:type="dxa" w:w="50"/>
              <w:right w:type="dxa" w:w="80"/>
            </w:tcMar>
            <w:vAlign w:val="center"/>
          </w:tcPr>
          <w:p>
            <w:pPr>
              <w:keepNext w:val="false"/>
              <w:spacing w:after="20" w:line="240"/>
              <w:jc w:val="left"/>
            </w:pPr>
            <w:r>
              <w:rPr>
                <w:sz w:val="17"/>
                <w:szCs w:val="17"/>
              </w:rPr>
              <w:t xml:space="preserve">¿Existen normas o prácticas de acceso para universidades, pymes y organismos públicos? ¿Qué restricciones de uso dual o acreditación aplican?</w:t>
            </w:r>
          </w:p>
        </w:tc>
        <w:tc>
          <w:tcPr>
            <w:tcW w:type="dxa" w:w="1800"/>
            <w:tcMar>
              <w:top w:type="dxa" w:w="50"/>
              <w:left w:type="dxa" w:w="80"/>
              <w:bottom w:type="dxa" w:w="50"/>
              <w:right w:type="dxa" w:w="80"/>
            </w:tcMar>
            <w:vAlign w:val="center"/>
          </w:tcPr>
          <w:p>
            <w:pPr>
              <w:keepNext w:val="false"/>
              <w:spacing w:after="20" w:line="240"/>
              <w:jc w:val="left"/>
            </w:pPr>
            <w:r>
              <w:rPr>
                <w:sz w:val="17"/>
                <w:szCs w:val="17"/>
              </w:rPr>
              <w:t xml:space="preserve">H1, H7</w:t>
            </w:r>
          </w:p>
        </w:tc>
      </w:tr>
      <w:tr>
        <w:trPr>
          <w:cantSplit/>
        </w:trPr>
        <w:tc>
          <w:tcPr>
            <w:tcW w:type="dxa" w:w="2160"/>
            <w:tcMar>
              <w:top w:type="dxa" w:w="50"/>
              <w:left w:type="dxa" w:w="80"/>
              <w:bottom w:type="dxa" w:w="50"/>
              <w:right w:type="dxa" w:w="80"/>
            </w:tcMar>
            <w:vAlign w:val="center"/>
          </w:tcPr>
          <w:p>
            <w:pPr>
              <w:keepNext w:val="false"/>
              <w:spacing w:after="20" w:line="240"/>
              <w:jc w:val="left"/>
            </w:pPr>
            <w:r>
              <w:rPr>
                <w:sz w:val="17"/>
                <w:szCs w:val="17"/>
              </w:rPr>
              <w:t xml:space="preserve">4. Gobernanza y financiamiento</w:t>
            </w:r>
          </w:p>
        </w:tc>
        <w:tc>
          <w:tcPr>
            <w:tcW w:type="dxa" w:w="5040"/>
            <w:tcMar>
              <w:top w:type="dxa" w:w="50"/>
              <w:left w:type="dxa" w:w="80"/>
              <w:bottom w:type="dxa" w:w="50"/>
              <w:right w:type="dxa" w:w="80"/>
            </w:tcMar>
            <w:vAlign w:val="center"/>
          </w:tcPr>
          <w:p>
            <w:pPr>
              <w:keepNext w:val="false"/>
              <w:spacing w:after="20" w:line="240"/>
              <w:jc w:val="left"/>
            </w:pPr>
            <w:r>
              <w:rPr>
                <w:sz w:val="17"/>
                <w:szCs w:val="17"/>
              </w:rPr>
              <w:t xml:space="preserve">¿Cómo se coordinan Defensa, Minciencia y Subtel? ¿Qué rol tendría una agencia civil? ¿Cómo se financia la operación y qué fuentes adicionales son viables?</w:t>
            </w:r>
          </w:p>
        </w:tc>
        <w:tc>
          <w:tcPr>
            <w:tcW w:type="dxa" w:w="1800"/>
            <w:tcMar>
              <w:top w:type="dxa" w:w="50"/>
              <w:left w:type="dxa" w:w="80"/>
              <w:bottom w:type="dxa" w:w="50"/>
              <w:right w:type="dxa" w:w="80"/>
            </w:tcMar>
            <w:vAlign w:val="center"/>
          </w:tcPr>
          <w:p>
            <w:pPr>
              <w:keepNext w:val="false"/>
              <w:spacing w:after="20" w:line="240"/>
              <w:jc w:val="left"/>
            </w:pPr>
            <w:r>
              <w:rPr>
                <w:sz w:val="17"/>
                <w:szCs w:val="17"/>
              </w:rPr>
              <w:t xml:space="preserve">H5, H6</w:t>
            </w:r>
          </w:p>
        </w:tc>
      </w:tr>
      <w:tr>
        <w:trPr>
          <w:cantSplit/>
        </w:trPr>
        <w:tc>
          <w:tcPr>
            <w:tcW w:type="dxa" w:w="2160"/>
            <w:tcMar>
              <w:top w:type="dxa" w:w="50"/>
              <w:left w:type="dxa" w:w="80"/>
              <w:bottom w:type="dxa" w:w="50"/>
              <w:right w:type="dxa" w:w="80"/>
            </w:tcMar>
            <w:vAlign w:val="center"/>
          </w:tcPr>
          <w:p>
            <w:pPr>
              <w:keepNext w:val="false"/>
              <w:spacing w:after="20" w:line="240"/>
              <w:jc w:val="left"/>
            </w:pPr>
            <w:r>
              <w:rPr>
                <w:sz w:val="17"/>
                <w:szCs w:val="17"/>
              </w:rPr>
              <w:t xml:space="preserve">5. Transferencia y ecosistema</w:t>
            </w:r>
          </w:p>
        </w:tc>
        <w:tc>
          <w:tcPr>
            <w:tcW w:type="dxa" w:w="5040"/>
            <w:tcMar>
              <w:top w:type="dxa" w:w="50"/>
              <w:left w:type="dxa" w:w="80"/>
              <w:bottom w:type="dxa" w:w="50"/>
              <w:right w:type="dxa" w:w="80"/>
            </w:tcMar>
            <w:vAlign w:val="center"/>
          </w:tcPr>
          <w:p>
            <w:pPr>
              <w:keepNext w:val="false"/>
              <w:spacing w:after="20" w:line="240"/>
              <w:jc w:val="left"/>
            </w:pPr>
            <w:r>
              <w:rPr>
                <w:sz w:val="17"/>
                <w:szCs w:val="17"/>
              </w:rPr>
              <w:t xml:space="preserve">¿Qué experiencias de colaboración existen? ¿Qué capacidades de proveeduría tienen la academia y la industria? ¿Qué demanda de ensayos, datos o formación existe?</w:t>
            </w:r>
          </w:p>
        </w:tc>
        <w:tc>
          <w:tcPr>
            <w:tcW w:type="dxa" w:w="1800"/>
            <w:tcMar>
              <w:top w:type="dxa" w:w="50"/>
              <w:left w:type="dxa" w:w="80"/>
              <w:bottom w:type="dxa" w:w="50"/>
              <w:right w:type="dxa" w:w="80"/>
            </w:tcMar>
            <w:vAlign w:val="center"/>
          </w:tcPr>
          <w:p>
            <w:pPr>
              <w:keepNext w:val="false"/>
              <w:spacing w:after="20" w:line="240"/>
              <w:jc w:val="left"/>
            </w:pPr>
            <w:r>
              <w:rPr>
                <w:sz w:val="17"/>
                <w:szCs w:val="17"/>
              </w:rPr>
              <w:t xml:space="preserve">H4, H8</w:t>
            </w:r>
          </w:p>
        </w:tc>
      </w:tr>
      <w:tr>
        <w:trPr>
          <w:cantSplit/>
        </w:trPr>
        <w:tc>
          <w:tcPr>
            <w:tcW w:type="dxa" w:w="2160"/>
            <w:tcMar>
              <w:top w:type="dxa" w:w="50"/>
              <w:left w:type="dxa" w:w="80"/>
              <w:bottom w:type="dxa" w:w="50"/>
              <w:right w:type="dxa" w:w="80"/>
            </w:tcMar>
            <w:vAlign w:val="center"/>
          </w:tcPr>
          <w:p>
            <w:pPr>
              <w:keepNext w:val="false"/>
              <w:spacing w:after="20" w:line="240"/>
              <w:jc w:val="left"/>
            </w:pPr>
            <w:r>
              <w:rPr>
                <w:sz w:val="17"/>
                <w:szCs w:val="17"/>
              </w:rPr>
              <w:t xml:space="preserve">6. Mecanismos internacionales</w:t>
            </w:r>
          </w:p>
        </w:tc>
        <w:tc>
          <w:tcPr>
            <w:tcW w:type="dxa" w:w="5040"/>
            <w:tcMar>
              <w:top w:type="dxa" w:w="50"/>
              <w:left w:type="dxa" w:w="80"/>
              <w:bottom w:type="dxa" w:w="50"/>
              <w:right w:type="dxa" w:w="80"/>
            </w:tcMar>
            <w:vAlign w:val="center"/>
          </w:tcPr>
          <w:p>
            <w:pPr>
              <w:keepNext w:val="false"/>
              <w:spacing w:after="20" w:line="240"/>
              <w:jc w:val="left"/>
            </w:pPr>
            <w:r>
              <w:rPr>
                <w:sz w:val="17"/>
                <w:szCs w:val="17"/>
              </w:rPr>
              <w:t xml:space="preserve">¿Cuáles de los mecanismos M1-M7 son más viables y bajo qué condiciones? ¿Falta alguno?</w:t>
            </w:r>
          </w:p>
        </w:tc>
        <w:tc>
          <w:tcPr>
            <w:tcW w:type="dxa" w:w="1800"/>
            <w:tcMar>
              <w:top w:type="dxa" w:w="50"/>
              <w:left w:type="dxa" w:w="80"/>
              <w:bottom w:type="dxa" w:w="50"/>
              <w:right w:type="dxa" w:w="80"/>
            </w:tcMar>
            <w:vAlign w:val="center"/>
          </w:tcPr>
          <w:p>
            <w:pPr>
              <w:keepNext w:val="false"/>
              <w:spacing w:after="20" w:line="240"/>
              <w:jc w:val="left"/>
            </w:pPr>
            <w:r>
              <w:rPr>
                <w:sz w:val="17"/>
                <w:szCs w:val="17"/>
              </w:rPr>
              <w:t xml:space="preserve">H9</w:t>
            </w:r>
          </w:p>
        </w:tc>
      </w:tr>
    </w:tbl>
    <w:p>
      <w:pPr>
        <w:spacing w:after="200" w:before="60"/>
        <w:jc w:val="center"/>
      </w:pPr>
      <w:r>
        <w:rPr>
          <w:i/>
          <w:iCs/>
          <w:sz w:val="17"/>
          <w:szCs w:val="17"/>
        </w:rPr>
        <w:t xml:space="preserve">Fuente: Elaboración propia.</w:t>
      </w:r>
    </w:p>
    <w:sectPr>
      <w:footerReference w:type="default" r:id="rId8"/>
      <w:pgSz w:w="12240" w:h="15840" w:orient="portrait"/>
      <w:pgMar w:top="1440" w:right="1440" w:bottom="130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80" w:before="0"/>
      <w:outlineLvl w:val="0"/>
    </w:pPr>
    <w:rPr>
      <w:rFonts w:ascii="Arial" w:cs="Arial" w:eastAsia="Arial" w:hAnsi="Arial"/>
      <w:b/>
      <w:bCs/>
      <w:color w:val="1F3864"/>
      <w:sz w:val="28"/>
      <w:szCs w:val="28"/>
    </w:rPr>
  </w:style>
  <w:style w:type="paragraph" w:styleId="Heading2">
    <w:name w:val="Heading 2"/>
    <w:basedOn w:val="Normal"/>
    <w:next w:val="Normal"/>
    <w:qFormat/>
    <w:pPr>
      <w:keepNext/>
      <w:spacing w:after="160" w:before="300"/>
      <w:outlineLvl w:val="1"/>
    </w:pPr>
    <w:rPr>
      <w:rFonts w:ascii="Arial" w:cs="Arial" w:eastAsia="Arial" w:hAnsi="Arial"/>
      <w:b/>
      <w:bCs/>
      <w:color w:val="1F3864"/>
      <w:sz w:val="24"/>
      <w:szCs w:val="24"/>
    </w:rPr>
  </w:style>
  <w:style w:type="paragraph" w:styleId="Heading3">
    <w:name w:val="Heading 3"/>
    <w:basedOn w:val="Normal"/>
    <w:next w:val="Normal"/>
    <w:qFormat/>
    <w:pPr>
      <w:keepNext/>
      <w:spacing w:after="120" w:before="220"/>
      <w:outlineLvl w:val="2"/>
    </w:pPr>
    <w:rPr>
      <w:rFonts w:ascii="Arial" w:cs="Arial" w:eastAsia="Arial" w:hAnsi="Arial"/>
      <w:b/>
      <w:bCs/>
      <w:i/>
      <w:iCs/>
      <w:sz w:val="22"/>
      <w:szCs w:val="22"/>
    </w:rPr>
  </w:style>
  <w:style w:type="paragraph" w:styleId="Caption">
    <w:name w:val="Caption"/>
    <w:basedOn w:val="Normal"/>
    <w:next w:val="Normal"/>
    <w:qFormat/>
    <w:pPr>
      <w:spacing w:after="80" w:before="200"/>
    </w:pPr>
    <w:rPr>
      <w:rFonts w:ascii="Arial" w:cs="Arial" w:eastAsia="Arial" w:hAnsi="Arial"/>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78f4d38c1a9601758cdbbf0cff705e434b60d520.png"/><Relationship Id="rId10" Type="http://schemas.openxmlformats.org/officeDocument/2006/relationships/image" Target="media/3f292c5d854262c76ee0a89bfc1075eba1646908.png"/><Relationship Id="rId11" Type="http://schemas.openxmlformats.org/officeDocument/2006/relationships/image" Target="media/af8121c29a2d7ab4e71badabcf2cf99602d48428.png"/><Relationship Id="rId12" Type="http://schemas.openxmlformats.org/officeDocument/2006/relationships/image" Target="media/2f158b6e4db07a156ce6da1ef369c9c2e58e6aae.png"/><Relationship Id="rId13" Type="http://schemas.openxmlformats.org/officeDocument/2006/relationships/image" Target="media/bd2a8f59ddd303aaa849ed469eafaa8716356acd.png"/><Relationship Id="rId14" Type="http://schemas.openxmlformats.org/officeDocument/2006/relationships/image" Target="media/c752be52009b09d382c41267c540827729afd037.png"/><Relationship Id="rId15" Type="http://schemas.openxmlformats.org/officeDocument/2006/relationships/image" Target="media/8d88e355e37a99ed3819dfa8173cc27f5468185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50% – Lineamientos Estratégicos CEN</dc:title>
  <dc:creator>Waldo Escobar Arrepol</dc:creator>
  <cp:lastModifiedBy>Un-named</cp:lastModifiedBy>
  <cp:revision>1</cp:revision>
  <dcterms:created xsi:type="dcterms:W3CDTF">2026-10-21T23:19:41.231Z</dcterms:created>
  <dcterms:modified xsi:type="dcterms:W3CDTF">2026-10-21T23:19:41.231Z</dcterms:modified>
</cp:coreProperties>
</file>

<file path=docProps/custom.xml><?xml version="1.0" encoding="utf-8"?>
<Properties xmlns="http://schemas.openxmlformats.org/officeDocument/2006/custom-properties" xmlns:vt="http://schemas.openxmlformats.org/officeDocument/2006/docPropsVTypes"/>
</file>