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80"/>
      </w:pPr>
      <w:r>
        <w:rPr>
          <w:rFonts w:ascii="Calibri" w:hAnsi="Calibri"/>
          <w:b/>
          <w:color w:val="2E74B5"/>
          <w:sz w:val="20"/>
        </w:rPr>
        <w:t>TECHNICAL SPECIFICATION</w:t>
      </w:r>
    </w:p>
    <w:p>
      <w:pPr>
        <w:spacing w:after="160"/>
      </w:pPr>
      <w:r>
        <w:rPr>
          <w:rFonts w:ascii="Calibri" w:hAnsi="Calibri"/>
          <w:b/>
          <w:color w:val="0B2545"/>
          <w:sz w:val="50"/>
        </w:rPr>
        <w:t>NFT Mint Intelligence</w:t>
        <w:br/>
        <w:t>and Copy-Mint Automation System</w:t>
      </w:r>
    </w:p>
    <w:p>
      <w:pPr>
        <w:spacing w:after="360"/>
      </w:pPr>
      <w:r>
        <w:rPr>
          <w:rFonts w:ascii="Calibri" w:hAnsi="Calibri"/>
          <w:i/>
          <w:color w:val="667085"/>
          <w:sz w:val="26"/>
        </w:rPr>
        <w:t>Python-based, Telegram-controlled, EVM-first implementation</w:t>
      </w:r>
    </w:p>
    <w:p>
      <w:pPr>
        <w:spacing w:after="40"/>
      </w:pPr>
      <w:r>
        <w:rPr>
          <w:rFonts w:ascii="Calibri" w:hAnsi="Calibri"/>
          <w:b/>
          <w:color w:val="101828"/>
          <w:sz w:val="21"/>
        </w:rPr>
        <w:t xml:space="preserve">Version: </w:t>
      </w:r>
      <w:r>
        <w:rPr>
          <w:rFonts w:ascii="Calibri" w:hAnsi="Calibri"/>
          <w:color w:val="101828"/>
          <w:sz w:val="21"/>
        </w:rPr>
        <w:t>1.0</w:t>
      </w:r>
    </w:p>
    <w:p>
      <w:pPr>
        <w:spacing w:after="40"/>
      </w:pPr>
      <w:r>
        <w:rPr>
          <w:rFonts w:ascii="Calibri" w:hAnsi="Calibri"/>
          <w:b/>
          <w:color w:val="101828"/>
          <w:sz w:val="21"/>
        </w:rPr>
        <w:t xml:space="preserve">Status: </w:t>
      </w:r>
      <w:r>
        <w:rPr>
          <w:rFonts w:ascii="Calibri" w:hAnsi="Calibri"/>
          <w:color w:val="101828"/>
          <w:sz w:val="21"/>
        </w:rPr>
        <w:t>Developer handoff specification</w:t>
      </w:r>
    </w:p>
    <w:p>
      <w:pPr>
        <w:spacing w:after="40"/>
      </w:pPr>
      <w:r>
        <w:rPr>
          <w:rFonts w:ascii="Calibri" w:hAnsi="Calibri"/>
          <w:b/>
          <w:color w:val="101828"/>
          <w:sz w:val="21"/>
        </w:rPr>
        <w:t xml:space="preserve">Date: </w:t>
      </w:r>
      <w:r>
        <w:rPr>
          <w:rFonts w:ascii="Calibri" w:hAnsi="Calibri"/>
          <w:color w:val="101828"/>
          <w:sz w:val="21"/>
        </w:rPr>
        <w:t>5 August 2026</w:t>
      </w:r>
    </w:p>
    <w:p>
      <w:pPr>
        <w:spacing w:after="40"/>
      </w:pPr>
      <w:r>
        <w:rPr>
          <w:rFonts w:ascii="Calibri" w:hAnsi="Calibri"/>
          <w:b/>
          <w:color w:val="101828"/>
          <w:sz w:val="21"/>
        </w:rPr>
        <w:t xml:space="preserve">Audience: </w:t>
      </w:r>
      <w:r>
        <w:rPr>
          <w:rFonts w:ascii="Calibri" w:hAnsi="Calibri"/>
          <w:color w:val="101828"/>
          <w:sz w:val="21"/>
        </w:rPr>
        <w:t>Backend, blockchain, DevOps and security developers</w:t>
      </w:r>
    </w:p>
    <w:p>
      <w:pPr>
        <w:spacing w:after="40"/>
      </w:pPr>
      <w:r>
        <w:rPr>
          <w:rFonts w:ascii="Calibri" w:hAnsi="Calibri"/>
          <w:b/>
          <w:color w:val="101828"/>
          <w:sz w:val="21"/>
        </w:rPr>
        <w:t xml:space="preserve">Initial scope: </w:t>
      </w:r>
      <w:r>
        <w:rPr>
          <w:rFonts w:ascii="Calibri" w:hAnsi="Calibri"/>
          <w:color w:val="101828"/>
          <w:sz w:val="21"/>
        </w:rPr>
        <w:t>One EVM chain; ERC-721 and ERC-1155; analytics before execution</w:t>
      </w:r>
    </w:p>
    <w:p>
      <w:pPr>
        <w:spacing w:before="160" w:after="240"/>
        <w:pBdr>
          <w:bottom w:val="single" w:sz="18" w:space="4" w:color="2E74B5"/>
        </w:pBdr>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1"/>
              </w:rPr>
              <w:t xml:space="preserve">PRIMARY OUTCOME: </w:t>
            </w:r>
            <w:r>
              <w:rPr>
                <w:rFonts w:ascii="Calibri" w:hAnsi="Calibri"/>
                <w:color w:val="101828"/>
                <w:sz w:val="21"/>
              </w:rPr>
              <w:t>Persist every wallet-to-collection mint observation, discover repeated minters dynamically, monitor their future mints, and copy only eligible public mints through guarded protocol adapters.</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SECURITY POSITION: </w:t>
            </w:r>
            <w:r>
              <w:rPr>
                <w:rFonts w:ascii="Calibri" w:hAnsi="Calibri"/>
                <w:color w:val="101828"/>
                <w:sz w:val="21"/>
              </w:rPr>
              <w:t>Telegram is the control plane, not the key vault. Private keys must never appear in Telegram, PostgreSQL or application logs.</w:t>
            </w:r>
          </w:p>
        </w:tc>
      </w:tr>
    </w:tbl>
    <w:p>
      <w:pPr>
        <w:spacing w:after="2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jc w:val="left"/>
            </w:pPr>
            <w:r>
              <w:rPr>
                <w:rFonts w:ascii="Calibri" w:hAnsi="Calibri"/>
                <w:b/>
                <w:color w:val="0B2545"/>
                <w:sz w:val="19"/>
              </w:rPr>
              <w:t>Item</w:t>
            </w:r>
          </w:p>
        </w:tc>
        <w:tc>
          <w:tcPr>
            <w:tcW w:type="dxa" w:w="6660"/>
            <w:shd w:fill="E8EEF5"/>
            <w:tcMar>
              <w:top w:w="80" w:type="dxa"/>
              <w:start w:w="120" w:type="dxa"/>
              <w:bottom w:w="80" w:type="dxa"/>
              <w:end w:w="120" w:type="dxa"/>
            </w:tcMar>
            <w:vAlign w:val="center"/>
          </w:tcPr>
          <w:p>
            <w:pPr>
              <w:spacing w:after="0"/>
              <w:jc w:val="left"/>
            </w:pPr>
            <w:r>
              <w:rPr>
                <w:rFonts w:ascii="Calibri" w:hAnsi="Calibri"/>
                <w:b/>
                <w:color w:val="0B2545"/>
                <w:sz w:val="19"/>
              </w:rPr>
              <w:t>Value</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101828"/>
                <w:sz w:val="19"/>
              </w:rPr>
              <w:t>Purpose</w:t>
            </w:r>
          </w:p>
        </w:tc>
        <w:tc>
          <w:tcPr>
            <w:tcW w:type="dxa" w:w="6660"/>
            <w:tcMar>
              <w:top w:w="80" w:type="dxa"/>
              <w:start w:w="120" w:type="dxa"/>
              <w:bottom w:w="80" w:type="dxa"/>
              <w:end w:w="120" w:type="dxa"/>
            </w:tcMar>
            <w:vAlign w:val="center"/>
          </w:tcPr>
          <w:p>
            <w:pPr>
              <w:spacing w:after="0" w:line="259" w:lineRule="auto"/>
            </w:pPr>
            <w:r>
              <w:rPr>
                <w:rFonts w:ascii="Calibri" w:hAnsi="Calibri"/>
                <w:color w:val="101828"/>
                <w:sz w:val="19"/>
              </w:rPr>
              <w:t>Implementation-ready requirements and architecture for the first production version.</w:t>
            </w:r>
          </w:p>
        </w:tc>
      </w:tr>
      <w:tr>
        <w:tc>
          <w:tcPr>
            <w:tcW w:type="dxa" w:w="2700"/>
            <w:shd w:fill="FAFBFC"/>
            <w:tcMar>
              <w:top w:w="80" w:type="dxa"/>
              <w:start w:w="120" w:type="dxa"/>
              <w:bottom w:w="80" w:type="dxa"/>
              <w:end w:w="120" w:type="dxa"/>
            </w:tcMar>
            <w:vAlign w:val="center"/>
          </w:tcPr>
          <w:p>
            <w:pPr>
              <w:spacing w:after="0" w:line="259" w:lineRule="auto"/>
            </w:pPr>
            <w:r>
              <w:rPr>
                <w:rFonts w:ascii="Calibri" w:hAnsi="Calibri"/>
                <w:color w:val="101828"/>
                <w:sz w:val="19"/>
              </w:rPr>
              <w:t>Owner decisions still required</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color w:val="101828"/>
                <w:sz w:val="19"/>
              </w:rPr>
              <w:t>Initial EVM chain, RPC provider, hosting environment, copy-spend limits and first supported launchpads.</w:t>
            </w:r>
          </w:p>
        </w:tc>
      </w:tr>
      <w:tr>
        <w:tc>
          <w:tcPr>
            <w:tcW w:type="dxa" w:w="2700"/>
            <w:tcMar>
              <w:top w:w="80" w:type="dxa"/>
              <w:start w:w="120" w:type="dxa"/>
              <w:bottom w:w="80" w:type="dxa"/>
              <w:end w:w="120" w:type="dxa"/>
            </w:tcMar>
            <w:vAlign w:val="center"/>
          </w:tcPr>
          <w:p>
            <w:pPr>
              <w:spacing w:after="0" w:line="259" w:lineRule="auto"/>
            </w:pPr>
            <w:r>
              <w:rPr>
                <w:rFonts w:ascii="Calibri" w:hAnsi="Calibri"/>
                <w:color w:val="101828"/>
                <w:sz w:val="19"/>
              </w:rPr>
              <w:t>Change policy</w:t>
            </w:r>
          </w:p>
        </w:tc>
        <w:tc>
          <w:tcPr>
            <w:tcW w:type="dxa" w:w="6660"/>
            <w:tcMar>
              <w:top w:w="80" w:type="dxa"/>
              <w:start w:w="120" w:type="dxa"/>
              <w:bottom w:w="80" w:type="dxa"/>
              <w:end w:w="120" w:type="dxa"/>
            </w:tcMar>
            <w:vAlign w:val="center"/>
          </w:tcPr>
          <w:p>
            <w:pPr>
              <w:spacing w:after="0" w:line="259" w:lineRule="auto"/>
            </w:pPr>
            <w:r>
              <w:rPr>
                <w:rFonts w:ascii="Calibri" w:hAnsi="Calibri"/>
                <w:color w:val="101828"/>
                <w:sz w:val="19"/>
              </w:rPr>
              <w:t>Any change affecting signing, eligibility, automatic spending or identity resolution requires security review and regression tests.</w:t>
            </w:r>
          </w:p>
        </w:tc>
      </w:tr>
      <w:tr>
        <w:tc>
          <w:tcPr>
            <w:tcW w:type="dxa" w:w="2700"/>
            <w:shd w:fill="FAFBFC"/>
            <w:tcMar>
              <w:top w:w="80" w:type="dxa"/>
              <w:start w:w="120" w:type="dxa"/>
              <w:bottom w:w="80" w:type="dxa"/>
              <w:end w:w="120" w:type="dxa"/>
            </w:tcMar>
            <w:vAlign w:val="center"/>
          </w:tcPr>
          <w:p>
            <w:pPr>
              <w:spacing w:after="0" w:line="259" w:lineRule="auto"/>
            </w:pPr>
            <w:r>
              <w:rPr>
                <w:rFonts w:ascii="Calibri" w:hAnsi="Calibri"/>
                <w:color w:val="101828"/>
                <w:sz w:val="19"/>
              </w:rPr>
              <w:t>Source of truth</w:t>
            </w:r>
          </w:p>
        </w:tc>
        <w:tc>
          <w:tcPr>
            <w:tcW w:type="dxa" w:w="6660"/>
            <w:shd w:fill="FAFBFC"/>
            <w:tcMar>
              <w:top w:w="80" w:type="dxa"/>
              <w:start w:w="120" w:type="dxa"/>
              <w:bottom w:w="80" w:type="dxa"/>
              <w:end w:w="120" w:type="dxa"/>
            </w:tcMar>
            <w:vAlign w:val="center"/>
          </w:tcPr>
          <w:p>
            <w:pPr>
              <w:spacing w:after="0" w:line="259" w:lineRule="auto"/>
            </w:pPr>
            <w:r>
              <w:rPr>
                <w:rFonts w:ascii="Calibri" w:hAnsi="Calibri"/>
                <w:color w:val="101828"/>
                <w:sz w:val="19"/>
              </w:rPr>
              <w:t>This specification plus accepted architecture decision records (ADRs) created during implementation.</w:t>
            </w:r>
          </w:p>
        </w:tc>
      </w:tr>
    </w:tbl>
    <w:p>
      <w:pPr>
        <w:spacing w:after="20"/>
      </w:pPr>
    </w:p>
    <w:p>
      <w:pPr>
        <w:pStyle w:val="Heading1"/>
      </w:pPr>
      <w:r>
        <w:t>Contents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tcMar>
              <w:top w:w="80" w:type="dxa"/>
              <w:start w:w="120" w:type="dxa"/>
              <w:bottom w:w="80" w:type="dxa"/>
              <w:end w:w="120" w:type="dxa"/>
            </w:tcMar>
            <w:vAlign w:val="center"/>
          </w:tcPr>
          <w:p>
            <w:pPr>
              <w:spacing w:after="0"/>
              <w:jc w:val="left"/>
            </w:pPr>
            <w:r>
              <w:rPr>
                <w:rFonts w:ascii="Calibri" w:hAnsi="Calibri"/>
                <w:b/>
                <w:color w:val="0B2545"/>
                <w:sz w:val="18"/>
              </w:rPr>
              <w:t>Section</w:t>
            </w:r>
          </w:p>
        </w:tc>
        <w:tc>
          <w:tcPr>
            <w:tcW w:type="dxa" w:w="7660"/>
            <w:shd w:fill="E8EEF5"/>
            <w:tcMar>
              <w:top w:w="80" w:type="dxa"/>
              <w:start w:w="120" w:type="dxa"/>
              <w:bottom w:w="80" w:type="dxa"/>
              <w:end w:w="120" w:type="dxa"/>
            </w:tcMar>
            <w:vAlign w:val="center"/>
          </w:tcPr>
          <w:p>
            <w:pPr>
              <w:spacing w:after="0"/>
              <w:jc w:val="left"/>
            </w:pPr>
            <w:r>
              <w:rPr>
                <w:rFonts w:ascii="Calibri" w:hAnsi="Calibri"/>
                <w:b/>
                <w:color w:val="0B2545"/>
                <w:sz w:val="18"/>
              </w:rPr>
              <w:t>Title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Product definition and scope</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2</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Users, roles and primary workflows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3</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Functional and non-functional requirements</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4</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System architecture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5</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Core data model</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6</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Collection ingestion and mint detection</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7</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Wallet identity resolution</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8</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Overlap analytics and wallet scoring</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9</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Live monitoring and opportunity creation</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10</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Mint-route adapters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11</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Copy execution engine</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12</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Wallet and key management</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13</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Telegram interface</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14</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Security and threat model</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15</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Reliability, observability and recovery</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16</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API and service contracts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17</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Configuration model</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18</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Edge-case catalogue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19</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Testing strategy</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20</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Implementation phases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21</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Deployment and operations</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22</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Definition of done</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8"/>
              </w:rPr>
              <w:t>Appendix A</w:t>
            </w:r>
          </w:p>
        </w:tc>
        <w:tc>
          <w:tcPr>
            <w:tcW w:type="dxa" w:w="7660"/>
            <w:tcMar>
              <w:top w:w="80" w:type="dxa"/>
              <w:start w:w="120" w:type="dxa"/>
              <w:bottom w:w="80" w:type="dxa"/>
              <w:end w:w="120" w:type="dxa"/>
            </w:tcMar>
            <w:vAlign w:val="center"/>
          </w:tcPr>
          <w:p>
            <w:pPr>
              <w:spacing w:after="0" w:line="259" w:lineRule="auto"/>
            </w:pPr>
            <w:r>
              <w:rPr>
                <w:rFonts w:ascii="Calibri" w:hAnsi="Calibri"/>
                <w:color w:val="101828"/>
                <w:sz w:val="18"/>
              </w:rPr>
              <w:t>Enums and example payloads</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8"/>
              </w:rPr>
              <w:t>Appendix B</w:t>
            </w:r>
          </w:p>
        </w:tc>
        <w:tc>
          <w:tcPr>
            <w:tcW w:type="dxa" w:w="7660"/>
            <w:shd w:fill="FAFBFC"/>
            <w:tcMar>
              <w:top w:w="80" w:type="dxa"/>
              <w:start w:w="120" w:type="dxa"/>
              <w:bottom w:w="80" w:type="dxa"/>
              <w:end w:w="120" w:type="dxa"/>
            </w:tcMar>
            <w:vAlign w:val="center"/>
          </w:tcPr>
          <w:p>
            <w:pPr>
              <w:spacing w:after="0" w:line="259" w:lineRule="auto"/>
            </w:pPr>
            <w:r>
              <w:rPr>
                <w:rFonts w:ascii="Calibri" w:hAnsi="Calibri"/>
                <w:color w:val="101828"/>
                <w:sz w:val="18"/>
              </w:rPr>
              <w:t>References</w:t>
            </w:r>
          </w:p>
        </w:tc>
      </w:tr>
    </w:tbl>
    <w:p>
      <w:pPr>
        <w:spacing w:after="20"/>
      </w:pPr>
    </w:p>
    <w:p>
      <w:pPr>
        <w:pStyle w:val="Heading1"/>
      </w:pPr>
      <w:r>
        <w:t>1  Product definition and scope</w:t>
      </w:r>
    </w:p>
    <w:p>
      <w:r>
        <w:rPr>
          <w:rFonts w:ascii="Calibri" w:hAnsi="Calibri"/>
          <w:i w:val="0"/>
          <w:color w:val="101828"/>
          <w:sz w:val="22"/>
        </w:rPr>
        <w:t>The product is a personal or team-operated NFT intelligence system that discovers wallets minting across multiple collections, watches those wallets for future mint activity, and optionally prepares or executes a matching mint from controlled execution wallets. The initial implementation is EVM-first and uses Telegram as the operator interface.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F"/>
          </w:tcPr>
          <w:p>
            <w:pPr>
              <w:spacing w:after="0"/>
            </w:pPr>
            <w:r>
              <w:rPr>
                <w:rFonts w:ascii="Calibri" w:hAnsi="Calibri"/>
                <w:b/>
                <w:color w:val="137A5A"/>
                <w:sz w:val="21"/>
              </w:rPr>
              <w:t xml:space="preserve">CORE MODEL: </w:t>
            </w:r>
            <w:r>
              <w:rPr>
                <w:rFonts w:ascii="Calibri" w:hAnsi="Calibri"/>
                <w:color w:val="101828"/>
                <w:sz w:val="21"/>
              </w:rPr>
              <w:t>The database stores observations, not precomputed intersections. A wallet's collection support is calculated from all stored mint events, so any future collection can reveal a new pairwise or multi-collection overlap.</w:t>
            </w:r>
          </w:p>
        </w:tc>
      </w:tr>
    </w:tbl>
    <w:p>
      <w:pPr>
        <w:spacing w:after="20"/>
      </w:pPr>
    </w:p>
    <w:p>
      <w:pPr>
        <w:pStyle w:val="Heading2"/>
      </w:pPr>
      <w:r>
        <w:t>1.1 Objectives</w:t>
      </w:r>
    </w:p>
    <w:p>
      <w:pPr>
        <w:pStyle w:val="ListBullet"/>
      </w:pPr>
      <w:r>
        <w:rPr>
          <w:rFonts w:ascii="Calibri" w:hAnsi="Calibri"/>
          <w:color w:val="101828"/>
          <w:sz w:val="22"/>
        </w:rPr>
        <w:t>Register a chain and NFT contract address from Telegram.</w:t>
      </w:r>
    </w:p>
    <w:p>
      <w:pPr>
        <w:pStyle w:val="ListBullet"/>
      </w:pPr>
      <w:r>
        <w:rPr>
          <w:rFonts w:ascii="Calibri" w:hAnsi="Calibri"/>
          <w:color w:val="101828"/>
          <w:sz w:val="22"/>
        </w:rPr>
        <w:t>Backfill all reliable historical mint events for the collection.</w:t>
      </w:r>
    </w:p>
    <w:p>
      <w:pPr>
        <w:pStyle w:val="ListBullet"/>
      </w:pPr>
      <w:r>
        <w:rPr>
          <w:rFonts w:ascii="Calibri" w:hAnsi="Calibri"/>
          <w:color w:val="101828"/>
          <w:sz w:val="22"/>
        </w:rPr>
        <w:t>Separate NFT recipient, transaction sender, probable initiator, operator and payer identities.</w:t>
      </w:r>
    </w:p>
    <w:p>
      <w:pPr>
        <w:pStyle w:val="ListBullet"/>
      </w:pPr>
      <w:r>
        <w:rPr>
          <w:rFonts w:ascii="Calibri" w:hAnsi="Calibri"/>
          <w:color w:val="101828"/>
          <w:sz w:val="22"/>
        </w:rPr>
        <w:t>Find exact repeated minters across any number or combination of stored collections.</w:t>
      </w:r>
    </w:p>
    <w:p>
      <w:pPr>
        <w:pStyle w:val="ListBullet"/>
      </w:pPr>
      <w:r>
        <w:rPr>
          <w:rFonts w:ascii="Calibri" w:hAnsi="Calibri"/>
          <w:color w:val="101828"/>
          <w:sz w:val="22"/>
        </w:rPr>
        <w:t>Watch high-signal wallets and detect new collections they mint.</w:t>
      </w:r>
    </w:p>
    <w:p>
      <w:pPr>
        <w:pStyle w:val="ListBullet"/>
      </w:pPr>
      <w:r>
        <w:rPr>
          <w:rFonts w:ascii="Calibri" w:hAnsi="Calibri"/>
          <w:color w:val="101828"/>
          <w:sz w:val="22"/>
        </w:rPr>
        <w:t>Classify how the target wallet minted: direct contract, OpenSea SeaDrop, known launchpad, marketplace/lazy mint or unknown route.</w:t>
      </w:r>
    </w:p>
    <w:p>
      <w:pPr>
        <w:pStyle w:val="ListBullet"/>
      </w:pPr>
      <w:r>
        <w:rPr>
          <w:rFonts w:ascii="Calibri" w:hAnsi="Calibri"/>
          <w:color w:val="101828"/>
          <w:sz w:val="22"/>
        </w:rPr>
        <w:t>Build a fresh transaction for the controlled wallet; never blindly replay another wallet's calldata.</w:t>
      </w:r>
    </w:p>
    <w:p>
      <w:pPr>
        <w:pStyle w:val="ListBullet"/>
      </w:pPr>
      <w:r>
        <w:rPr>
          <w:rFonts w:ascii="Calibri" w:hAnsi="Calibri"/>
          <w:color w:val="101828"/>
          <w:sz w:val="22"/>
        </w:rPr>
        <w:t>Apply simulation, eligibility, spend, quantity, gas and route safety rules before signing.</w:t>
      </w:r>
    </w:p>
    <w:p>
      <w:pPr>
        <w:pStyle w:val="ListBullet"/>
      </w:pPr>
      <w:r>
        <w:rPr>
          <w:rFonts w:ascii="Calibri" w:hAnsi="Calibri"/>
          <w:color w:val="101828"/>
          <w:sz w:val="22"/>
        </w:rPr>
        <w:t>Support manual approval first, then guarded automation after sufficient testing.</w:t>
      </w:r>
    </w:p>
    <w:p>
      <w:pPr>
        <w:pStyle w:val="Heading2"/>
      </w:pPr>
      <w:r>
        <w:t>1.2 Initial scope</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0B2545"/>
                <w:sz w:val="17"/>
              </w:rPr>
              <w:t>Area</w:t>
            </w:r>
          </w:p>
        </w:tc>
        <w:tc>
          <w:tcPr>
            <w:tcW w:type="dxa" w:w="3800"/>
            <w:shd w:fill="E8EEF5"/>
            <w:tcMar>
              <w:top w:w="80" w:type="dxa"/>
              <w:start w:w="120" w:type="dxa"/>
              <w:bottom w:w="80" w:type="dxa"/>
              <w:end w:w="120" w:type="dxa"/>
            </w:tcMar>
            <w:vAlign w:val="center"/>
          </w:tcPr>
          <w:p>
            <w:pPr>
              <w:spacing w:after="0"/>
              <w:jc w:val="left"/>
            </w:pPr>
            <w:r>
              <w:rPr>
                <w:rFonts w:ascii="Calibri" w:hAnsi="Calibri"/>
                <w:b/>
                <w:color w:val="0B2545"/>
                <w:sz w:val="17"/>
              </w:rPr>
              <w:t>Included in v1</w:t>
            </w:r>
          </w:p>
        </w:tc>
        <w:tc>
          <w:tcPr>
            <w:tcW w:type="dxa" w:w="3660"/>
            <w:shd w:fill="E8EEF5"/>
            <w:tcMar>
              <w:top w:w="80" w:type="dxa"/>
              <w:start w:w="120" w:type="dxa"/>
              <w:bottom w:w="80" w:type="dxa"/>
              <w:end w:w="120" w:type="dxa"/>
            </w:tcMar>
            <w:vAlign w:val="center"/>
          </w:tcPr>
          <w:p>
            <w:pPr>
              <w:spacing w:after="0"/>
              <w:jc w:val="left"/>
            </w:pPr>
            <w:r>
              <w:rPr>
                <w:rFonts w:ascii="Calibri" w:hAnsi="Calibri"/>
                <w:b/>
                <w:color w:val="0B2545"/>
                <w:sz w:val="17"/>
              </w:rPr>
              <w:t>Deferred</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Chains</w:t>
            </w:r>
          </w:p>
        </w:tc>
        <w:tc>
          <w:tcPr>
            <w:tcW w:type="dxa" w:w="3800"/>
            <w:tcMar>
              <w:top w:w="80" w:type="dxa"/>
              <w:start w:w="120" w:type="dxa"/>
              <w:bottom w:w="80" w:type="dxa"/>
              <w:end w:w="120" w:type="dxa"/>
            </w:tcMar>
            <w:vAlign w:val="center"/>
          </w:tcPr>
          <w:p>
            <w:pPr>
              <w:spacing w:after="0" w:line="259" w:lineRule="auto"/>
            </w:pPr>
            <w:r>
              <w:rPr>
                <w:rFonts w:ascii="Calibri" w:hAnsi="Calibri"/>
                <w:color w:val="101828"/>
                <w:sz w:val="17"/>
              </w:rPr>
              <w:t>One selected EVM chain; adapter-ready configuration for more EVM chains</w:t>
            </w:r>
          </w:p>
        </w:tc>
        <w:tc>
          <w:tcPr>
            <w:tcW w:type="dxa" w:w="3660"/>
            <w:tcMar>
              <w:top w:w="80" w:type="dxa"/>
              <w:start w:w="120" w:type="dxa"/>
              <w:bottom w:w="80" w:type="dxa"/>
              <w:end w:w="120" w:type="dxa"/>
            </w:tcMar>
            <w:vAlign w:val="center"/>
          </w:tcPr>
          <w:p>
            <w:pPr>
              <w:spacing w:after="0" w:line="259" w:lineRule="auto"/>
            </w:pPr>
            <w:r>
              <w:rPr>
                <w:rFonts w:ascii="Calibri" w:hAnsi="Calibri"/>
                <w:color w:val="101828"/>
                <w:sz w:val="17"/>
              </w:rPr>
              <w:t>Solana and other non-EVM chain families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NFT standards</w:t>
            </w:r>
          </w:p>
        </w:tc>
        <w:tc>
          <w:tcPr>
            <w:tcW w:type="dxa" w:w="3800"/>
            <w:shd w:fill="FAFBFC"/>
            <w:tcMar>
              <w:top w:w="80" w:type="dxa"/>
              <w:start w:w="120" w:type="dxa"/>
              <w:bottom w:w="80" w:type="dxa"/>
              <w:end w:w="120" w:type="dxa"/>
            </w:tcMar>
            <w:vAlign w:val="center"/>
          </w:tcPr>
          <w:p>
            <w:pPr>
              <w:spacing w:after="0" w:line="259" w:lineRule="auto"/>
            </w:pPr>
            <w:r>
              <w:rPr>
                <w:rFonts w:ascii="Calibri" w:hAnsi="Calibri"/>
                <w:color w:val="101828"/>
                <w:sz w:val="17"/>
              </w:rPr>
              <w:t>ERC-721, ERC-1155 and ERC-2309 consecutive events</w:t>
            </w:r>
          </w:p>
        </w:tc>
        <w:tc>
          <w:tcPr>
            <w:tcW w:type="dxa" w:w="3660"/>
            <w:shd w:fill="FAFBFC"/>
            <w:tcMar>
              <w:top w:w="80" w:type="dxa"/>
              <w:start w:w="120" w:type="dxa"/>
              <w:bottom w:w="80" w:type="dxa"/>
              <w:end w:w="120" w:type="dxa"/>
            </w:tcMar>
            <w:vAlign w:val="center"/>
          </w:tcPr>
          <w:p>
            <w:pPr>
              <w:spacing w:after="0" w:line="259" w:lineRule="auto"/>
            </w:pPr>
            <w:r>
              <w:rPr>
                <w:rFonts w:ascii="Calibri" w:hAnsi="Calibri"/>
                <w:color w:val="101828"/>
                <w:sz w:val="17"/>
              </w:rPr>
              <w:t>Nonstandard contracts requiring custom indexers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Execution</w:t>
            </w:r>
          </w:p>
        </w:tc>
        <w:tc>
          <w:tcPr>
            <w:tcW w:type="dxa" w:w="3800"/>
            <w:tcMar>
              <w:top w:w="80" w:type="dxa"/>
              <w:start w:w="120" w:type="dxa"/>
              <w:bottom w:w="80" w:type="dxa"/>
              <w:end w:w="120" w:type="dxa"/>
            </w:tcMar>
            <w:vAlign w:val="center"/>
          </w:tcPr>
          <w:p>
            <w:pPr>
              <w:spacing w:after="0" w:line="259" w:lineRule="auto"/>
            </w:pPr>
            <w:r>
              <w:rPr>
                <w:rFonts w:ascii="Calibri" w:hAnsi="Calibri"/>
                <w:color w:val="101828"/>
                <w:sz w:val="17"/>
              </w:rPr>
              <w:t>Direct public mints and OpenSea SeaDrop public drops</w:t>
            </w:r>
          </w:p>
        </w:tc>
        <w:tc>
          <w:tcPr>
            <w:tcW w:type="dxa" w:w="3660"/>
            <w:tcMar>
              <w:top w:w="80" w:type="dxa"/>
              <w:start w:w="120" w:type="dxa"/>
              <w:bottom w:w="80" w:type="dxa"/>
              <w:end w:w="120" w:type="dxa"/>
            </w:tcMar>
            <w:vAlign w:val="center"/>
          </w:tcPr>
          <w:p>
            <w:pPr>
              <w:spacing w:after="0" w:line="259" w:lineRule="auto"/>
            </w:pPr>
            <w:r>
              <w:rPr>
                <w:rFonts w:ascii="Calibri" w:hAnsi="Calibri"/>
                <w:color w:val="101828"/>
                <w:sz w:val="17"/>
              </w:rPr>
              <w:t>Arbitrary launchpads until adapter-tested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User interface</w:t>
            </w:r>
          </w:p>
        </w:tc>
        <w:tc>
          <w:tcPr>
            <w:tcW w:type="dxa" w:w="3800"/>
            <w:shd w:fill="FAFBFC"/>
            <w:tcMar>
              <w:top w:w="80" w:type="dxa"/>
              <w:start w:w="120" w:type="dxa"/>
              <w:bottom w:w="80" w:type="dxa"/>
              <w:end w:w="120" w:type="dxa"/>
            </w:tcMar>
            <w:vAlign w:val="center"/>
          </w:tcPr>
          <w:p>
            <w:pPr>
              <w:spacing w:after="0" w:line="259" w:lineRule="auto"/>
            </w:pPr>
            <w:r>
              <w:rPr>
                <w:rFonts w:ascii="Calibri" w:hAnsi="Calibri"/>
                <w:color w:val="101828"/>
                <w:sz w:val="17"/>
              </w:rPr>
              <w:t>Private Telegram bot with inline approvals</w:t>
            </w:r>
          </w:p>
        </w:tc>
        <w:tc>
          <w:tcPr>
            <w:tcW w:type="dxa" w:w="3660"/>
            <w:shd w:fill="FAFBFC"/>
            <w:tcMar>
              <w:top w:w="80" w:type="dxa"/>
              <w:start w:w="120" w:type="dxa"/>
              <w:bottom w:w="80" w:type="dxa"/>
              <w:end w:w="120" w:type="dxa"/>
            </w:tcMar>
            <w:vAlign w:val="center"/>
          </w:tcPr>
          <w:p>
            <w:pPr>
              <w:spacing w:after="0" w:line="259" w:lineRule="auto"/>
            </w:pPr>
            <w:r>
              <w:rPr>
                <w:rFonts w:ascii="Calibri" w:hAnsi="Calibri"/>
                <w:color w:val="101828"/>
                <w:sz w:val="17"/>
              </w:rPr>
              <w:t>Full web dashboard or Telegram Mini App</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Automation</w:t>
            </w:r>
          </w:p>
        </w:tc>
        <w:tc>
          <w:tcPr>
            <w:tcW w:type="dxa" w:w="3800"/>
            <w:tcMar>
              <w:top w:w="80" w:type="dxa"/>
              <w:start w:w="120" w:type="dxa"/>
              <w:bottom w:w="80" w:type="dxa"/>
              <w:end w:w="120" w:type="dxa"/>
            </w:tcMar>
            <w:vAlign w:val="center"/>
          </w:tcPr>
          <w:p>
            <w:pPr>
              <w:spacing w:after="0" w:line="259" w:lineRule="auto"/>
            </w:pPr>
            <w:r>
              <w:rPr>
                <w:rFonts w:ascii="Calibri" w:hAnsi="Calibri"/>
                <w:color w:val="101828"/>
                <w:sz w:val="17"/>
              </w:rPr>
              <w:t>Analytics, alerts, paper mode and manual copy</w:t>
            </w:r>
          </w:p>
        </w:tc>
        <w:tc>
          <w:tcPr>
            <w:tcW w:type="dxa" w:w="3660"/>
            <w:tcMar>
              <w:top w:w="80" w:type="dxa"/>
              <w:start w:w="120" w:type="dxa"/>
              <w:bottom w:w="80" w:type="dxa"/>
              <w:end w:w="120" w:type="dxa"/>
            </w:tcMar>
            <w:vAlign w:val="center"/>
          </w:tcPr>
          <w:p>
            <w:pPr>
              <w:spacing w:after="0" w:line="259" w:lineRule="auto"/>
            </w:pPr>
            <w:r>
              <w:rPr>
                <w:rFonts w:ascii="Calibri" w:hAnsi="Calibri"/>
                <w:color w:val="101828"/>
                <w:sz w:val="17"/>
              </w:rPr>
              <w:t>Unattended auto mode until Phase 5</w:t>
            </w:r>
          </w:p>
        </w:tc>
      </w:tr>
    </w:tbl>
    <w:p>
      <w:pPr>
        <w:spacing w:after="20"/>
      </w:pPr>
    </w:p>
    <w:p>
      <w:pPr>
        <w:pStyle w:val="Heading2"/>
      </w:pPr>
      <w:r>
        <w:t>1.3 Explicitly out of scope</w:t>
      </w:r>
    </w:p>
    <w:p>
      <w:pPr>
        <w:pStyle w:val="ListBullet"/>
      </w:pPr>
      <w:r>
        <w:rPr>
          <w:rFonts w:ascii="Calibri" w:hAnsi="Calibri"/>
          <w:color w:val="101828"/>
          <w:sz w:val="22"/>
        </w:rPr>
        <w:t>Bypassing allowlists, Merkle proofs, token gates, per-wallet restrictions, CAPTCHAs or platform protections.</w:t>
      </w:r>
    </w:p>
    <w:p>
      <w:pPr>
        <w:pStyle w:val="ListBullet"/>
      </w:pPr>
      <w:r>
        <w:rPr>
          <w:rFonts w:ascii="Calibri" w:hAnsi="Calibri"/>
          <w:color w:val="101828"/>
          <w:sz w:val="22"/>
        </w:rPr>
        <w:t>Copying private signatures, vouchers or entitlements issued to another wallet.</w:t>
      </w:r>
    </w:p>
    <w:p>
      <w:pPr>
        <w:pStyle w:val="ListBullet"/>
      </w:pPr>
      <w:r>
        <w:rPr>
          <w:rFonts w:ascii="Calibri" w:hAnsi="Calibri"/>
          <w:color w:val="101828"/>
          <w:sz w:val="22"/>
        </w:rPr>
        <w:t>Guaranteeing mint profitability or treating repeated mint activity as proof of investment quality.</w:t>
      </w:r>
    </w:p>
    <w:p>
      <w:pPr>
        <w:pStyle w:val="ListBullet"/>
      </w:pPr>
      <w:r>
        <w:rPr>
          <w:rFonts w:ascii="Calibri" w:hAnsi="Calibri"/>
          <w:color w:val="101828"/>
          <w:sz w:val="22"/>
        </w:rPr>
        <w:t>Automatic secondary-market purchases unless a separate marketplace-trading module is approved.</w:t>
      </w:r>
    </w:p>
    <w:p>
      <w:pPr>
        <w:pStyle w:val="ListBullet"/>
      </w:pPr>
      <w:r>
        <w:rPr>
          <w:rFonts w:ascii="Calibri" w:hAnsi="Calibri"/>
          <w:color w:val="101828"/>
          <w:sz w:val="22"/>
        </w:rPr>
        <w:t>Storing seed phrases, raw private keys or recovery data in Telegram messages.</w:t>
      </w:r>
    </w:p>
    <w:p>
      <w:pPr>
        <w:pStyle w:val="Heading2"/>
      </w:pPr>
      <w:r>
        <w:t>1.4 Terminology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0B2545"/>
                <w:sz w:val="18"/>
              </w:rPr>
              <w:t>Term</w:t>
            </w:r>
          </w:p>
        </w:tc>
        <w:tc>
          <w:tcPr>
            <w:tcW w:type="dxa" w:w="7260"/>
            <w:shd w:fill="E8EEF5"/>
            <w:tcMar>
              <w:top w:w="80" w:type="dxa"/>
              <w:start w:w="120" w:type="dxa"/>
              <w:bottom w:w="80" w:type="dxa"/>
              <w:end w:w="120" w:type="dxa"/>
            </w:tcMar>
            <w:vAlign w:val="center"/>
          </w:tcPr>
          <w:p>
            <w:pPr>
              <w:spacing w:after="0"/>
              <w:jc w:val="left"/>
            </w:pPr>
            <w:r>
              <w:rPr>
                <w:rFonts w:ascii="Calibri" w:hAnsi="Calibri"/>
                <w:b/>
                <w:color w:val="0B2545"/>
                <w:sz w:val="18"/>
              </w:rPr>
              <w:t>Meaning</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101828"/>
                <w:sz w:val="18"/>
              </w:rPr>
              <w:t>Collection</w:t>
            </w:r>
          </w:p>
        </w:tc>
        <w:tc>
          <w:tcPr>
            <w:tcW w:type="dxa" w:w="7260"/>
            <w:tcMar>
              <w:top w:w="80" w:type="dxa"/>
              <w:start w:w="120" w:type="dxa"/>
              <w:bottom w:w="80" w:type="dxa"/>
              <w:end w:w="120" w:type="dxa"/>
            </w:tcMar>
            <w:vAlign w:val="center"/>
          </w:tcPr>
          <w:p>
            <w:pPr>
              <w:spacing w:after="0" w:line="259" w:lineRule="auto"/>
            </w:pPr>
            <w:r>
              <w:rPr>
                <w:rFonts w:ascii="Calibri" w:hAnsi="Calibri"/>
                <w:color w:val="101828"/>
                <w:sz w:val="18"/>
              </w:rPr>
              <w:t>An NFT contract on a specific chain. Identity is chain ID plus contract address.</w:t>
            </w:r>
          </w:p>
        </w:tc>
      </w:tr>
      <w:tr>
        <w:tc>
          <w:tcPr>
            <w:tcW w:type="dxa" w:w="2100"/>
            <w:shd w:fill="FAFBFC"/>
            <w:tcMar>
              <w:top w:w="80" w:type="dxa"/>
              <w:start w:w="120" w:type="dxa"/>
              <w:bottom w:w="80" w:type="dxa"/>
              <w:end w:w="120" w:type="dxa"/>
            </w:tcMar>
            <w:vAlign w:val="center"/>
          </w:tcPr>
          <w:p>
            <w:pPr>
              <w:spacing w:after="0" w:line="259" w:lineRule="auto"/>
            </w:pPr>
            <w:r>
              <w:rPr>
                <w:rFonts w:ascii="Calibri" w:hAnsi="Calibri"/>
                <w:color w:val="101828"/>
                <w:sz w:val="18"/>
              </w:rPr>
              <w:t>Mint event</w:t>
            </w:r>
          </w:p>
        </w:tc>
        <w:tc>
          <w:tcPr>
            <w:tcW w:type="dxa" w:w="7260"/>
            <w:shd w:fill="FAFBFC"/>
            <w:tcMar>
              <w:top w:w="80" w:type="dxa"/>
              <w:start w:w="120" w:type="dxa"/>
              <w:bottom w:w="80" w:type="dxa"/>
              <w:end w:w="120" w:type="dxa"/>
            </w:tcMar>
            <w:vAlign w:val="center"/>
          </w:tcPr>
          <w:p>
            <w:pPr>
              <w:spacing w:after="0" w:line="259" w:lineRule="auto"/>
            </w:pPr>
            <w:r>
              <w:rPr>
                <w:rFonts w:ascii="Calibri" w:hAnsi="Calibri"/>
                <w:color w:val="101828"/>
                <w:sz w:val="18"/>
              </w:rPr>
              <w:t>A token creation observation, normally a transfer from the zero address.</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101828"/>
                <w:sz w:val="18"/>
              </w:rPr>
              <w:t>Recipient</w:t>
            </w:r>
          </w:p>
        </w:tc>
        <w:tc>
          <w:tcPr>
            <w:tcW w:type="dxa" w:w="7260"/>
            <w:tcMar>
              <w:top w:w="80" w:type="dxa"/>
              <w:start w:w="120" w:type="dxa"/>
              <w:bottom w:w="80" w:type="dxa"/>
              <w:end w:w="120" w:type="dxa"/>
            </w:tcMar>
            <w:vAlign w:val="center"/>
          </w:tcPr>
          <w:p>
            <w:pPr>
              <w:spacing w:after="0" w:line="259" w:lineRule="auto"/>
            </w:pPr>
            <w:r>
              <w:rPr>
                <w:rFonts w:ascii="Calibri" w:hAnsi="Calibri"/>
                <w:color w:val="101828"/>
                <w:sz w:val="18"/>
              </w:rPr>
              <w:t>Address receiving the newly created NFT.</w:t>
            </w:r>
          </w:p>
        </w:tc>
      </w:tr>
      <w:tr>
        <w:tc>
          <w:tcPr>
            <w:tcW w:type="dxa" w:w="2100"/>
            <w:shd w:fill="FAFBFC"/>
            <w:tcMar>
              <w:top w:w="80" w:type="dxa"/>
              <w:start w:w="120" w:type="dxa"/>
              <w:bottom w:w="80" w:type="dxa"/>
              <w:end w:w="120" w:type="dxa"/>
            </w:tcMar>
            <w:vAlign w:val="center"/>
          </w:tcPr>
          <w:p>
            <w:pPr>
              <w:spacing w:after="0" w:line="259" w:lineRule="auto"/>
            </w:pPr>
            <w:r>
              <w:rPr>
                <w:rFonts w:ascii="Calibri" w:hAnsi="Calibri"/>
                <w:color w:val="101828"/>
                <w:sz w:val="18"/>
              </w:rPr>
              <w:t>Initiator</w:t>
            </w:r>
          </w:p>
        </w:tc>
        <w:tc>
          <w:tcPr>
            <w:tcW w:type="dxa" w:w="7260"/>
            <w:shd w:fill="FAFBFC"/>
            <w:tcMar>
              <w:top w:w="80" w:type="dxa"/>
              <w:start w:w="120" w:type="dxa"/>
              <w:bottom w:w="80" w:type="dxa"/>
              <w:end w:w="120" w:type="dxa"/>
            </w:tcMar>
            <w:vAlign w:val="center"/>
          </w:tcPr>
          <w:p>
            <w:pPr>
              <w:spacing w:after="0" w:line="259" w:lineRule="auto"/>
            </w:pPr>
            <w:r>
              <w:rPr>
                <w:rFonts w:ascii="Calibri" w:hAnsi="Calibri"/>
                <w:color w:val="101828"/>
                <w:sz w:val="18"/>
              </w:rPr>
              <w:t>Best-estimate wallet that deliberately initiated the mint.</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101828"/>
                <w:sz w:val="18"/>
              </w:rPr>
              <w:t>Support count</w:t>
            </w:r>
          </w:p>
        </w:tc>
        <w:tc>
          <w:tcPr>
            <w:tcW w:type="dxa" w:w="7260"/>
            <w:tcMar>
              <w:top w:w="80" w:type="dxa"/>
              <w:start w:w="120" w:type="dxa"/>
              <w:bottom w:w="80" w:type="dxa"/>
              <w:end w:w="120" w:type="dxa"/>
            </w:tcMar>
            <w:vAlign w:val="center"/>
          </w:tcPr>
          <w:p>
            <w:pPr>
              <w:spacing w:after="0" w:line="259" w:lineRule="auto"/>
            </w:pPr>
            <w:r>
              <w:rPr>
                <w:rFonts w:ascii="Calibri" w:hAnsi="Calibri"/>
                <w:color w:val="101828"/>
                <w:sz w:val="18"/>
              </w:rPr>
              <w:t>Number of distinct stored collections associated with a wallet.</w:t>
            </w:r>
          </w:p>
        </w:tc>
      </w:tr>
      <w:tr>
        <w:tc>
          <w:tcPr>
            <w:tcW w:type="dxa" w:w="2100"/>
            <w:shd w:fill="FAFBFC"/>
            <w:tcMar>
              <w:top w:w="80" w:type="dxa"/>
              <w:start w:w="120" w:type="dxa"/>
              <w:bottom w:w="80" w:type="dxa"/>
              <w:end w:w="120" w:type="dxa"/>
            </w:tcMar>
            <w:vAlign w:val="center"/>
          </w:tcPr>
          <w:p>
            <w:pPr>
              <w:spacing w:after="0" w:line="259" w:lineRule="auto"/>
            </w:pPr>
            <w:r>
              <w:rPr>
                <w:rFonts w:ascii="Calibri" w:hAnsi="Calibri"/>
                <w:color w:val="101828"/>
                <w:sz w:val="18"/>
              </w:rPr>
              <w:t>Tracked wallet</w:t>
            </w:r>
          </w:p>
        </w:tc>
        <w:tc>
          <w:tcPr>
            <w:tcW w:type="dxa" w:w="7260"/>
            <w:shd w:fill="FAFBFC"/>
            <w:tcMar>
              <w:top w:w="80" w:type="dxa"/>
              <w:start w:w="120" w:type="dxa"/>
              <w:bottom w:w="80" w:type="dxa"/>
              <w:end w:w="120" w:type="dxa"/>
            </w:tcMar>
            <w:vAlign w:val="center"/>
          </w:tcPr>
          <w:p>
            <w:pPr>
              <w:spacing w:after="0" w:line="259" w:lineRule="auto"/>
            </w:pPr>
            <w:r>
              <w:rPr>
                <w:rFonts w:ascii="Calibri" w:hAnsi="Calibri"/>
                <w:color w:val="101828"/>
                <w:sz w:val="18"/>
              </w:rPr>
              <w:t>Wallet selected for live mint monitoring.</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101828"/>
                <w:sz w:val="18"/>
              </w:rPr>
              <w:t>Opportunity</w:t>
            </w:r>
          </w:p>
        </w:tc>
        <w:tc>
          <w:tcPr>
            <w:tcW w:type="dxa" w:w="7260"/>
            <w:tcMar>
              <w:top w:w="80" w:type="dxa"/>
              <w:start w:w="120" w:type="dxa"/>
              <w:bottom w:w="80" w:type="dxa"/>
              <w:end w:w="120" w:type="dxa"/>
            </w:tcMar>
            <w:vAlign w:val="center"/>
          </w:tcPr>
          <w:p>
            <w:pPr>
              <w:spacing w:after="0" w:line="259" w:lineRule="auto"/>
            </w:pPr>
            <w:r>
              <w:rPr>
                <w:rFonts w:ascii="Calibri" w:hAnsi="Calibri"/>
                <w:color w:val="101828"/>
                <w:sz w:val="18"/>
              </w:rPr>
              <w:t>A detected target mint that may be eligible for copying.</w:t>
            </w:r>
          </w:p>
        </w:tc>
      </w:tr>
      <w:tr>
        <w:tc>
          <w:tcPr>
            <w:tcW w:type="dxa" w:w="2100"/>
            <w:shd w:fill="FAFBFC"/>
            <w:tcMar>
              <w:top w:w="80" w:type="dxa"/>
              <w:start w:w="120" w:type="dxa"/>
              <w:bottom w:w="80" w:type="dxa"/>
              <w:end w:w="120" w:type="dxa"/>
            </w:tcMar>
            <w:vAlign w:val="center"/>
          </w:tcPr>
          <w:p>
            <w:pPr>
              <w:spacing w:after="0" w:line="259" w:lineRule="auto"/>
            </w:pPr>
            <w:r>
              <w:rPr>
                <w:rFonts w:ascii="Calibri" w:hAnsi="Calibri"/>
                <w:color w:val="101828"/>
                <w:sz w:val="18"/>
              </w:rPr>
              <w:t>Adapter</w:t>
            </w:r>
          </w:p>
        </w:tc>
        <w:tc>
          <w:tcPr>
            <w:tcW w:type="dxa" w:w="7260"/>
            <w:shd w:fill="FAFBFC"/>
            <w:tcMar>
              <w:top w:w="80" w:type="dxa"/>
              <w:start w:w="120" w:type="dxa"/>
              <w:bottom w:w="80" w:type="dxa"/>
              <w:end w:w="120" w:type="dxa"/>
            </w:tcMar>
            <w:vAlign w:val="center"/>
          </w:tcPr>
          <w:p>
            <w:pPr>
              <w:spacing w:after="0" w:line="259" w:lineRule="auto"/>
            </w:pPr>
            <w:r>
              <w:rPr>
                <w:rFonts w:ascii="Calibri" w:hAnsi="Calibri"/>
                <w:color w:val="101828"/>
                <w:sz w:val="18"/>
              </w:rPr>
              <w:t>Protocol-specific recognizer, eligibility checker, quoter and transaction builder.</w:t>
            </w:r>
          </w:p>
        </w:tc>
      </w:tr>
      <w:tr>
        <w:tc>
          <w:tcPr>
            <w:tcW w:type="dxa" w:w="2100"/>
            <w:tcMar>
              <w:top w:w="80" w:type="dxa"/>
              <w:start w:w="120" w:type="dxa"/>
              <w:bottom w:w="80" w:type="dxa"/>
              <w:end w:w="120" w:type="dxa"/>
            </w:tcMar>
            <w:vAlign w:val="center"/>
          </w:tcPr>
          <w:p>
            <w:pPr>
              <w:spacing w:after="0" w:line="259" w:lineRule="auto"/>
            </w:pPr>
            <w:r>
              <w:rPr>
                <w:rFonts w:ascii="Calibri" w:hAnsi="Calibri"/>
                <w:color w:val="101828"/>
                <w:sz w:val="18"/>
              </w:rPr>
              <w:t>Execution wallet</w:t>
            </w:r>
          </w:p>
        </w:tc>
        <w:tc>
          <w:tcPr>
            <w:tcW w:type="dxa" w:w="7260"/>
            <w:tcMar>
              <w:top w:w="80" w:type="dxa"/>
              <w:start w:w="120" w:type="dxa"/>
              <w:bottom w:w="80" w:type="dxa"/>
              <w:end w:w="120" w:type="dxa"/>
            </w:tcMar>
            <w:vAlign w:val="center"/>
          </w:tcPr>
          <w:p>
            <w:pPr>
              <w:spacing w:after="0" w:line="259" w:lineRule="auto"/>
            </w:pPr>
            <w:r>
              <w:rPr>
                <w:rFonts w:ascii="Calibri" w:hAnsi="Calibri"/>
                <w:color w:val="101828"/>
                <w:sz w:val="18"/>
              </w:rPr>
              <w:t>Controlled wallet used to submit copy-mint transactions.</w:t>
            </w:r>
          </w:p>
        </w:tc>
      </w:tr>
      <w:tr>
        <w:tc>
          <w:tcPr>
            <w:tcW w:type="dxa" w:w="2100"/>
            <w:shd w:fill="FAFBFC"/>
            <w:tcMar>
              <w:top w:w="80" w:type="dxa"/>
              <w:start w:w="120" w:type="dxa"/>
              <w:bottom w:w="80" w:type="dxa"/>
              <w:end w:w="120" w:type="dxa"/>
            </w:tcMar>
            <w:vAlign w:val="center"/>
          </w:tcPr>
          <w:p>
            <w:pPr>
              <w:spacing w:after="0" w:line="259" w:lineRule="auto"/>
            </w:pPr>
            <w:r>
              <w:rPr>
                <w:rFonts w:ascii="Calibri" w:hAnsi="Calibri"/>
                <w:color w:val="101828"/>
                <w:sz w:val="18"/>
              </w:rPr>
              <w:t>Paper mode</w:t>
            </w:r>
          </w:p>
        </w:tc>
        <w:tc>
          <w:tcPr>
            <w:tcW w:type="dxa" w:w="7260"/>
            <w:shd w:fill="FAFBFC"/>
            <w:tcMar>
              <w:top w:w="80" w:type="dxa"/>
              <w:start w:w="120" w:type="dxa"/>
              <w:bottom w:w="80" w:type="dxa"/>
              <w:end w:w="120" w:type="dxa"/>
            </w:tcMar>
            <w:vAlign w:val="center"/>
          </w:tcPr>
          <w:p>
            <w:pPr>
              <w:spacing w:after="0" w:line="259" w:lineRule="auto"/>
            </w:pPr>
            <w:r>
              <w:rPr>
                <w:rFonts w:ascii="Calibri" w:hAnsi="Calibri"/>
                <w:color w:val="101828"/>
                <w:sz w:val="18"/>
              </w:rPr>
              <w:t>Build and simulate without signing or broadcasting.</w:t>
            </w:r>
          </w:p>
        </w:tc>
      </w:tr>
    </w:tbl>
    <w:p>
      <w:pPr>
        <w:spacing w:after="20"/>
      </w:pPr>
    </w:p>
    <w:p>
      <w:pPr>
        <w:pStyle w:val="Heading1"/>
      </w:pPr>
      <w:r>
        <w:t>2  Users, roles and primary workflows</w:t>
      </w:r>
    </w:p>
    <w:p>
      <w:pPr>
        <w:pStyle w:val="Heading2"/>
      </w:pPr>
      <w:r>
        <w:t>2.1 Roles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E8EEF5"/>
            <w:tcMar>
              <w:top w:w="80" w:type="dxa"/>
              <w:start w:w="120" w:type="dxa"/>
              <w:bottom w:w="80" w:type="dxa"/>
              <w:end w:w="120" w:type="dxa"/>
            </w:tcMar>
            <w:vAlign w:val="center"/>
          </w:tcPr>
          <w:p>
            <w:pPr>
              <w:spacing w:after="0"/>
              <w:jc w:val="left"/>
            </w:pPr>
            <w:r>
              <w:rPr>
                <w:rFonts w:ascii="Calibri" w:hAnsi="Calibri"/>
                <w:b/>
                <w:color w:val="0B2545"/>
                <w:sz w:val="18"/>
              </w:rPr>
              <w:t>Role</w:t>
            </w:r>
          </w:p>
        </w:tc>
        <w:tc>
          <w:tcPr>
            <w:tcW w:type="dxa" w:w="7360"/>
            <w:shd w:fill="E8EEF5"/>
            <w:tcMar>
              <w:top w:w="80" w:type="dxa"/>
              <w:start w:w="120" w:type="dxa"/>
              <w:bottom w:w="80" w:type="dxa"/>
              <w:end w:w="120" w:type="dxa"/>
            </w:tcMar>
            <w:vAlign w:val="center"/>
          </w:tcPr>
          <w:p>
            <w:pPr>
              <w:spacing w:after="0"/>
              <w:jc w:val="left"/>
            </w:pPr>
            <w:r>
              <w:rPr>
                <w:rFonts w:ascii="Calibri" w:hAnsi="Calibri"/>
                <w:b/>
                <w:color w:val="0B2545"/>
                <w:sz w:val="18"/>
              </w:rPr>
              <w:t>Permissions</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101828"/>
                <w:sz w:val="18"/>
              </w:rPr>
              <w:t>Owner</w:t>
            </w:r>
          </w:p>
        </w:tc>
        <w:tc>
          <w:tcPr>
            <w:tcW w:type="dxa" w:w="7360"/>
            <w:tcMar>
              <w:top w:w="80" w:type="dxa"/>
              <w:start w:w="120" w:type="dxa"/>
              <w:bottom w:w="80" w:type="dxa"/>
              <w:end w:w="120" w:type="dxa"/>
            </w:tcMar>
            <w:vAlign w:val="center"/>
          </w:tcPr>
          <w:p>
            <w:pPr>
              <w:spacing w:after="0" w:line="259" w:lineRule="auto"/>
            </w:pPr>
            <w:r>
              <w:rPr>
                <w:rFonts w:ascii="Calibri" w:hAnsi="Calibri"/>
                <w:color w:val="101828"/>
                <w:sz w:val="18"/>
              </w:rPr>
              <w:t>All bot, wallet, strategy, signing and emergency controls.</w:t>
            </w:r>
          </w:p>
        </w:tc>
      </w:tr>
      <w:tr>
        <w:tc>
          <w:tcPr>
            <w:tcW w:type="dxa" w:w="2000"/>
            <w:shd w:fill="FAFBFC"/>
            <w:tcMar>
              <w:top w:w="80" w:type="dxa"/>
              <w:start w:w="120" w:type="dxa"/>
              <w:bottom w:w="80" w:type="dxa"/>
              <w:end w:w="120" w:type="dxa"/>
            </w:tcMar>
            <w:vAlign w:val="center"/>
          </w:tcPr>
          <w:p>
            <w:pPr>
              <w:spacing w:after="0" w:line="259" w:lineRule="auto"/>
            </w:pPr>
            <w:r>
              <w:rPr>
                <w:rFonts w:ascii="Calibri" w:hAnsi="Calibri"/>
                <w:color w:val="101828"/>
                <w:sz w:val="18"/>
              </w:rPr>
              <w:t>Analyst</w:t>
            </w:r>
          </w:p>
        </w:tc>
        <w:tc>
          <w:tcPr>
            <w:tcW w:type="dxa" w:w="7360"/>
            <w:shd w:fill="FAFBFC"/>
            <w:tcMar>
              <w:top w:w="80" w:type="dxa"/>
              <w:start w:w="120" w:type="dxa"/>
              <w:bottom w:w="80" w:type="dxa"/>
              <w:end w:w="120" w:type="dxa"/>
            </w:tcMar>
            <w:vAlign w:val="center"/>
          </w:tcPr>
          <w:p>
            <w:pPr>
              <w:spacing w:after="0" w:line="259" w:lineRule="auto"/>
            </w:pPr>
            <w:r>
              <w:rPr>
                <w:rFonts w:ascii="Calibri" w:hAnsi="Calibri"/>
                <w:color w:val="101828"/>
                <w:sz w:val="18"/>
              </w:rPr>
              <w:t>Add collections, run scans, inspect overlaps and manage watchlists; cannot spend funds.</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101828"/>
                <w:sz w:val="18"/>
              </w:rPr>
              <w:t>Operator</w:t>
            </w:r>
          </w:p>
        </w:tc>
        <w:tc>
          <w:tcPr>
            <w:tcW w:type="dxa" w:w="7360"/>
            <w:tcMar>
              <w:top w:w="80" w:type="dxa"/>
              <w:start w:w="120" w:type="dxa"/>
              <w:bottom w:w="80" w:type="dxa"/>
              <w:end w:w="120" w:type="dxa"/>
            </w:tcMar>
            <w:vAlign w:val="center"/>
          </w:tcPr>
          <w:p>
            <w:pPr>
              <w:spacing w:after="0" w:line="259" w:lineRule="auto"/>
            </w:pPr>
            <w:r>
              <w:rPr>
                <w:rFonts w:ascii="Calibri" w:hAnsi="Calibri"/>
                <w:color w:val="101828"/>
                <w:sz w:val="18"/>
              </w:rPr>
              <w:t>Review opportunities and approve within assigned strategy limits.</w:t>
            </w:r>
          </w:p>
        </w:tc>
      </w:tr>
      <w:tr>
        <w:tc>
          <w:tcPr>
            <w:tcW w:type="dxa" w:w="2000"/>
            <w:shd w:fill="FAFBFC"/>
            <w:tcMar>
              <w:top w:w="80" w:type="dxa"/>
              <w:start w:w="120" w:type="dxa"/>
              <w:bottom w:w="80" w:type="dxa"/>
              <w:end w:w="120" w:type="dxa"/>
            </w:tcMar>
            <w:vAlign w:val="center"/>
          </w:tcPr>
          <w:p>
            <w:pPr>
              <w:spacing w:after="0" w:line="259" w:lineRule="auto"/>
            </w:pPr>
            <w:r>
              <w:rPr>
                <w:rFonts w:ascii="Calibri" w:hAnsi="Calibri"/>
                <w:color w:val="101828"/>
                <w:sz w:val="18"/>
              </w:rPr>
              <w:t>Service worker</w:t>
            </w:r>
          </w:p>
        </w:tc>
        <w:tc>
          <w:tcPr>
            <w:tcW w:type="dxa" w:w="7360"/>
            <w:shd w:fill="FAFBFC"/>
            <w:tcMar>
              <w:top w:w="80" w:type="dxa"/>
              <w:start w:w="120" w:type="dxa"/>
              <w:bottom w:w="80" w:type="dxa"/>
              <w:end w:w="120" w:type="dxa"/>
            </w:tcMar>
            <w:vAlign w:val="center"/>
          </w:tcPr>
          <w:p>
            <w:pPr>
              <w:spacing w:after="0" w:line="259" w:lineRule="auto"/>
            </w:pPr>
            <w:r>
              <w:rPr>
                <w:rFonts w:ascii="Calibri" w:hAnsi="Calibri"/>
                <w:color w:val="101828"/>
                <w:sz w:val="18"/>
              </w:rPr>
              <w:t>Performs bounded jobs under service credentials; cannot change policy.</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101828"/>
                <w:sz w:val="18"/>
              </w:rPr>
              <w:t>Signer</w:t>
            </w:r>
          </w:p>
        </w:tc>
        <w:tc>
          <w:tcPr>
            <w:tcW w:type="dxa" w:w="7360"/>
            <w:tcMar>
              <w:top w:w="80" w:type="dxa"/>
              <w:start w:w="120" w:type="dxa"/>
              <w:bottom w:w="80" w:type="dxa"/>
              <w:end w:w="120" w:type="dxa"/>
            </w:tcMar>
            <w:vAlign w:val="center"/>
          </w:tcPr>
          <w:p>
            <w:pPr>
              <w:spacing w:after="0" w:line="259" w:lineRule="auto"/>
            </w:pPr>
            <w:r>
              <w:rPr>
                <w:rFonts w:ascii="Calibri" w:hAnsi="Calibri"/>
                <w:color w:val="101828"/>
                <w:sz w:val="18"/>
              </w:rPr>
              <w:t>Signs only validated execution plans and exposes no private key material.</w:t>
            </w:r>
          </w:p>
        </w:tc>
      </w:tr>
    </w:tbl>
    <w:p>
      <w:pPr>
        <w:spacing w:after="20"/>
      </w:pPr>
    </w:p>
    <w:p>
      <w:pPr>
        <w:pStyle w:val="Heading2"/>
      </w:pPr>
      <w:r>
        <w:t>2.2 Primary workflow A - historical intelligence</w:t>
      </w:r>
    </w:p>
    <w:p>
      <w:pPr>
        <w:spacing w:after="80" w:line="300" w:lineRule="auto"/>
        <w:ind w:left="540" w:hanging="271"/>
        <w:numPr>
          <w:ilvl w:val="0"/>
          <w:numId w:val="10"/>
        </w:numPr>
      </w:pPr>
      <w:r>
        <w:rPr>
          <w:rFonts w:ascii="Calibri" w:hAnsi="Calibri"/>
          <w:color w:val="101828"/>
          <w:sz w:val="22"/>
        </w:rPr>
        <w:t>Operator submits chain and contract address.</w:t>
      </w:r>
    </w:p>
    <w:p>
      <w:pPr>
        <w:spacing w:after="80" w:line="300" w:lineRule="auto"/>
        <w:ind w:left="540" w:hanging="271"/>
        <w:numPr>
          <w:ilvl w:val="0"/>
          <w:numId w:val="10"/>
        </w:numPr>
      </w:pPr>
      <w:r>
        <w:rPr>
          <w:rFonts w:ascii="Calibri" w:hAnsi="Calibri"/>
          <w:color w:val="101828"/>
          <w:sz w:val="22"/>
        </w:rPr>
        <w:t>System validates the contract, token standard and deployment boundary.</w:t>
      </w:r>
    </w:p>
    <w:p>
      <w:pPr>
        <w:spacing w:after="80" w:line="300" w:lineRule="auto"/>
        <w:ind w:left="540" w:hanging="271"/>
        <w:numPr>
          <w:ilvl w:val="0"/>
          <w:numId w:val="10"/>
        </w:numPr>
      </w:pPr>
      <w:r>
        <w:rPr>
          <w:rFonts w:ascii="Calibri" w:hAnsi="Calibri"/>
          <w:color w:val="101828"/>
          <w:sz w:val="22"/>
        </w:rPr>
        <w:t>Indexer scans mint logs in resumable block chunks.</w:t>
      </w:r>
    </w:p>
    <w:p>
      <w:pPr>
        <w:spacing w:after="80" w:line="300" w:lineRule="auto"/>
        <w:ind w:left="540" w:hanging="271"/>
        <w:numPr>
          <w:ilvl w:val="0"/>
          <w:numId w:val="10"/>
        </w:numPr>
      </w:pPr>
      <w:r>
        <w:rPr>
          <w:rFonts w:ascii="Calibri" w:hAnsi="Calibri"/>
          <w:color w:val="101828"/>
          <w:sz w:val="22"/>
        </w:rPr>
        <w:t>Identity resolver records recipient and probable initiator separately.</w:t>
      </w:r>
    </w:p>
    <w:p>
      <w:pPr>
        <w:spacing w:after="80" w:line="300" w:lineRule="auto"/>
        <w:ind w:left="540" w:hanging="271"/>
        <w:numPr>
          <w:ilvl w:val="0"/>
          <w:numId w:val="10"/>
        </w:numPr>
      </w:pPr>
      <w:r>
        <w:rPr>
          <w:rFonts w:ascii="Calibri" w:hAnsi="Calibri"/>
          <w:color w:val="101828"/>
          <w:sz w:val="22"/>
        </w:rPr>
        <w:t>Analytics updates wallet-to-collection statistics.</w:t>
      </w:r>
    </w:p>
    <w:p>
      <w:pPr>
        <w:spacing w:after="80" w:line="300" w:lineRule="auto"/>
        <w:ind w:left="540" w:hanging="271"/>
        <w:numPr>
          <w:ilvl w:val="0"/>
          <w:numId w:val="10"/>
        </w:numPr>
      </w:pPr>
      <w:r>
        <w:rPr>
          <w:rFonts w:ascii="Calibri" w:hAnsi="Calibri"/>
          <w:color w:val="101828"/>
          <w:sz w:val="22"/>
        </w:rPr>
        <w:t>Bot reports minters, repeated wallets, classifications and scan quality warnings.</w:t>
      </w:r>
    </w:p>
    <w:p>
      <w:pPr>
        <w:keepNext/>
        <w:spacing w:before="100" w:after="0"/>
        <w:jc w:val="center"/>
      </w:pPr>
      <w:r>
        <w:drawing>
          <wp:inline xmlns:a="http://schemas.openxmlformats.org/drawingml/2006/main" xmlns:pic="http://schemas.openxmlformats.org/drawingml/2006/picture">
            <wp:extent cx="5897880" cy="3211068"/>
            <wp:docPr id="1" name="Picture 1"/>
            <wp:cNvGraphicFramePr>
              <a:graphicFrameLocks noChangeAspect="1"/>
            </wp:cNvGraphicFramePr>
            <a:graphic>
              <a:graphicData uri="http://schemas.openxmlformats.org/drawingml/2006/picture">
                <pic:pic>
                  <pic:nvPicPr>
                    <pic:cNvPr id="0" name="03_ingestion_workflow.png"/>
                    <pic:cNvPicPr/>
                  </pic:nvPicPr>
                  <pic:blipFill>
                    <a:blip r:embed="rId11"/>
                    <a:stretch>
                      <a:fillRect/>
                    </a:stretch>
                  </pic:blipFill>
                  <pic:spPr>
                    <a:xfrm>
                      <a:off x="0" y="0"/>
                      <a:ext cx="5897880" cy="3211068"/>
                    </a:xfrm>
                    <a:prstGeom prst="rect"/>
                  </pic:spPr>
                </pic:pic>
              </a:graphicData>
            </a:graphic>
          </wp:inline>
        </w:drawing>
      </w:r>
    </w:p>
    <w:p>
      <w:pPr>
        <w:pStyle w:val="FigureCaption"/>
      </w:pPr>
      <w:r>
        <w:t>Figure 1. Historical collection ingestion is resumable, idempotent and finality-aware.</w:t>
      </w:r>
    </w:p>
    <w:p>
      <w:pPr>
        <w:pStyle w:val="Heading2"/>
      </w:pPr>
      <w:r>
        <w:t>2.3 Primary workflow B - live copy opportunity</w:t>
      </w:r>
    </w:p>
    <w:p>
      <w:pPr>
        <w:spacing w:after="80" w:line="300" w:lineRule="auto"/>
        <w:ind w:left="540" w:hanging="271"/>
        <w:numPr>
          <w:ilvl w:val="0"/>
          <w:numId w:val="11"/>
        </w:numPr>
      </w:pPr>
      <w:r>
        <w:rPr>
          <w:rFonts w:ascii="Calibri" w:hAnsi="Calibri"/>
          <w:color w:val="101828"/>
          <w:sz w:val="22"/>
        </w:rPr>
        <w:t>A new finalized mint event is linked to a tracked wallet.</w:t>
      </w:r>
    </w:p>
    <w:p>
      <w:pPr>
        <w:spacing w:after="80" w:line="300" w:lineRule="auto"/>
        <w:ind w:left="540" w:hanging="271"/>
        <w:numPr>
          <w:ilvl w:val="0"/>
          <w:numId w:val="11"/>
        </w:numPr>
      </w:pPr>
      <w:r>
        <w:rPr>
          <w:rFonts w:ascii="Calibri" w:hAnsi="Calibri"/>
          <w:color w:val="101828"/>
          <w:sz w:val="22"/>
        </w:rPr>
        <w:t>The system creates a deduplicated opportunity and explains why the wallet is tracked.</w:t>
      </w:r>
    </w:p>
    <w:p>
      <w:pPr>
        <w:spacing w:after="80" w:line="300" w:lineRule="auto"/>
        <w:ind w:left="540" w:hanging="271"/>
        <w:numPr>
          <w:ilvl w:val="0"/>
          <w:numId w:val="11"/>
        </w:numPr>
      </w:pPr>
      <w:r>
        <w:rPr>
          <w:rFonts w:ascii="Calibri" w:hAnsi="Calibri"/>
          <w:color w:val="101828"/>
          <w:sz w:val="22"/>
        </w:rPr>
        <w:t>A route adapter classifies eligibility and calculates a current quote.</w:t>
      </w:r>
    </w:p>
    <w:p>
      <w:pPr>
        <w:spacing w:after="80" w:line="300" w:lineRule="auto"/>
        <w:ind w:left="540" w:hanging="271"/>
        <w:numPr>
          <w:ilvl w:val="0"/>
          <w:numId w:val="11"/>
        </w:numPr>
      </w:pPr>
      <w:r>
        <w:rPr>
          <w:rFonts w:ascii="Calibri" w:hAnsi="Calibri"/>
          <w:color w:val="101828"/>
          <w:sz w:val="22"/>
        </w:rPr>
        <w:t>The transaction is freshly built for the selected execution wallet.</w:t>
      </w:r>
    </w:p>
    <w:p>
      <w:pPr>
        <w:spacing w:after="80" w:line="300" w:lineRule="auto"/>
        <w:ind w:left="540" w:hanging="271"/>
        <w:numPr>
          <w:ilvl w:val="0"/>
          <w:numId w:val="11"/>
        </w:numPr>
      </w:pPr>
      <w:r>
        <w:rPr>
          <w:rFonts w:ascii="Calibri" w:hAnsi="Calibri"/>
          <w:color w:val="101828"/>
          <w:sz w:val="22"/>
        </w:rPr>
        <w:t>Simulation and policy checks run immediately before signing.</w:t>
      </w:r>
    </w:p>
    <w:p>
      <w:pPr>
        <w:spacing w:after="80" w:line="300" w:lineRule="auto"/>
        <w:ind w:left="540" w:hanging="271"/>
        <w:numPr>
          <w:ilvl w:val="0"/>
          <w:numId w:val="11"/>
        </w:numPr>
      </w:pPr>
      <w:r>
        <w:rPr>
          <w:rFonts w:ascii="Calibri" w:hAnsi="Calibri"/>
          <w:color w:val="101828"/>
          <w:sz w:val="22"/>
        </w:rPr>
        <w:t>Manual mode requests Telegram approval; auto mode proceeds only inside pre-authorized limits.</w:t>
      </w:r>
    </w:p>
    <w:p>
      <w:pPr>
        <w:spacing w:after="80" w:line="300" w:lineRule="auto"/>
        <w:ind w:left="540" w:hanging="271"/>
        <w:numPr>
          <w:ilvl w:val="0"/>
          <w:numId w:val="11"/>
        </w:numPr>
      </w:pPr>
      <w:r>
        <w:rPr>
          <w:rFonts w:ascii="Calibri" w:hAnsi="Calibri"/>
          <w:color w:val="101828"/>
          <w:sz w:val="22"/>
        </w:rPr>
        <w:t>The transaction manager monitors replacement, confirmation, failure, drop and reorganization states.</w:t>
      </w:r>
    </w:p>
    <w:p>
      <w:pPr>
        <w:pStyle w:val="Heading1"/>
      </w:pPr>
      <w:r>
        <w:t>3  Functional and non-functional requirements</w:t>
      </w:r>
    </w:p>
    <w:tbl>
      <w:tblPr>
        <w:tblStyle w:val="TableGrid"/>
        <w:tblW w:type="dxa" w:w="9360"/>
        <w:jc w:val="left"/>
        <w:tblLayout w:type="fixed"/>
        <w:tblLook w:firstColumn="1" w:firstRow="1" w:lastColumn="0" w:lastRow="0" w:noHBand="0" w:noVBand="1" w:val="04A0"/>
        <w:tblInd w:w="120" w:type="dxa"/>
      </w:tblPr>
      <w:tblGrid>
        <w:gridCol w:w="1050"/>
        <w:gridCol w:w="2400"/>
        <w:gridCol w:w="5910"/>
      </w:tblGrid>
      <w:tr>
        <w:trPr>
          <w:tblHeader w:val="true"/>
        </w:trPr>
        <w:tc>
          <w:tcPr>
            <w:tcW w:type="dxa" w:w="1050"/>
            <w:shd w:fill="E8EEF5"/>
            <w:tcMar>
              <w:top w:w="80" w:type="dxa"/>
              <w:start w:w="120" w:type="dxa"/>
              <w:bottom w:w="80" w:type="dxa"/>
              <w:end w:w="120" w:type="dxa"/>
            </w:tcMar>
            <w:vAlign w:val="center"/>
          </w:tcPr>
          <w:p>
            <w:pPr>
              <w:spacing w:after="0"/>
              <w:jc w:val="left"/>
            </w:pPr>
            <w:r>
              <w:rPr>
                <w:rFonts w:ascii="Calibri" w:hAnsi="Calibri"/>
                <w:b/>
                <w:color w:val="0B2545"/>
                <w:sz w:val="17"/>
              </w:rPr>
              <w:t>ID</w:t>
            </w:r>
          </w:p>
        </w:tc>
        <w:tc>
          <w:tcPr>
            <w:tcW w:type="dxa" w:w="2400"/>
            <w:shd w:fill="E8EEF5"/>
            <w:tcMar>
              <w:top w:w="80" w:type="dxa"/>
              <w:start w:w="120" w:type="dxa"/>
              <w:bottom w:w="80" w:type="dxa"/>
              <w:end w:w="120" w:type="dxa"/>
            </w:tcMar>
            <w:vAlign w:val="center"/>
          </w:tcPr>
          <w:p>
            <w:pPr>
              <w:spacing w:after="0"/>
              <w:jc w:val="left"/>
            </w:pPr>
            <w:r>
              <w:rPr>
                <w:rFonts w:ascii="Calibri" w:hAnsi="Calibri"/>
                <w:b/>
                <w:color w:val="0B2545"/>
                <w:sz w:val="17"/>
              </w:rPr>
              <w:t>Requirement</w:t>
            </w:r>
          </w:p>
        </w:tc>
        <w:tc>
          <w:tcPr>
            <w:tcW w:type="dxa" w:w="5910"/>
            <w:shd w:fill="E8EEF5"/>
            <w:tcMar>
              <w:top w:w="80" w:type="dxa"/>
              <w:start w:w="120" w:type="dxa"/>
              <w:bottom w:w="80" w:type="dxa"/>
              <w:end w:w="120" w:type="dxa"/>
            </w:tcMar>
            <w:vAlign w:val="center"/>
          </w:tcPr>
          <w:p>
            <w:pPr>
              <w:spacing w:after="0"/>
              <w:jc w:val="left"/>
            </w:pPr>
            <w:r>
              <w:rPr>
                <w:rFonts w:ascii="Calibri" w:hAnsi="Calibri"/>
                <w:b/>
                <w:color w:val="0B2545"/>
                <w:sz w:val="17"/>
              </w:rPr>
              <w:t>Acceptance statement</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FR-01</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Chain configuration</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Store immutable chain ID, namespace, currency, RPC references and finality policy.</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FR-02</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Collection registration</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Validate and uniquely register a contract by chain ID and normalized address.</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FR-03</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Historical scanning</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Backfill mint events from deployment block to the selected finality boundary.</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FR-04</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Resume and deduplicate</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Persist checkpoints and enforce unique event keys so jobs can safely restart.</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FR-05</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Standard detection</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Support ERC-721, ERC-1155 and ERC-2309; flag uncertain/nonstandard contracts.</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FR-06</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Identity resolution</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Store recipient, tx sender, operator, payer and probable initiator with confidence.</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FR-07</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Mint classification</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Classify public, free, allowlist, signed, token-gated, admin, airdrop, bridge and unknown mints.</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FR-08</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Overlap analysis</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Calculate support counts and arbitrary pairwise/group intersections from persisted observations.</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FR-09</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Watchlist</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Track wallets manually or by threshold and preserve the reason for selection.</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FR-10</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Live detection</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Detect new mint activity for tracked wallets and create idempotent opportunities.</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FR-11</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Route recognition</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Recognize direct public mints, SeaDrop and explicitly installed launchpad adapters.</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FR-12</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Eligibility</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Reject routes requiring unavailable proofs, signatures, gates or wallet-specific entitlement.</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FR-13</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Quote and simulation</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Re-read sale state, quote total cost, estimate gas and simulate before signing.</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FR-14</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Execution modes</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Support alert-only, paper, manual and guarded-auto modes.</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FR-15</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Multiple wallets</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Create/register controlled wallets through the signer and select one using an explicit policy.</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FR-16</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Policy enforcement</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Enforce chain, route, quantity, price, gas, daily spend and attempt limits.</w:t>
            </w:r>
          </w:p>
        </w:tc>
      </w:tr>
      <w:tr>
        <w:tc>
          <w:tcPr>
            <w:tcW w:type="dxa" w:w="1050"/>
            <w:tcMar>
              <w:top w:w="80" w:type="dxa"/>
              <w:start w:w="120" w:type="dxa"/>
              <w:bottom w:w="80" w:type="dxa"/>
              <w:end w:w="120" w:type="dxa"/>
            </w:tcMar>
            <w:vAlign w:val="center"/>
          </w:tcPr>
          <w:p>
            <w:pPr>
              <w:spacing w:after="0" w:line="259" w:lineRule="auto"/>
            </w:pPr>
            <w:r>
              <w:rPr>
                <w:rFonts w:ascii="Calibri" w:hAnsi="Calibri"/>
                <w:color w:val="101828"/>
                <w:sz w:val="17"/>
              </w:rPr>
              <w:t>FR-17</w:t>
            </w:r>
          </w:p>
        </w:tc>
        <w:tc>
          <w:tcPr>
            <w:tcW w:type="dxa" w:w="2400"/>
            <w:tcMar>
              <w:top w:w="80" w:type="dxa"/>
              <w:start w:w="120" w:type="dxa"/>
              <w:bottom w:w="80" w:type="dxa"/>
              <w:end w:w="120" w:type="dxa"/>
            </w:tcMar>
            <w:vAlign w:val="center"/>
          </w:tcPr>
          <w:p>
            <w:pPr>
              <w:spacing w:after="0" w:line="259" w:lineRule="auto"/>
            </w:pPr>
            <w:r>
              <w:rPr>
                <w:rFonts w:ascii="Calibri" w:hAnsi="Calibri"/>
                <w:color w:val="101828"/>
                <w:sz w:val="17"/>
              </w:rPr>
              <w:t>Transaction lifecycle</w:t>
            </w:r>
          </w:p>
        </w:tc>
        <w:tc>
          <w:tcPr>
            <w:tcW w:type="dxa" w:w="5910"/>
            <w:tcMar>
              <w:top w:w="80" w:type="dxa"/>
              <w:start w:w="120" w:type="dxa"/>
              <w:bottom w:w="80" w:type="dxa"/>
              <w:end w:w="120" w:type="dxa"/>
            </w:tcMar>
            <w:vAlign w:val="center"/>
          </w:tcPr>
          <w:p>
            <w:pPr>
              <w:spacing w:after="0" w:line="259" w:lineRule="auto"/>
            </w:pPr>
            <w:r>
              <w:rPr>
                <w:rFonts w:ascii="Calibri" w:hAnsi="Calibri"/>
                <w:color w:val="101828"/>
                <w:sz w:val="17"/>
              </w:rPr>
              <w:t>Track every plan and attempt through terminal or recovery state.</w:t>
            </w:r>
          </w:p>
        </w:tc>
      </w:tr>
      <w:tr>
        <w:tc>
          <w:tcPr>
            <w:tcW w:type="dxa" w:w="1050"/>
            <w:shd w:fill="FAFBFC"/>
            <w:tcMar>
              <w:top w:w="80" w:type="dxa"/>
              <w:start w:w="120" w:type="dxa"/>
              <w:bottom w:w="80" w:type="dxa"/>
              <w:end w:w="120" w:type="dxa"/>
            </w:tcMar>
            <w:vAlign w:val="center"/>
          </w:tcPr>
          <w:p>
            <w:pPr>
              <w:spacing w:after="0" w:line="259" w:lineRule="auto"/>
            </w:pPr>
            <w:r>
              <w:rPr>
                <w:rFonts w:ascii="Calibri" w:hAnsi="Calibri"/>
                <w:color w:val="101828"/>
                <w:sz w:val="17"/>
              </w:rPr>
              <w:t>FR-18</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color w:val="101828"/>
                <w:sz w:val="17"/>
              </w:rPr>
              <w:t>Telegram administration</w:t>
            </w:r>
          </w:p>
        </w:tc>
        <w:tc>
          <w:tcPr>
            <w:tcW w:type="dxa" w:w="5910"/>
            <w:shd w:fill="FAFBFC"/>
            <w:tcMar>
              <w:top w:w="80" w:type="dxa"/>
              <w:start w:w="120" w:type="dxa"/>
              <w:bottom w:w="80" w:type="dxa"/>
              <w:end w:w="120" w:type="dxa"/>
            </w:tcMar>
            <w:vAlign w:val="center"/>
          </w:tcPr>
          <w:p>
            <w:pPr>
              <w:spacing w:after="0" w:line="259" w:lineRule="auto"/>
            </w:pPr>
            <w:r>
              <w:rPr>
                <w:rFonts w:ascii="Calibri" w:hAnsi="Calibri"/>
                <w:color w:val="101828"/>
                <w:sz w:val="17"/>
              </w:rPr>
              <w:t>Expose commands, confirmations, audit events and emergency controls to authorized IDs.</w:t>
            </w:r>
          </w:p>
        </w:tc>
      </w:tr>
    </w:tbl>
    <w:p>
      <w:pPr>
        <w:spacing w:after="20"/>
      </w:pPr>
    </w:p>
    <w:p>
      <w:pPr>
        <w:pStyle w:val="Heading2"/>
      </w:pPr>
      <w:r>
        <w:t>3.2 Non-functional requirements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E8EEF5"/>
            <w:tcMar>
              <w:top w:w="80" w:type="dxa"/>
              <w:start w:w="120" w:type="dxa"/>
              <w:bottom w:w="80" w:type="dxa"/>
              <w:end w:w="120" w:type="dxa"/>
            </w:tcMar>
            <w:vAlign w:val="center"/>
          </w:tcPr>
          <w:p>
            <w:pPr>
              <w:spacing w:after="0"/>
              <w:jc w:val="left"/>
            </w:pPr>
            <w:r>
              <w:rPr>
                <w:rFonts w:ascii="Calibri" w:hAnsi="Calibri"/>
                <w:b/>
                <w:color w:val="0B2545"/>
                <w:sz w:val="18"/>
              </w:rPr>
              <w:t>ID</w:t>
            </w:r>
          </w:p>
        </w:tc>
        <w:tc>
          <w:tcPr>
            <w:tcW w:type="dxa" w:w="7510"/>
            <w:shd w:fill="E8EEF5"/>
            <w:tcMar>
              <w:top w:w="80" w:type="dxa"/>
              <w:start w:w="120" w:type="dxa"/>
              <w:bottom w:w="80" w:type="dxa"/>
              <w:end w:w="120" w:type="dxa"/>
            </w:tcMar>
            <w:vAlign w:val="center"/>
          </w:tcPr>
          <w:p>
            <w:pPr>
              <w:spacing w:after="0"/>
              <w:jc w:val="left"/>
            </w:pPr>
            <w:r>
              <w:rPr>
                <w:rFonts w:ascii="Calibri" w:hAnsi="Calibri"/>
                <w:b/>
                <w:color w:val="0B2545"/>
                <w:sz w:val="18"/>
              </w:rPr>
              <w:t>Requirement</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8"/>
              </w:rPr>
              <w:t>NFR-01 Security</w:t>
            </w:r>
          </w:p>
        </w:tc>
        <w:tc>
          <w:tcPr>
            <w:tcW w:type="dxa" w:w="7510"/>
            <w:tcMar>
              <w:top w:w="80" w:type="dxa"/>
              <w:start w:w="120" w:type="dxa"/>
              <w:bottom w:w="80" w:type="dxa"/>
              <w:end w:w="120" w:type="dxa"/>
            </w:tcMar>
            <w:vAlign w:val="center"/>
          </w:tcPr>
          <w:p>
            <w:pPr>
              <w:spacing w:after="0" w:line="259" w:lineRule="auto"/>
            </w:pPr>
            <w:r>
              <w:rPr>
                <w:rFonts w:ascii="Calibri" w:hAnsi="Calibri"/>
                <w:color w:val="101828"/>
                <w:sz w:val="18"/>
              </w:rPr>
              <w:t>No plaintext keys; signer isolation; least privilege; complete spend audit trail.</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8"/>
              </w:rPr>
              <w:t>NFR-02 Correctness</w:t>
            </w:r>
          </w:p>
        </w:tc>
        <w:tc>
          <w:tcPr>
            <w:tcW w:type="dxa" w:w="7510"/>
            <w:shd w:fill="FAFBFC"/>
            <w:tcMar>
              <w:top w:w="80" w:type="dxa"/>
              <w:start w:w="120" w:type="dxa"/>
              <w:bottom w:w="80" w:type="dxa"/>
              <w:end w:w="120" w:type="dxa"/>
            </w:tcMar>
            <w:vAlign w:val="center"/>
          </w:tcPr>
          <w:p>
            <w:pPr>
              <w:spacing w:after="0" w:line="259" w:lineRule="auto"/>
            </w:pPr>
            <w:r>
              <w:rPr>
                <w:rFonts w:ascii="Calibri" w:hAnsi="Calibri"/>
                <w:color w:val="101828"/>
                <w:sz w:val="18"/>
              </w:rPr>
              <w:t>Every stored event has chain, block, transaction and log provenance.</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8"/>
              </w:rPr>
              <w:t>NFR-03 Idempotency</w:t>
            </w:r>
          </w:p>
        </w:tc>
        <w:tc>
          <w:tcPr>
            <w:tcW w:type="dxa" w:w="7510"/>
            <w:tcMar>
              <w:top w:w="80" w:type="dxa"/>
              <w:start w:w="120" w:type="dxa"/>
              <w:bottom w:w="80" w:type="dxa"/>
              <w:end w:w="120" w:type="dxa"/>
            </w:tcMar>
            <w:vAlign w:val="center"/>
          </w:tcPr>
          <w:p>
            <w:pPr>
              <w:spacing w:after="0" w:line="259" w:lineRule="auto"/>
            </w:pPr>
            <w:r>
              <w:rPr>
                <w:rFonts w:ascii="Calibri" w:hAnsi="Calibri"/>
                <w:color w:val="101828"/>
                <w:sz w:val="18"/>
              </w:rPr>
              <w:t>Repeated Telegram updates, jobs and provider webhooks produce no duplicate side effects.</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8"/>
              </w:rPr>
              <w:t>NFR-04 Availability</w:t>
            </w:r>
          </w:p>
        </w:tc>
        <w:tc>
          <w:tcPr>
            <w:tcW w:type="dxa" w:w="7510"/>
            <w:shd w:fill="FAFBFC"/>
            <w:tcMar>
              <w:top w:w="80" w:type="dxa"/>
              <w:start w:w="120" w:type="dxa"/>
              <w:bottom w:w="80" w:type="dxa"/>
              <w:end w:w="120" w:type="dxa"/>
            </w:tcMar>
            <w:vAlign w:val="center"/>
          </w:tcPr>
          <w:p>
            <w:pPr>
              <w:spacing w:after="0" w:line="259" w:lineRule="auto"/>
            </w:pPr>
            <w:r>
              <w:rPr>
                <w:rFonts w:ascii="Calibri" w:hAnsi="Calibri"/>
                <w:color w:val="101828"/>
                <w:sz w:val="18"/>
              </w:rPr>
              <w:t>Worker restart resumes from durable checkpoints without losing confirmed observations.</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8"/>
              </w:rPr>
              <w:t>NFR-05 Observability</w:t>
            </w:r>
          </w:p>
        </w:tc>
        <w:tc>
          <w:tcPr>
            <w:tcW w:type="dxa" w:w="7510"/>
            <w:tcMar>
              <w:top w:w="80" w:type="dxa"/>
              <w:start w:w="120" w:type="dxa"/>
              <w:bottom w:w="80" w:type="dxa"/>
              <w:end w:w="120" w:type="dxa"/>
            </w:tcMar>
            <w:vAlign w:val="center"/>
          </w:tcPr>
          <w:p>
            <w:pPr>
              <w:spacing w:after="0" w:line="259" w:lineRule="auto"/>
            </w:pPr>
            <w:r>
              <w:rPr>
                <w:rFonts w:ascii="Calibri" w:hAnsi="Calibri"/>
                <w:color w:val="101828"/>
                <w:sz w:val="18"/>
              </w:rPr>
              <w:t>Structured logs, metrics, traces and actionable alerts cover scans and execution.</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8"/>
              </w:rPr>
              <w:t>NFR-06 Performance</w:t>
            </w:r>
          </w:p>
        </w:tc>
        <w:tc>
          <w:tcPr>
            <w:tcW w:type="dxa" w:w="7510"/>
            <w:shd w:fill="FAFBFC"/>
            <w:tcMar>
              <w:top w:w="80" w:type="dxa"/>
              <w:start w:w="120" w:type="dxa"/>
              <w:bottom w:w="80" w:type="dxa"/>
              <w:end w:w="120" w:type="dxa"/>
            </w:tcMar>
            <w:vAlign w:val="center"/>
          </w:tcPr>
          <w:p>
            <w:pPr>
              <w:spacing w:after="0" w:line="259" w:lineRule="auto"/>
            </w:pPr>
            <w:r>
              <w:rPr>
                <w:rFonts w:ascii="Calibri" w:hAnsi="Calibri"/>
                <w:color w:val="101828"/>
                <w:sz w:val="18"/>
              </w:rPr>
              <w:t>Historical scans use adaptive block chunks; live opportunities are created within the configured target latency.</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8"/>
              </w:rPr>
              <w:t>NFR-07 Testability</w:t>
            </w:r>
          </w:p>
        </w:tc>
        <w:tc>
          <w:tcPr>
            <w:tcW w:type="dxa" w:w="7510"/>
            <w:tcMar>
              <w:top w:w="80" w:type="dxa"/>
              <w:start w:w="120" w:type="dxa"/>
              <w:bottom w:w="80" w:type="dxa"/>
              <w:end w:w="120" w:type="dxa"/>
            </w:tcMar>
            <w:vAlign w:val="center"/>
          </w:tcPr>
          <w:p>
            <w:pPr>
              <w:spacing w:after="0" w:line="259" w:lineRule="auto"/>
            </w:pPr>
            <w:r>
              <w:rPr>
                <w:rFonts w:ascii="Calibri" w:hAnsi="Calibri"/>
                <w:color w:val="101828"/>
                <w:sz w:val="18"/>
              </w:rPr>
              <w:t>Every adapter has historical fixtures and fork-based quote/build/simulate tests.</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8"/>
              </w:rPr>
              <w:t>NFR-08 Maintainability</w:t>
            </w:r>
          </w:p>
        </w:tc>
        <w:tc>
          <w:tcPr>
            <w:tcW w:type="dxa" w:w="7510"/>
            <w:shd w:fill="FAFBFC"/>
            <w:tcMar>
              <w:top w:w="80" w:type="dxa"/>
              <w:start w:w="120" w:type="dxa"/>
              <w:bottom w:w="80" w:type="dxa"/>
              <w:end w:w="120" w:type="dxa"/>
            </w:tcMar>
            <w:vAlign w:val="center"/>
          </w:tcPr>
          <w:p>
            <w:pPr>
              <w:spacing w:after="0" w:line="259" w:lineRule="auto"/>
            </w:pPr>
            <w:r>
              <w:rPr>
                <w:rFonts w:ascii="Calibri" w:hAnsi="Calibri"/>
                <w:color w:val="101828"/>
                <w:sz w:val="18"/>
              </w:rPr>
              <w:t>Chain, route, signer and notification modules depend on explicit interfaces.</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8"/>
              </w:rPr>
              <w:t>NFR-09 Data retention</w:t>
            </w:r>
          </w:p>
        </w:tc>
        <w:tc>
          <w:tcPr>
            <w:tcW w:type="dxa" w:w="7510"/>
            <w:tcMar>
              <w:top w:w="80" w:type="dxa"/>
              <w:start w:w="120" w:type="dxa"/>
              <w:bottom w:w="80" w:type="dxa"/>
              <w:end w:w="120" w:type="dxa"/>
            </w:tcMar>
            <w:vAlign w:val="center"/>
          </w:tcPr>
          <w:p>
            <w:pPr>
              <w:spacing w:after="0" w:line="259" w:lineRule="auto"/>
            </w:pPr>
            <w:r>
              <w:rPr>
                <w:rFonts w:ascii="Calibri" w:hAnsi="Calibri"/>
                <w:color w:val="101828"/>
                <w:sz w:val="18"/>
              </w:rPr>
              <w:t>Raw mint evidence and execution audit history are never discarded by overlap recalculation.</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8"/>
              </w:rPr>
              <w:t>NFR-10 Recovery</w:t>
            </w:r>
          </w:p>
        </w:tc>
        <w:tc>
          <w:tcPr>
            <w:tcW w:type="dxa" w:w="7510"/>
            <w:shd w:fill="FAFBFC"/>
            <w:tcMar>
              <w:top w:w="80" w:type="dxa"/>
              <w:start w:w="120" w:type="dxa"/>
              <w:bottom w:w="80" w:type="dxa"/>
              <w:end w:w="120" w:type="dxa"/>
            </w:tcMar>
            <w:vAlign w:val="center"/>
          </w:tcPr>
          <w:p>
            <w:pPr>
              <w:spacing w:after="0" w:line="259" w:lineRule="auto"/>
            </w:pPr>
            <w:r>
              <w:rPr>
                <w:rFonts w:ascii="Calibri" w:hAnsi="Calibri"/>
                <w:color w:val="101828"/>
                <w:sz w:val="18"/>
              </w:rPr>
              <w:t>Database backup and encrypted signer recovery procedures are documented and tested.</w:t>
            </w:r>
          </w:p>
        </w:tc>
      </w:tr>
    </w:tbl>
    <w:p>
      <w:pPr>
        <w:spacing w:after="20"/>
      </w:pPr>
    </w:p>
    <w:p>
      <w:pPr>
        <w:pStyle w:val="Heading1"/>
      </w:pPr>
      <w:r>
        <w:t>4  System architecture</w:t>
      </w:r>
    </w:p>
    <w:p>
      <w:pPr>
        <w:keepNext/>
        <w:spacing w:before="100" w:after="0"/>
        <w:jc w:val="center"/>
      </w:pPr>
      <w:r>
        <w:drawing>
          <wp:inline xmlns:a="http://schemas.openxmlformats.org/drawingml/2006/main" xmlns:pic="http://schemas.openxmlformats.org/drawingml/2006/picture">
            <wp:extent cx="5897880" cy="3211068"/>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2"/>
                    <a:stretch>
                      <a:fillRect/>
                    </a:stretch>
                  </pic:blipFill>
                  <pic:spPr>
                    <a:xfrm>
                      <a:off x="0" y="0"/>
                      <a:ext cx="5897880" cy="3211068"/>
                    </a:xfrm>
                    <a:prstGeom prst="rect"/>
                  </pic:spPr>
                </pic:pic>
              </a:graphicData>
            </a:graphic>
          </wp:inline>
        </w:drawing>
      </w:r>
    </w:p>
    <w:p>
      <w:pPr>
        <w:pStyle w:val="FigureCaption"/>
      </w:pPr>
      <w:r>
        <w:t>Figure 2. Logical architecture with Telegram separated from the signing boundary.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jc w:val="left"/>
            </w:pPr>
            <w:r>
              <w:rPr>
                <w:rFonts w:ascii="Calibri" w:hAnsi="Calibri"/>
                <w:b/>
                <w:color w:val="0B2545"/>
                <w:sz w:val="18"/>
              </w:rPr>
              <w:t>Component</w:t>
            </w:r>
          </w:p>
        </w:tc>
        <w:tc>
          <w:tcPr>
            <w:tcW w:type="dxa" w:w="7060"/>
            <w:shd w:fill="E8EEF5"/>
            <w:tcMar>
              <w:top w:w="80" w:type="dxa"/>
              <w:start w:w="120" w:type="dxa"/>
              <w:bottom w:w="80" w:type="dxa"/>
              <w:end w:w="120" w:type="dxa"/>
            </w:tcMar>
            <w:vAlign w:val="center"/>
          </w:tcPr>
          <w:p>
            <w:pPr>
              <w:spacing w:after="0"/>
              <w:jc w:val="left"/>
            </w:pPr>
            <w:r>
              <w:rPr>
                <w:rFonts w:ascii="Calibri" w:hAnsi="Calibri"/>
                <w:b/>
                <w:color w:val="0B2545"/>
                <w:sz w:val="18"/>
              </w:rPr>
              <w:t>Responsibility</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Telegram bot</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Commands, buttons, alerts and authorization. Contains no business truth or key material.</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color w:val="101828"/>
                <w:sz w:val="18"/>
              </w:rPr>
              <w:t>Application service</w:t>
            </w:r>
          </w:p>
        </w:tc>
        <w:tc>
          <w:tcPr>
            <w:tcW w:type="dxa" w:w="7060"/>
            <w:shd w:fill="FAFBFC"/>
            <w:tcMar>
              <w:top w:w="80" w:type="dxa"/>
              <w:start w:w="120" w:type="dxa"/>
              <w:bottom w:w="80" w:type="dxa"/>
              <w:end w:w="120" w:type="dxa"/>
            </w:tcMar>
            <w:vAlign w:val="center"/>
          </w:tcPr>
          <w:p>
            <w:pPr>
              <w:spacing w:after="0" w:line="259" w:lineRule="auto"/>
            </w:pPr>
            <w:r>
              <w:rPr>
                <w:rFonts w:ascii="Calibri" w:hAnsi="Calibri"/>
                <w:color w:val="101828"/>
                <w:sz w:val="18"/>
              </w:rPr>
              <w:t>Validates requests, applies RBAC and coordinates repositories and workers.</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PostgreSQL</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Authoritative collections, events, identities, strategies, opportunities and audit history.</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color w:val="101828"/>
                <w:sz w:val="18"/>
              </w:rPr>
              <w:t>Redis</w:t>
            </w:r>
          </w:p>
        </w:tc>
        <w:tc>
          <w:tcPr>
            <w:tcW w:type="dxa" w:w="7060"/>
            <w:shd w:fill="FAFBFC"/>
            <w:tcMar>
              <w:top w:w="80" w:type="dxa"/>
              <w:start w:w="120" w:type="dxa"/>
              <w:bottom w:w="80" w:type="dxa"/>
              <w:end w:w="120" w:type="dxa"/>
            </w:tcMar>
            <w:vAlign w:val="center"/>
          </w:tcPr>
          <w:p>
            <w:pPr>
              <w:spacing w:after="0" w:line="259" w:lineRule="auto"/>
            </w:pPr>
            <w:r>
              <w:rPr>
                <w:rFonts w:ascii="Calibri" w:hAnsi="Calibri"/>
                <w:color w:val="101828"/>
                <w:sz w:val="18"/>
              </w:rPr>
              <w:t>Job queue, distributed locks, nonce locks, short-lived confirmations and rate limits.</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Indexer</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Historical log retrieval, receipts, transactions, traces, checkpoints and reorg repair.</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color w:val="101828"/>
                <w:sz w:val="18"/>
              </w:rPr>
              <w:t>Analytics</w:t>
            </w:r>
          </w:p>
        </w:tc>
        <w:tc>
          <w:tcPr>
            <w:tcW w:type="dxa" w:w="7060"/>
            <w:shd w:fill="FAFBFC"/>
            <w:tcMar>
              <w:top w:w="80" w:type="dxa"/>
              <w:start w:w="120" w:type="dxa"/>
              <w:bottom w:w="80" w:type="dxa"/>
              <w:end w:w="120" w:type="dxa"/>
            </w:tcMar>
            <w:vAlign w:val="center"/>
          </w:tcPr>
          <w:p>
            <w:pPr>
              <w:spacing w:after="0" w:line="259" w:lineRule="auto"/>
            </w:pPr>
            <w:r>
              <w:rPr>
                <w:rFonts w:ascii="Calibri" w:hAnsi="Calibri"/>
                <w:color w:val="101828"/>
                <w:sz w:val="18"/>
              </w:rPr>
              <w:t>Wallet stats, overlap queries, classification filters and watchlist promotions.</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Opportunity worker</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Correlates live mints with tracked wallets and invokes route recognition.</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color w:val="101828"/>
                <w:sz w:val="18"/>
              </w:rPr>
              <w:t>Execution planner</w:t>
            </w:r>
          </w:p>
        </w:tc>
        <w:tc>
          <w:tcPr>
            <w:tcW w:type="dxa" w:w="7060"/>
            <w:shd w:fill="FAFBFC"/>
            <w:tcMar>
              <w:top w:w="80" w:type="dxa"/>
              <w:start w:w="120" w:type="dxa"/>
              <w:bottom w:w="80" w:type="dxa"/>
              <w:end w:w="120" w:type="dxa"/>
            </w:tcMar>
            <w:vAlign w:val="center"/>
          </w:tcPr>
          <w:p>
            <w:pPr>
              <w:spacing w:after="0" w:line="259" w:lineRule="auto"/>
            </w:pPr>
            <w:r>
              <w:rPr>
                <w:rFonts w:ascii="Calibri" w:hAnsi="Calibri"/>
                <w:color w:val="101828"/>
                <w:sz w:val="18"/>
              </w:rPr>
              <w:t>Builds deterministic plans, quotes, simulates and enforces strategy policy.</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Signer</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Holds encrypted key references and signs only approved chain-specific payloads.</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color w:val="101828"/>
                <w:sz w:val="18"/>
              </w:rPr>
              <w:t>Transaction manager</w:t>
            </w:r>
          </w:p>
        </w:tc>
        <w:tc>
          <w:tcPr>
            <w:tcW w:type="dxa" w:w="7060"/>
            <w:shd w:fill="FAFBFC"/>
            <w:tcMar>
              <w:top w:w="80" w:type="dxa"/>
              <w:start w:w="120" w:type="dxa"/>
              <w:bottom w:w="80" w:type="dxa"/>
              <w:end w:w="120" w:type="dxa"/>
            </w:tcMar>
            <w:vAlign w:val="center"/>
          </w:tcPr>
          <w:p>
            <w:pPr>
              <w:spacing w:after="0" w:line="259" w:lineRule="auto"/>
            </w:pPr>
            <w:r>
              <w:rPr>
                <w:rFonts w:ascii="Calibri" w:hAnsi="Calibri"/>
                <w:color w:val="101828"/>
                <w:sz w:val="18"/>
              </w:rPr>
              <w:t>Broadcasts and monitors nonce, fee replacement, receipts and finality.</w:t>
            </w:r>
          </w:p>
        </w:tc>
      </w:tr>
      <w:tr>
        <w:tc>
          <w:tcPr>
            <w:tcW w:type="dxa" w:w="2300"/>
            <w:tcMar>
              <w:top w:w="80" w:type="dxa"/>
              <w:start w:w="120" w:type="dxa"/>
              <w:bottom w:w="80" w:type="dxa"/>
              <w:end w:w="120" w:type="dxa"/>
            </w:tcMar>
            <w:vAlign w:val="center"/>
          </w:tcPr>
          <w:p>
            <w:pPr>
              <w:spacing w:after="0" w:line="259" w:lineRule="auto"/>
            </w:pPr>
            <w:r>
              <w:rPr>
                <w:rFonts w:ascii="Calibri" w:hAnsi="Calibri"/>
                <w:color w:val="101828"/>
                <w:sz w:val="18"/>
              </w:rPr>
              <w:t>Observability</w:t>
            </w:r>
          </w:p>
        </w:tc>
        <w:tc>
          <w:tcPr>
            <w:tcW w:type="dxa" w:w="7060"/>
            <w:tcMar>
              <w:top w:w="80" w:type="dxa"/>
              <w:start w:w="120" w:type="dxa"/>
              <w:bottom w:w="80" w:type="dxa"/>
              <w:end w:w="120" w:type="dxa"/>
            </w:tcMar>
            <w:vAlign w:val="center"/>
          </w:tcPr>
          <w:p>
            <w:pPr>
              <w:spacing w:after="0" w:line="259" w:lineRule="auto"/>
            </w:pPr>
            <w:r>
              <w:rPr>
                <w:rFonts w:ascii="Calibri" w:hAnsi="Calibri"/>
                <w:color w:val="101828"/>
                <w:sz w:val="18"/>
              </w:rPr>
              <w:t>Structured logs, metrics, audit events and notifications.</w:t>
            </w:r>
          </w:p>
        </w:tc>
      </w:tr>
    </w:tbl>
    <w:p>
      <w:pPr>
        <w:spacing w:after="20"/>
      </w:pPr>
    </w:p>
    <w:p>
      <w:pPr>
        <w:pStyle w:val="Heading2"/>
      </w:pPr>
      <w:r>
        <w:t>4.1 Recommended deployment shape</w:t>
      </w:r>
    </w:p>
    <w:p>
      <w:pPr>
        <w:pStyle w:val="ListBullet"/>
      </w:pPr>
      <w:r>
        <w:rPr>
          <w:rFonts w:ascii="Calibri" w:hAnsi="Calibri"/>
          <w:color w:val="101828"/>
          <w:sz w:val="22"/>
        </w:rPr>
        <w:t>One Python repository, one shared domain model and separate runtime processes.</w:t>
      </w:r>
    </w:p>
    <w:p>
      <w:pPr>
        <w:pStyle w:val="ListBullet"/>
      </w:pPr>
      <w:r>
        <w:rPr>
          <w:rFonts w:ascii="Calibri" w:hAnsi="Calibri"/>
          <w:color w:val="101828"/>
          <w:sz w:val="22"/>
        </w:rPr>
        <w:t>Bot/API process is public-facing; workers and signer remain private-network services.</w:t>
      </w:r>
    </w:p>
    <w:p>
      <w:pPr>
        <w:pStyle w:val="ListBullet"/>
      </w:pPr>
      <w:r>
        <w:rPr>
          <w:rFonts w:ascii="Calibri" w:hAnsi="Calibri"/>
          <w:color w:val="101828"/>
          <w:sz w:val="22"/>
        </w:rPr>
        <w:t>PostgreSQL and Redis are not exposed to the internet.</w:t>
      </w:r>
    </w:p>
    <w:p>
      <w:pPr>
        <w:pStyle w:val="ListBullet"/>
      </w:pPr>
      <w:r>
        <w:rPr>
          <w:rFonts w:ascii="Calibri" w:hAnsi="Calibri"/>
          <w:color w:val="101828"/>
          <w:sz w:val="22"/>
        </w:rPr>
        <w:t>RPC credentials, bot token and signer secrets come from a secret manager or protected runtime environment.</w:t>
      </w:r>
    </w:p>
    <w:p>
      <w:pPr>
        <w:pStyle w:val="ListBullet"/>
      </w:pPr>
      <w:r>
        <w:rPr>
          <w:rFonts w:ascii="Calibri" w:hAnsi="Calibri"/>
          <w:color w:val="101828"/>
          <w:sz w:val="22"/>
        </w:rPr>
        <w:t>All outbound chain transactions pass through one transaction manager per chain and execution wallet.</w:t>
      </w:r>
    </w:p>
    <w:p>
      <w:pPr>
        <w:pStyle w:val="Heading2"/>
      </w:pPr>
      <w:r>
        <w:t>4.2 Suggested Python modules</w:t>
      </w:r>
    </w:p>
    <w:p>
      <w:pPr>
        <w:pStyle w:val="CodeBlock"/>
        <w:keepLines/>
        <w:shd w:fill="F4F6F9"/>
      </w:pPr>
      <w:r>
        <w:rPr>
          <w:rFonts w:ascii="DejaVu Sans Mono" w:hAnsi="DejaVu Sans Mono"/>
          <w:color w:val="0B2545"/>
          <w:sz w:val="17"/>
        </w:rPr>
        <w:t>app/</w:t>
        <w:br/>
        <w:t xml:space="preserve">  bot/                 # commands, callbacks, middleware, authorization</w:t>
        <w:br/>
        <w:t xml:space="preserve">  api/                 # FastAPI endpoints and request models</w:t>
        <w:br/>
        <w:t xml:space="preserve">  chains/evm/          # RPC, logs, receipts, traces, finality</w:t>
        <w:br/>
        <w:t xml:space="preserve">  indexer/             # scan jobs, chunking, checkpoints, reorg repair</w:t>
        <w:br/>
        <w:t xml:space="preserve">  analytics/           # overlaps, scoring, classifications</w:t>
        <w:br/>
        <w:t xml:space="preserve">  opportunities/       # tracked-wallet correlation and route recognition</w:t>
        <w:br/>
        <w:t xml:space="preserve">  execution/           # adapters, planner, simulation, nonce manager</w:t>
        <w:br/>
        <w:t xml:space="preserve">  signer/              # encrypted key references and signing boundary</w:t>
        <w:br/>
        <w:t xml:space="preserve">  models/ repositories/# SQLAlchemy models and data access</w:t>
        <w:br/>
        <w:t xml:space="preserve">  workers/             # queues and scheduled jobs</w:t>
        <w:br/>
        <w:t xml:space="preserve">  security/            # RBAC, audit, secret handling</w:t>
        <w:br/>
        <w:t xml:space="preserve">  tests/fixtures/      # historical transactions and receipts</w:t>
      </w:r>
    </w:p>
    <w:p>
      <w:pPr>
        <w:pStyle w:val="Heading1"/>
      </w:pPr>
      <w:r>
        <w:t>5  Core data model</w:t>
      </w:r>
    </w:p>
    <w:p>
      <w:pPr>
        <w:keepNext/>
        <w:spacing w:before="100" w:after="0"/>
        <w:jc w:val="center"/>
      </w:pPr>
      <w:r>
        <w:drawing>
          <wp:inline xmlns:a="http://schemas.openxmlformats.org/drawingml/2006/main" xmlns:pic="http://schemas.openxmlformats.org/drawingml/2006/picture">
            <wp:extent cx="5897880" cy="3211068"/>
            <wp:docPr id="3" name="Picture 3"/>
            <wp:cNvGraphicFramePr>
              <a:graphicFrameLocks noChangeAspect="1"/>
            </wp:cNvGraphicFramePr>
            <a:graphic>
              <a:graphicData uri="http://schemas.openxmlformats.org/drawingml/2006/picture">
                <pic:pic>
                  <pic:nvPicPr>
                    <pic:cNvPr id="0" name="02_relationship_graph.png"/>
                    <pic:cNvPicPr/>
                  </pic:nvPicPr>
                  <pic:blipFill>
                    <a:blip r:embed="rId13"/>
                    <a:stretch>
                      <a:fillRect/>
                    </a:stretch>
                  </pic:blipFill>
                  <pic:spPr>
                    <a:xfrm>
                      <a:off x="0" y="0"/>
                      <a:ext cx="5897880" cy="3211068"/>
                    </a:xfrm>
                    <a:prstGeom prst="rect"/>
                  </pic:spPr>
                </pic:pic>
              </a:graphicData>
            </a:graphic>
          </wp:inline>
        </w:drawing>
      </w:r>
    </w:p>
    <w:p>
      <w:pPr>
        <w:pStyle w:val="FigureCaption"/>
      </w:pPr>
      <w:r>
        <w:t>Figure 3. Wallet support remains discoverable even when earlier collection pairs have no overlap.</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1"/>
              </w:rPr>
              <w:t xml:space="preserve">IDENTITY KEY: </w:t>
            </w:r>
            <w:r>
              <w:rPr>
                <w:rFonts w:ascii="Calibri" w:hAnsi="Calibri"/>
                <w:color w:val="101828"/>
                <w:sz w:val="21"/>
              </w:rPr>
              <w:t>Every on-chain address is stored as (chain namespace, chain ID, normalized address). Same-format addresses across EVM chains may be grouped for analysis, but the underlying observations remain chain-specific.</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350"/>
        <w:gridCol w:w="4300"/>
        <w:gridCol w:w="2710"/>
      </w:tblGrid>
      <w:tr>
        <w:trPr>
          <w:tblHeader w:val="true"/>
        </w:trPr>
        <w:tc>
          <w:tcPr>
            <w:tcW w:type="dxa" w:w="2350"/>
            <w:shd w:fill="E8EEF5"/>
            <w:tcMar>
              <w:top w:w="80" w:type="dxa"/>
              <w:start w:w="120" w:type="dxa"/>
              <w:bottom w:w="80" w:type="dxa"/>
              <w:end w:w="120" w:type="dxa"/>
            </w:tcMar>
            <w:vAlign w:val="center"/>
          </w:tcPr>
          <w:p>
            <w:pPr>
              <w:spacing w:after="0"/>
              <w:jc w:val="left"/>
            </w:pPr>
            <w:r>
              <w:rPr>
                <w:rFonts w:ascii="Calibri" w:hAnsi="Calibri"/>
                <w:b/>
                <w:color w:val="0B2545"/>
                <w:sz w:val="17"/>
              </w:rPr>
              <w:t>Entity</w:t>
            </w:r>
          </w:p>
        </w:tc>
        <w:tc>
          <w:tcPr>
            <w:tcW w:type="dxa" w:w="4300"/>
            <w:shd w:fill="E8EEF5"/>
            <w:tcMar>
              <w:top w:w="80" w:type="dxa"/>
              <w:start w:w="120" w:type="dxa"/>
              <w:bottom w:w="80" w:type="dxa"/>
              <w:end w:w="120" w:type="dxa"/>
            </w:tcMar>
            <w:vAlign w:val="center"/>
          </w:tcPr>
          <w:p>
            <w:pPr>
              <w:spacing w:after="0"/>
              <w:jc w:val="left"/>
            </w:pPr>
            <w:r>
              <w:rPr>
                <w:rFonts w:ascii="Calibri" w:hAnsi="Calibri"/>
                <w:b/>
                <w:color w:val="0B2545"/>
                <w:sz w:val="17"/>
              </w:rPr>
              <w:t>Purpose</w:t>
            </w:r>
          </w:p>
        </w:tc>
        <w:tc>
          <w:tcPr>
            <w:tcW w:type="dxa" w:w="2710"/>
            <w:shd w:fill="E8EEF5"/>
            <w:tcMar>
              <w:top w:w="80" w:type="dxa"/>
              <w:start w:w="120" w:type="dxa"/>
              <w:bottom w:w="80" w:type="dxa"/>
              <w:end w:w="120" w:type="dxa"/>
            </w:tcMar>
            <w:vAlign w:val="center"/>
          </w:tcPr>
          <w:p>
            <w:pPr>
              <w:spacing w:after="0"/>
              <w:jc w:val="left"/>
            </w:pPr>
            <w:r>
              <w:rPr>
                <w:rFonts w:ascii="Calibri" w:hAnsi="Calibri"/>
                <w:b/>
                <w:color w:val="0B2545"/>
                <w:sz w:val="17"/>
              </w:rPr>
              <w:t>Natural/unique key</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chains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Network metadata and finality policy</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namespace + chain_id</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collections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NFT contracts and scan state</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chain_id + contract_address</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scan_jobs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Backfill/rescan execution</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job_id</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scan_checkpoints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Last safely completed block chunk</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collection_id + scan_version</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mint_events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Immutable mint observations</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chain_id + tx_hash + log_index + sub_index</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wallet_collection_stats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Derived wallet/collection aggregate</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wallet_id + collection_id + identity_mode</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tracked_wallets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Watchlist and selection reason</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wallet_id + chain_scope</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wallet_scores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Versioned analytical scores</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wallet_id + score_version</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opportunities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Potential copyable mints</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chain_id + source_tx_hash + target_wallet</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strategies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Spend and route policy</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strategy_id</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execution_wallets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Public address and signer reference</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chain_id + address</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tx_attempts</w:t>
            </w:r>
          </w:p>
        </w:tc>
        <w:tc>
          <w:tcPr>
            <w:tcW w:type="dxa" w:w="4300"/>
            <w:shd w:fill="FAFBFC"/>
            <w:tcMar>
              <w:top w:w="80" w:type="dxa"/>
              <w:start w:w="120" w:type="dxa"/>
              <w:bottom w:w="80" w:type="dxa"/>
              <w:end w:w="120" w:type="dxa"/>
            </w:tcMar>
            <w:vAlign w:val="center"/>
          </w:tcPr>
          <w:p>
            <w:pPr>
              <w:spacing w:after="0" w:line="259" w:lineRule="auto"/>
            </w:pPr>
            <w:r>
              <w:rPr>
                <w:rFonts w:ascii="Calibri" w:hAnsi="Calibri"/>
                <w:color w:val="101828"/>
                <w:sz w:val="17"/>
              </w:rPr>
              <w:t>Plan/sign/broadcast lifecycle</w:t>
            </w:r>
          </w:p>
        </w:tc>
        <w:tc>
          <w:tcPr>
            <w:tcW w:type="dxa" w:w="2710"/>
            <w:shd w:fill="FAFBFC"/>
            <w:tcMar>
              <w:top w:w="80" w:type="dxa"/>
              <w:start w:w="120" w:type="dxa"/>
              <w:bottom w:w="80" w:type="dxa"/>
              <w:end w:w="120" w:type="dxa"/>
            </w:tcMar>
            <w:vAlign w:val="center"/>
          </w:tcPr>
          <w:p>
            <w:pPr>
              <w:spacing w:after="0" w:line="259" w:lineRule="auto"/>
            </w:pPr>
            <w:r>
              <w:rPr>
                <w:rFonts w:ascii="Calibri" w:hAnsi="Calibri"/>
                <w:color w:val="101828"/>
                <w:sz w:val="17"/>
              </w:rPr>
              <w:t>attempt_id</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audit_logs</w:t>
            </w:r>
          </w:p>
        </w:tc>
        <w:tc>
          <w:tcPr>
            <w:tcW w:type="dxa" w:w="4300"/>
            <w:tcMar>
              <w:top w:w="80" w:type="dxa"/>
              <w:start w:w="120" w:type="dxa"/>
              <w:bottom w:w="80" w:type="dxa"/>
              <w:end w:w="120" w:type="dxa"/>
            </w:tcMar>
            <w:vAlign w:val="center"/>
          </w:tcPr>
          <w:p>
            <w:pPr>
              <w:spacing w:after="0" w:line="259" w:lineRule="auto"/>
            </w:pPr>
            <w:r>
              <w:rPr>
                <w:rFonts w:ascii="Calibri" w:hAnsi="Calibri"/>
                <w:color w:val="101828"/>
                <w:sz w:val="17"/>
              </w:rPr>
              <w:t>Actor, action, before/after and correlation</w:t>
            </w:r>
          </w:p>
        </w:tc>
        <w:tc>
          <w:tcPr>
            <w:tcW w:type="dxa" w:w="2710"/>
            <w:tcMar>
              <w:top w:w="80" w:type="dxa"/>
              <w:start w:w="120" w:type="dxa"/>
              <w:bottom w:w="80" w:type="dxa"/>
              <w:end w:w="120" w:type="dxa"/>
            </w:tcMar>
            <w:vAlign w:val="center"/>
          </w:tcPr>
          <w:p>
            <w:pPr>
              <w:spacing w:after="0" w:line="259" w:lineRule="auto"/>
            </w:pPr>
            <w:r>
              <w:rPr>
                <w:rFonts w:ascii="Calibri" w:hAnsi="Calibri"/>
                <w:color w:val="101828"/>
                <w:sz w:val="17"/>
              </w:rPr>
              <w:t>audit_id</w:t>
            </w:r>
          </w:p>
        </w:tc>
      </w:tr>
    </w:tbl>
    <w:p>
      <w:pPr>
        <w:spacing w:after="20"/>
      </w:pPr>
    </w:p>
    <w:p>
      <w:pPr>
        <w:pStyle w:val="Heading2"/>
      </w:pPr>
      <w:r>
        <w:t>5.1 Required mint event fields</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shd w:fill="E8EEF5"/>
            <w:tcMar>
              <w:top w:w="80" w:type="dxa"/>
              <w:start w:w="120" w:type="dxa"/>
              <w:bottom w:w="80" w:type="dxa"/>
              <w:end w:w="120" w:type="dxa"/>
            </w:tcMar>
            <w:vAlign w:val="center"/>
          </w:tcPr>
          <w:p>
            <w:pPr>
              <w:spacing w:after="0"/>
              <w:jc w:val="left"/>
            </w:pPr>
            <w:r>
              <w:rPr>
                <w:rFonts w:ascii="Calibri" w:hAnsi="Calibri"/>
                <w:b/>
                <w:color w:val="0B2545"/>
                <w:sz w:val="17"/>
              </w:rPr>
              <w:t>Field</w:t>
            </w:r>
          </w:p>
        </w:tc>
        <w:tc>
          <w:tcPr>
            <w:tcW w:type="dxa" w:w="6210"/>
            <w:shd w:fill="E8EEF5"/>
            <w:tcMar>
              <w:top w:w="80" w:type="dxa"/>
              <w:start w:w="120" w:type="dxa"/>
              <w:bottom w:w="80" w:type="dxa"/>
              <w:end w:w="120" w:type="dxa"/>
            </w:tcMar>
            <w:vAlign w:val="center"/>
          </w:tcPr>
          <w:p>
            <w:pPr>
              <w:spacing w:after="0"/>
              <w:jc w:val="left"/>
            </w:pPr>
            <w:r>
              <w:rPr>
                <w:rFonts w:ascii="Calibri" w:hAnsi="Calibri"/>
                <w:b/>
                <w:color w:val="0B2545"/>
                <w:sz w:val="17"/>
              </w:rPr>
              <w:t>Purpose</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chain_id, contract_address</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Collection identity</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block_number, block_hash</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Canonicality and reorg repair</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tx_hash, tx_index</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Transaction provenance</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log_index, sub_index</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Unique event position, including expanded batches</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token_id, quantity</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Minted token or batch amount</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recipient_wallet</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First NFT owner</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transaction_from</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Transaction-level sender</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operator_wallet</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Protocol-reported operator when present</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payer_wallet</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Best-known value source</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initiator_wallet</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Resolved decision-making wallet</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identity_confidence</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0-100 score plus reason codes</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method_selector</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First four calldata bytes</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native_value, token_payments</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Observed cost evidence</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mint_route</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direct/seadrop/launchpad/marketplace/unknown</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classification</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public, allowlist, admin, airdrop, bridge, etc.</w:t>
            </w:r>
          </w:p>
        </w:tc>
      </w:tr>
      <w:tr>
        <w:tc>
          <w:tcPr>
            <w:tcW w:type="dxa" w:w="3150"/>
            <w:shd w:fill="FAFBFC"/>
            <w:tcMar>
              <w:top w:w="80" w:type="dxa"/>
              <w:start w:w="120" w:type="dxa"/>
              <w:bottom w:w="80" w:type="dxa"/>
              <w:end w:w="120" w:type="dxa"/>
            </w:tcMar>
            <w:vAlign w:val="center"/>
          </w:tcPr>
          <w:p>
            <w:pPr>
              <w:spacing w:after="0" w:line="259" w:lineRule="auto"/>
            </w:pPr>
            <w:r>
              <w:rPr>
                <w:rFonts w:ascii="Calibri" w:hAnsi="Calibri"/>
                <w:color w:val="101828"/>
                <w:sz w:val="17"/>
              </w:rPr>
              <w:t>finality_status</w:t>
            </w:r>
          </w:p>
        </w:tc>
        <w:tc>
          <w:tcPr>
            <w:tcW w:type="dxa" w:w="6210"/>
            <w:shd w:fill="FAFBFC"/>
            <w:tcMar>
              <w:top w:w="80" w:type="dxa"/>
              <w:start w:w="120" w:type="dxa"/>
              <w:bottom w:w="80" w:type="dxa"/>
              <w:end w:w="120" w:type="dxa"/>
            </w:tcMar>
            <w:vAlign w:val="center"/>
          </w:tcPr>
          <w:p>
            <w:pPr>
              <w:spacing w:after="0" w:line="259" w:lineRule="auto"/>
            </w:pPr>
            <w:r>
              <w:rPr>
                <w:rFonts w:ascii="Calibri" w:hAnsi="Calibri"/>
                <w:color w:val="101828"/>
                <w:sz w:val="17"/>
              </w:rPr>
              <w:t>provisional/safe/finalized/reorged</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101828"/>
                <w:sz w:val="17"/>
              </w:rPr>
              <w:t>raw_evidence_ref</w:t>
            </w:r>
          </w:p>
        </w:tc>
        <w:tc>
          <w:tcPr>
            <w:tcW w:type="dxa" w:w="6210"/>
            <w:tcMar>
              <w:top w:w="80" w:type="dxa"/>
              <w:start w:w="120" w:type="dxa"/>
              <w:bottom w:w="80" w:type="dxa"/>
              <w:end w:w="120" w:type="dxa"/>
            </w:tcMar>
            <w:vAlign w:val="center"/>
          </w:tcPr>
          <w:p>
            <w:pPr>
              <w:spacing w:after="0" w:line="259" w:lineRule="auto"/>
            </w:pPr>
            <w:r>
              <w:rPr>
                <w:rFonts w:ascii="Calibri" w:hAnsi="Calibri"/>
                <w:color w:val="101828"/>
                <w:sz w:val="17"/>
              </w:rPr>
              <w:t>Optional normalized receipt/trace reference</w:t>
            </w:r>
          </w:p>
        </w:tc>
      </w:tr>
    </w:tbl>
    <w:p>
      <w:pPr>
        <w:spacing w:after="20"/>
      </w:pPr>
    </w:p>
    <w:p>
      <w:pPr>
        <w:pStyle w:val="Heading2"/>
      </w:pPr>
      <w:r>
        <w:t>5.2 Example overlap query</w:t>
      </w:r>
    </w:p>
    <w:p>
      <w:pPr>
        <w:pStyle w:val="CodeBlock"/>
        <w:keepLines/>
        <w:shd w:fill="F4F6F9"/>
      </w:pPr>
      <w:r>
        <w:rPr>
          <w:rFonts w:ascii="DejaVu Sans Mono" w:hAnsi="DejaVu Sans Mono"/>
          <w:color w:val="0B2545"/>
          <w:sz w:val="17"/>
        </w:rPr>
        <w:t>SELECT initiator_wallet,</w:t>
        <w:br/>
        <w:t xml:space="preserve">       COUNT(DISTINCT collection_id) AS support_count,</w:t>
        <w:br/>
        <w:t xml:space="preserve">       ARRAY_AGG(DISTINCT collection_id ORDER BY collection_id) AS collections</w:t>
        <w:br/>
        <w:t>FROM mint_events</w:t>
        <w:br/>
        <w:t>WHERE finality_status IN ('safe', 'finalized')</w:t>
        <w:br/>
        <w:t xml:space="preserve">  AND classification IN ('public_paid_mint', 'public_free_mint')</w:t>
        <w:br/>
        <w:t xml:space="preserve">  AND initiator_wallet IS NOT NULL</w:t>
        <w:br/>
        <w:t>GROUP BY initiator_wallet</w:t>
        <w:br/>
        <w:t>HAVING COUNT(DISTINCT collection_id) &gt;= :minimum_support</w:t>
        <w:br/>
        <w:t>ORDER BY support_count DESC;</w:t>
      </w:r>
    </w:p>
    <w:p>
      <w:pPr>
        <w:pStyle w:val="Heading1"/>
      </w:pPr>
      <w:r>
        <w:t>6  Collection ingestion and mint detection</w:t>
      </w:r>
    </w:p>
    <w:p>
      <w:pPr>
        <w:pStyle w:val="Heading2"/>
      </w:pPr>
      <w:r>
        <w:t>6.1 Registration</w:t>
      </w:r>
    </w:p>
    <w:p>
      <w:pPr>
        <w:spacing w:after="80" w:line="300" w:lineRule="auto"/>
        <w:ind w:left="540" w:hanging="271"/>
        <w:numPr>
          <w:ilvl w:val="0"/>
          <w:numId w:val="12"/>
        </w:numPr>
      </w:pPr>
      <w:r>
        <w:rPr>
          <w:rFonts w:ascii="Calibri" w:hAnsi="Calibri"/>
          <w:color w:val="101828"/>
          <w:sz w:val="22"/>
        </w:rPr>
        <w:t>Normalize the address and bind it to the supplied chain ID.</w:t>
      </w:r>
    </w:p>
    <w:p>
      <w:pPr>
        <w:spacing w:after="80" w:line="300" w:lineRule="auto"/>
        <w:ind w:left="540" w:hanging="271"/>
        <w:numPr>
          <w:ilvl w:val="0"/>
          <w:numId w:val="12"/>
        </w:numPr>
      </w:pPr>
      <w:r>
        <w:rPr>
          <w:rFonts w:ascii="Calibri" w:hAnsi="Calibri"/>
          <w:color w:val="101828"/>
          <w:sz w:val="22"/>
        </w:rPr>
        <w:t>Call eth_getCode and reject externally owned accounts or empty addresses.</w:t>
      </w:r>
    </w:p>
    <w:p>
      <w:pPr>
        <w:spacing w:after="80" w:line="300" w:lineRule="auto"/>
        <w:ind w:left="540" w:hanging="271"/>
        <w:numPr>
          <w:ilvl w:val="0"/>
          <w:numId w:val="12"/>
        </w:numPr>
      </w:pPr>
      <w:r>
        <w:rPr>
          <w:rFonts w:ascii="Calibri" w:hAnsi="Calibri"/>
          <w:color w:val="101828"/>
          <w:sz w:val="22"/>
        </w:rPr>
        <w:t>Resolve ERC-165 support when available; fall back to observed event signatures.</w:t>
      </w:r>
    </w:p>
    <w:p>
      <w:pPr>
        <w:spacing w:after="80" w:line="300" w:lineRule="auto"/>
        <w:ind w:left="540" w:hanging="271"/>
        <w:numPr>
          <w:ilvl w:val="0"/>
          <w:numId w:val="12"/>
        </w:numPr>
      </w:pPr>
      <w:r>
        <w:rPr>
          <w:rFonts w:ascii="Calibri" w:hAnsi="Calibri"/>
          <w:color w:val="101828"/>
          <w:sz w:val="22"/>
        </w:rPr>
        <w:t>Resolve proxy and current implementation metadata without treating implementation as collection identity.</w:t>
      </w:r>
    </w:p>
    <w:p>
      <w:pPr>
        <w:spacing w:after="80" w:line="300" w:lineRule="auto"/>
        <w:ind w:left="540" w:hanging="271"/>
        <w:numPr>
          <w:ilvl w:val="0"/>
          <w:numId w:val="12"/>
        </w:numPr>
      </w:pPr>
      <w:r>
        <w:rPr>
          <w:rFonts w:ascii="Calibri" w:hAnsi="Calibri"/>
          <w:color w:val="101828"/>
          <w:sz w:val="22"/>
        </w:rPr>
        <w:t>Find deployment block from trusted explorer data or RPC binary search.</w:t>
      </w:r>
    </w:p>
    <w:p>
      <w:pPr>
        <w:spacing w:after="80" w:line="300" w:lineRule="auto"/>
        <w:ind w:left="540" w:hanging="271"/>
        <w:numPr>
          <w:ilvl w:val="0"/>
          <w:numId w:val="12"/>
        </w:numPr>
      </w:pPr>
      <w:r>
        <w:rPr>
          <w:rFonts w:ascii="Calibri" w:hAnsi="Calibri"/>
          <w:color w:val="101828"/>
          <w:sz w:val="22"/>
        </w:rPr>
        <w:t>Create scan job with a fixed end block at the selected finality boundary.</w:t>
      </w:r>
    </w:p>
    <w:p>
      <w:pPr>
        <w:pStyle w:val="Heading2"/>
      </w:pPr>
      <w:r>
        <w:t>6.2 Event rules</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E8EEF5"/>
            <w:tcMar>
              <w:top w:w="80" w:type="dxa"/>
              <w:start w:w="120" w:type="dxa"/>
              <w:bottom w:w="80" w:type="dxa"/>
              <w:end w:w="120" w:type="dxa"/>
            </w:tcMar>
            <w:vAlign w:val="center"/>
          </w:tcPr>
          <w:p>
            <w:pPr>
              <w:spacing w:after="0"/>
              <w:jc w:val="left"/>
            </w:pPr>
            <w:r>
              <w:rPr>
                <w:rFonts w:ascii="Calibri" w:hAnsi="Calibri"/>
                <w:b/>
                <w:color w:val="0B2545"/>
                <w:sz w:val="17"/>
              </w:rPr>
              <w:t>Standard</w:t>
            </w:r>
          </w:p>
        </w:tc>
        <w:tc>
          <w:tcPr>
            <w:tcW w:type="dxa" w:w="3300"/>
            <w:shd w:fill="E8EEF5"/>
            <w:tcMar>
              <w:top w:w="80" w:type="dxa"/>
              <w:start w:w="120" w:type="dxa"/>
              <w:bottom w:w="80" w:type="dxa"/>
              <w:end w:w="120" w:type="dxa"/>
            </w:tcMar>
            <w:vAlign w:val="center"/>
          </w:tcPr>
          <w:p>
            <w:pPr>
              <w:spacing w:after="0"/>
              <w:jc w:val="left"/>
            </w:pPr>
            <w:r>
              <w:rPr>
                <w:rFonts w:ascii="Calibri" w:hAnsi="Calibri"/>
                <w:b/>
                <w:color w:val="0B2545"/>
                <w:sz w:val="17"/>
              </w:rPr>
              <w:t>Mint signal</w:t>
            </w:r>
          </w:p>
        </w:tc>
        <w:tc>
          <w:tcPr>
            <w:tcW w:type="dxa" w:w="4360"/>
            <w:shd w:fill="E8EEF5"/>
            <w:tcMar>
              <w:top w:w="80" w:type="dxa"/>
              <w:start w:w="120" w:type="dxa"/>
              <w:bottom w:w="80" w:type="dxa"/>
              <w:end w:w="120" w:type="dxa"/>
            </w:tcMar>
            <w:vAlign w:val="center"/>
          </w:tcPr>
          <w:p>
            <w:pPr>
              <w:spacing w:after="0"/>
              <w:jc w:val="left"/>
            </w:pPr>
            <w:r>
              <w:rPr>
                <w:rFonts w:ascii="Calibri" w:hAnsi="Calibri"/>
                <w:b/>
                <w:color w:val="0B2545"/>
                <w:sz w:val="17"/>
              </w:rPr>
              <w:t>Special handling</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7"/>
              </w:rPr>
              <w:t>ERC-721</w:t>
            </w:r>
          </w:p>
        </w:tc>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Transfer(from=0x0, to, tokenId)</w:t>
            </w:r>
          </w:p>
        </w:tc>
        <w:tc>
          <w:tcPr>
            <w:tcW w:type="dxa" w:w="4360"/>
            <w:tcMar>
              <w:top w:w="80" w:type="dxa"/>
              <w:start w:w="120" w:type="dxa"/>
              <w:bottom w:w="80" w:type="dxa"/>
              <w:end w:w="120" w:type="dxa"/>
            </w:tcMar>
            <w:vAlign w:val="center"/>
          </w:tcPr>
          <w:p>
            <w:pPr>
              <w:spacing w:after="0" w:line="259" w:lineRule="auto"/>
            </w:pPr>
            <w:r>
              <w:rPr>
                <w:rFonts w:ascii="Calibri" w:hAnsi="Calibri"/>
                <w:color w:val="101828"/>
                <w:sz w:val="17"/>
              </w:rPr>
              <w:t>Constructor-time mint exception exists in the original standard.</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7"/>
              </w:rPr>
              <w:t>ERC-1155</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TransferSingle/TransferBatch(from=0x0)</w:t>
            </w:r>
          </w:p>
        </w:tc>
        <w:tc>
          <w:tcPr>
            <w:tcW w:type="dxa" w:w="4360"/>
            <w:shd w:fill="FAFBFC"/>
            <w:tcMar>
              <w:top w:w="80" w:type="dxa"/>
              <w:start w:w="120" w:type="dxa"/>
              <w:bottom w:w="80" w:type="dxa"/>
              <w:end w:w="120" w:type="dxa"/>
            </w:tcMar>
            <w:vAlign w:val="center"/>
          </w:tcPr>
          <w:p>
            <w:pPr>
              <w:spacing w:after="0" w:line="259" w:lineRule="auto"/>
            </w:pPr>
            <w:r>
              <w:rPr>
                <w:rFonts w:ascii="Calibri" w:hAnsi="Calibri"/>
                <w:color w:val="101828"/>
                <w:sz w:val="17"/>
              </w:rPr>
              <w:t>Expand batch arrays using sub_index; ignore zero-quantity existence signals.</w:t>
            </w:r>
          </w:p>
        </w:tc>
      </w:tr>
      <w:tr>
        <w:tc>
          <w:tcPr>
            <w:tcW w:type="dxa" w:w="1700"/>
            <w:tcMar>
              <w:top w:w="80" w:type="dxa"/>
              <w:start w:w="120" w:type="dxa"/>
              <w:bottom w:w="80" w:type="dxa"/>
              <w:end w:w="120" w:type="dxa"/>
            </w:tcMar>
            <w:vAlign w:val="center"/>
          </w:tcPr>
          <w:p>
            <w:pPr>
              <w:spacing w:after="0" w:line="259" w:lineRule="auto"/>
            </w:pPr>
            <w:r>
              <w:rPr>
                <w:rFonts w:ascii="Calibri" w:hAnsi="Calibri"/>
                <w:color w:val="101828"/>
                <w:sz w:val="17"/>
              </w:rPr>
              <w:t>ERC-2309</w:t>
            </w:r>
          </w:p>
        </w:tc>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ConsecutiveTransfer range from zero</w:t>
            </w:r>
          </w:p>
        </w:tc>
        <w:tc>
          <w:tcPr>
            <w:tcW w:type="dxa" w:w="4360"/>
            <w:tcMar>
              <w:top w:w="80" w:type="dxa"/>
              <w:start w:w="120" w:type="dxa"/>
              <w:bottom w:w="80" w:type="dxa"/>
              <w:end w:w="120" w:type="dxa"/>
            </w:tcMar>
            <w:vAlign w:val="center"/>
          </w:tcPr>
          <w:p>
            <w:pPr>
              <w:spacing w:after="0" w:line="259" w:lineRule="auto"/>
            </w:pPr>
            <w:r>
              <w:rPr>
                <w:rFonts w:ascii="Calibri" w:hAnsi="Calibri"/>
                <w:color w:val="101828"/>
                <w:sz w:val="17"/>
              </w:rPr>
              <w:t>Store range compactly or expand with a controlled maximum.</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color w:val="101828"/>
                <w:sz w:val="17"/>
              </w:rPr>
              <w:t>Custom</w:t>
            </w:r>
          </w:p>
        </w:tc>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Nonstandard event or state change</w:t>
            </w:r>
          </w:p>
        </w:tc>
        <w:tc>
          <w:tcPr>
            <w:tcW w:type="dxa" w:w="4360"/>
            <w:shd w:fill="FAFBFC"/>
            <w:tcMar>
              <w:top w:w="80" w:type="dxa"/>
              <w:start w:w="120" w:type="dxa"/>
              <w:bottom w:w="80" w:type="dxa"/>
              <w:end w:w="120" w:type="dxa"/>
            </w:tcMar>
            <w:vAlign w:val="center"/>
          </w:tcPr>
          <w:p>
            <w:pPr>
              <w:spacing w:after="0" w:line="259" w:lineRule="auto"/>
            </w:pPr>
            <w:r>
              <w:rPr>
                <w:rFonts w:ascii="Calibri" w:hAnsi="Calibri"/>
                <w:color w:val="101828"/>
                <w:sz w:val="17"/>
              </w:rPr>
              <w:t>Require explicit adapter and confidence warning.</w:t>
            </w:r>
          </w:p>
        </w:tc>
      </w:tr>
    </w:tbl>
    <w:p>
      <w:pPr>
        <w:spacing w:after="20"/>
      </w:pPr>
    </w:p>
    <w:p>
      <w:pPr>
        <w:pStyle w:val="Heading2"/>
      </w:pPr>
      <w:r>
        <w:t>6.3 Scanner algorithm</w:t>
      </w:r>
    </w:p>
    <w:p>
      <w:pPr>
        <w:pStyle w:val="CodeBlock"/>
        <w:keepLines/>
        <w:shd w:fill="F4F6F9"/>
      </w:pPr>
      <w:r>
        <w:rPr>
          <w:rFonts w:ascii="DejaVu Sans Mono" w:hAnsi="DejaVu Sans Mono"/>
          <w:color w:val="0B2545"/>
          <w:sz w:val="17"/>
        </w:rPr>
        <w:t>async def scan_collection(collection, start_block, end_block):</w:t>
        <w:br/>
        <w:t xml:space="preserve">    cursor = load_checkpoint(collection) or start_block</w:t>
        <w:br/>
        <w:t xml:space="preserve">    chunk = configured_initial_chunk</w:t>
        <w:br/>
        <w:t xml:space="preserve">    while cursor &lt;= end_block:</w:t>
        <w:br/>
        <w:t xml:space="preserve">        upper = min(cursor + chunk - 1, end_block)</w:t>
        <w:br/>
        <w:t xml:space="preserve">        try:</w:t>
        <w:br/>
        <w:t xml:space="preserve">            logs = await rpc.get_mint_logs(collection.address, cursor, upper)</w:t>
        <w:br/>
        <w:t xml:space="preserve">            await persist_decoded_events_in_one_transaction(logs)</w:t>
        <w:br/>
        <w:t xml:space="preserve">            await save_checkpoint(collection, upper)</w:t>
        <w:br/>
        <w:t xml:space="preserve">            cursor = upper + 1</w:t>
        <w:br/>
        <w:t xml:space="preserve">            chunk = adapt_upward_if_response_small(chunk)</w:t>
        <w:br/>
        <w:t xml:space="preserve">        except ProviderRangeOrSizeError:</w:t>
        <w:br/>
        <w:t xml:space="preserve">            chunk = max(minimum_chunk, chunk // 2)</w:t>
        <w:br/>
        <w:t xml:space="preserve">        except RetryableProviderError:</w:t>
        <w:br/>
        <w:t xml:space="preserve">            retry_with_jitter_and_provider_failover()</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8"/>
          </w:tcPr>
          <w:p>
            <w:pPr>
              <w:spacing w:after="0"/>
            </w:pPr>
            <w:r>
              <w:rPr>
                <w:rFonts w:ascii="Calibri" w:hAnsi="Calibri"/>
                <w:b/>
                <w:color w:val="9A6A00"/>
                <w:sz w:val="21"/>
              </w:rPr>
              <w:t xml:space="preserve">INVARIANT: </w:t>
            </w:r>
            <w:r>
              <w:rPr>
                <w:rFonts w:ascii="Calibri" w:hAnsi="Calibri"/>
                <w:color w:val="101828"/>
                <w:sz w:val="21"/>
              </w:rPr>
              <w:t>A checkpoint advances only in the same database transaction that commits all events for its block chunk.</w:t>
            </w:r>
          </w:p>
        </w:tc>
      </w:tr>
    </w:tbl>
    <w:p>
      <w:pPr>
        <w:spacing w:after="20"/>
      </w:pPr>
    </w:p>
    <w:p>
      <w:pPr>
        <w:pStyle w:val="Heading2"/>
      </w:pPr>
      <w:r>
        <w:t>6.4 Classification evidence</w:t>
      </w:r>
    </w:p>
    <w:p>
      <w:pPr>
        <w:pStyle w:val="ListBullet"/>
      </w:pPr>
      <w:r>
        <w:rPr>
          <w:rFonts w:ascii="Calibri" w:hAnsi="Calibri"/>
          <w:color w:val="101828"/>
          <w:sz w:val="22"/>
        </w:rPr>
        <w:t>Receipt logs and NFT transfer events are authoritative for successful token creation.</w:t>
      </w:r>
    </w:p>
    <w:p>
      <w:pPr>
        <w:pStyle w:val="ListBullet"/>
      </w:pPr>
      <w:r>
        <w:rPr>
          <w:rFonts w:ascii="Calibri" w:hAnsi="Calibri"/>
          <w:color w:val="101828"/>
          <w:sz w:val="22"/>
        </w:rPr>
        <w:t>Transaction calldata and ABI identify the external function when available.</w:t>
      </w:r>
    </w:p>
    <w:p>
      <w:pPr>
        <w:pStyle w:val="ListBullet"/>
      </w:pPr>
      <w:r>
        <w:rPr>
          <w:rFonts w:ascii="Calibri" w:hAnsi="Calibri"/>
          <w:color w:val="101828"/>
          <w:sz w:val="22"/>
        </w:rPr>
        <w:t>Traces reveal routers, forwarded calls, refunds and internal payment flows.</w:t>
      </w:r>
    </w:p>
    <w:p>
      <w:pPr>
        <w:pStyle w:val="ListBullet"/>
      </w:pPr>
      <w:r>
        <w:rPr>
          <w:rFonts w:ascii="Calibri" w:hAnsi="Calibri"/>
          <w:color w:val="101828"/>
          <w:sz w:val="22"/>
        </w:rPr>
        <w:t>Known protocol contract addresses and event signatures identify SeaDrop or a launchpad.</w:t>
      </w:r>
    </w:p>
    <w:p>
      <w:pPr>
        <w:pStyle w:val="ListBullet"/>
      </w:pPr>
      <w:r>
        <w:rPr>
          <w:rFonts w:ascii="Calibri" w:hAnsi="Calibri"/>
          <w:color w:val="101828"/>
          <w:sz w:val="22"/>
        </w:rPr>
        <w:t>Collection configuration and recognized sale events distinguish public, allowlist and signed phases.</w:t>
      </w:r>
    </w:p>
    <w:p>
      <w:pPr>
        <w:pStyle w:val="ListBullet"/>
      </w:pPr>
      <w:r>
        <w:rPr>
          <w:rFonts w:ascii="Calibri" w:hAnsi="Calibri"/>
          <w:color w:val="101828"/>
          <w:sz w:val="22"/>
        </w:rPr>
        <w:t>Classification must expose confidence and reason codes rather than silently guessing.</w:t>
      </w:r>
    </w:p>
    <w:p>
      <w:pPr>
        <w:pStyle w:val="Heading1"/>
      </w:pPr>
      <w:r>
        <w:t>7  Wallet identity resolution</w:t>
      </w:r>
    </w:p>
    <w:p>
      <w:pPr>
        <w:keepNext/>
        <w:spacing w:before="100" w:after="0"/>
        <w:jc w:val="center"/>
      </w:pPr>
      <w:r>
        <w:drawing>
          <wp:inline xmlns:a="http://schemas.openxmlformats.org/drawingml/2006/main" xmlns:pic="http://schemas.openxmlformats.org/drawingml/2006/picture">
            <wp:extent cx="5897880" cy="3211068"/>
            <wp:docPr id="4" name="Picture 4"/>
            <wp:cNvGraphicFramePr>
              <a:graphicFrameLocks noChangeAspect="1"/>
            </wp:cNvGraphicFramePr>
            <a:graphic>
              <a:graphicData uri="http://schemas.openxmlformats.org/drawingml/2006/picture">
                <pic:pic>
                  <pic:nvPicPr>
                    <pic:cNvPr id="0" name="04_identity_resolution.png"/>
                    <pic:cNvPicPr/>
                  </pic:nvPicPr>
                  <pic:blipFill>
                    <a:blip r:embed="rId14"/>
                    <a:stretch>
                      <a:fillRect/>
                    </a:stretch>
                  </pic:blipFill>
                  <pic:spPr>
                    <a:xfrm>
                      <a:off x="0" y="0"/>
                      <a:ext cx="5897880" cy="3211068"/>
                    </a:xfrm>
                    <a:prstGeom prst="rect"/>
                  </pic:spPr>
                </pic:pic>
              </a:graphicData>
            </a:graphic>
          </wp:inline>
        </w:drawing>
      </w:r>
    </w:p>
    <w:p>
      <w:pPr>
        <w:pStyle w:val="FigureCaption"/>
      </w:pPr>
      <w:r>
        <w:t>Figure 4. A mint may contain several distinct wallet roles; the resolver produces an initiator with evidence.</w:t>
      </w:r>
    </w:p>
    <w:p>
      <w:pPr>
        <w:pStyle w:val="Heading2"/>
      </w:pPr>
      <w:r>
        <w:t>7.1 Resolution priority</w:t>
      </w:r>
    </w:p>
    <w:p>
      <w:pPr>
        <w:spacing w:after="80" w:line="300" w:lineRule="auto"/>
        <w:ind w:left="540" w:hanging="271"/>
        <w:numPr>
          <w:ilvl w:val="0"/>
          <w:numId w:val="13"/>
        </w:numPr>
      </w:pPr>
      <w:r>
        <w:rPr>
          <w:rFonts w:ascii="Calibri" w:hAnsi="Calibri"/>
          <w:color w:val="101828"/>
          <w:sz w:val="22"/>
        </w:rPr>
        <w:t>If a recognized protocol emits an explicit minter/payer field, use it with protocol-specific confidence.</w:t>
      </w:r>
    </w:p>
    <w:p>
      <w:pPr>
        <w:spacing w:after="80" w:line="300" w:lineRule="auto"/>
        <w:ind w:left="540" w:hanging="271"/>
        <w:numPr>
          <w:ilvl w:val="0"/>
          <w:numId w:val="13"/>
        </w:numPr>
      </w:pPr>
      <w:r>
        <w:rPr>
          <w:rFonts w:ascii="Calibri" w:hAnsi="Calibri"/>
          <w:color w:val="101828"/>
          <w:sz w:val="22"/>
        </w:rPr>
        <w:t>For a direct EOA call where tx.from receives the NFT, set initiator to tx.from with high confidence.</w:t>
      </w:r>
    </w:p>
    <w:p>
      <w:pPr>
        <w:spacing w:after="80" w:line="300" w:lineRule="auto"/>
        <w:ind w:left="540" w:hanging="271"/>
        <w:numPr>
          <w:ilvl w:val="0"/>
          <w:numId w:val="13"/>
        </w:numPr>
      </w:pPr>
      <w:r>
        <w:rPr>
          <w:rFonts w:ascii="Calibri" w:hAnsi="Calibri"/>
          <w:color w:val="101828"/>
          <w:sz w:val="22"/>
        </w:rPr>
        <w:t>If tx.from mints to another EOA, keep tx.from as probable initiator and recipient separately.</w:t>
      </w:r>
    </w:p>
    <w:p>
      <w:pPr>
        <w:spacing w:after="80" w:line="300" w:lineRule="auto"/>
        <w:ind w:left="540" w:hanging="271"/>
        <w:numPr>
          <w:ilvl w:val="0"/>
          <w:numId w:val="13"/>
        </w:numPr>
      </w:pPr>
      <w:r>
        <w:rPr>
          <w:rFonts w:ascii="Calibri" w:hAnsi="Calibri"/>
          <w:color w:val="101828"/>
          <w:sz w:val="22"/>
        </w:rPr>
        <w:t>If tx.from is a known router or relayer, inspect traces and protocol data for the user wallet.</w:t>
      </w:r>
    </w:p>
    <w:p>
      <w:pPr>
        <w:spacing w:after="80" w:line="300" w:lineRule="auto"/>
        <w:ind w:left="540" w:hanging="271"/>
        <w:numPr>
          <w:ilvl w:val="0"/>
          <w:numId w:val="13"/>
        </w:numPr>
      </w:pPr>
      <w:r>
        <w:rPr>
          <w:rFonts w:ascii="Calibri" w:hAnsi="Calibri"/>
          <w:color w:val="101828"/>
          <w:sz w:val="22"/>
        </w:rPr>
        <w:t>For ERC-4337 activity, attempt to resolve the UserOperation sender instead of treating the bundler as the minter.</w:t>
      </w:r>
    </w:p>
    <w:p>
      <w:pPr>
        <w:spacing w:after="80" w:line="300" w:lineRule="auto"/>
        <w:ind w:left="540" w:hanging="271"/>
        <w:numPr>
          <w:ilvl w:val="0"/>
          <w:numId w:val="13"/>
        </w:numPr>
      </w:pPr>
      <w:r>
        <w:rPr>
          <w:rFonts w:ascii="Calibri" w:hAnsi="Calibri"/>
          <w:color w:val="101828"/>
          <w:sz w:val="22"/>
        </w:rPr>
        <w:t>If evidence conflicts or cannot identify a user wallet, store initiator as null/unknown rather than fabricate certainty.</w:t>
      </w:r>
    </w:p>
    <w:p>
      <w:pPr>
        <w:pStyle w:val="Heading2"/>
      </w:pPr>
      <w:r>
        <w:t>7.2 Identity confidence examples</w:t>
      </w:r>
    </w:p>
    <w:tbl>
      <w:tblPr>
        <w:tblStyle w:val="TableGrid"/>
        <w:tblW w:type="dxa" w:w="9360"/>
        <w:jc w:val="left"/>
        <w:tblLayout w:type="fixed"/>
        <w:tblLook w:firstColumn="1" w:firstRow="1" w:lastColumn="0" w:lastRow="0" w:noHBand="0" w:noVBand="1" w:val="04A0"/>
        <w:tblInd w:w="120" w:type="dxa"/>
      </w:tblPr>
      <w:tblGrid>
        <w:gridCol w:w="4050"/>
        <w:gridCol w:w="2800"/>
        <w:gridCol w:w="2510"/>
      </w:tblGrid>
      <w:tr>
        <w:trPr>
          <w:tblHeader w:val="true"/>
        </w:trPr>
        <w:tc>
          <w:tcPr>
            <w:tcW w:type="dxa" w:w="4050"/>
            <w:shd w:fill="E8EEF5"/>
            <w:tcMar>
              <w:top w:w="80" w:type="dxa"/>
              <w:start w:w="120" w:type="dxa"/>
              <w:bottom w:w="80" w:type="dxa"/>
              <w:end w:w="120" w:type="dxa"/>
            </w:tcMar>
            <w:vAlign w:val="center"/>
          </w:tcPr>
          <w:p>
            <w:pPr>
              <w:spacing w:after="0"/>
              <w:jc w:val="left"/>
            </w:pPr>
            <w:r>
              <w:rPr>
                <w:rFonts w:ascii="Calibri" w:hAnsi="Calibri"/>
                <w:b/>
                <w:color w:val="0B2545"/>
                <w:sz w:val="17"/>
              </w:rPr>
              <w:t>Scenario</w:t>
            </w:r>
          </w:p>
        </w:tc>
        <w:tc>
          <w:tcPr>
            <w:tcW w:type="dxa" w:w="2800"/>
            <w:shd w:fill="E8EEF5"/>
            <w:tcMar>
              <w:top w:w="80" w:type="dxa"/>
              <w:start w:w="120" w:type="dxa"/>
              <w:bottom w:w="80" w:type="dxa"/>
              <w:end w:w="120" w:type="dxa"/>
            </w:tcMar>
            <w:vAlign w:val="center"/>
          </w:tcPr>
          <w:p>
            <w:pPr>
              <w:spacing w:after="0"/>
              <w:jc w:val="left"/>
            </w:pPr>
            <w:r>
              <w:rPr>
                <w:rFonts w:ascii="Calibri" w:hAnsi="Calibri"/>
                <w:b/>
                <w:color w:val="0B2545"/>
                <w:sz w:val="17"/>
              </w:rPr>
              <w:t>Initiator</w:t>
            </w:r>
          </w:p>
        </w:tc>
        <w:tc>
          <w:tcPr>
            <w:tcW w:type="dxa" w:w="2510"/>
            <w:shd w:fill="E8EEF5"/>
            <w:tcMar>
              <w:top w:w="80" w:type="dxa"/>
              <w:start w:w="120" w:type="dxa"/>
              <w:bottom w:w="80" w:type="dxa"/>
              <w:end w:w="120" w:type="dxa"/>
            </w:tcMar>
            <w:vAlign w:val="center"/>
          </w:tcPr>
          <w:p>
            <w:pPr>
              <w:spacing w:after="0"/>
              <w:jc w:val="left"/>
            </w:pPr>
            <w:r>
              <w:rPr>
                <w:rFonts w:ascii="Calibri" w:hAnsi="Calibri"/>
                <w:b/>
                <w:color w:val="0B2545"/>
                <w:sz w:val="17"/>
              </w:rPr>
              <w:t>Suggested confidence</w:t>
            </w:r>
          </w:p>
        </w:tc>
      </w:tr>
      <w:tr>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Direct EOA call; NFT received by same address</w:t>
            </w:r>
          </w:p>
        </w:tc>
        <w:tc>
          <w:tcPr>
            <w:tcW w:type="dxa" w:w="2800"/>
            <w:tcMar>
              <w:top w:w="80" w:type="dxa"/>
              <w:start w:w="120" w:type="dxa"/>
              <w:bottom w:w="80" w:type="dxa"/>
              <w:end w:w="120" w:type="dxa"/>
            </w:tcMar>
            <w:vAlign w:val="center"/>
          </w:tcPr>
          <w:p>
            <w:pPr>
              <w:spacing w:after="0" w:line="259" w:lineRule="auto"/>
            </w:pPr>
            <w:r>
              <w:rPr>
                <w:rFonts w:ascii="Calibri" w:hAnsi="Calibri"/>
                <w:color w:val="101828"/>
                <w:sz w:val="17"/>
              </w:rPr>
              <w:t>tx.from</w:t>
            </w:r>
          </w:p>
        </w:tc>
        <w:tc>
          <w:tcPr>
            <w:tcW w:type="dxa" w:w="2510"/>
            <w:tcMar>
              <w:top w:w="80" w:type="dxa"/>
              <w:start w:w="120" w:type="dxa"/>
              <w:bottom w:w="80" w:type="dxa"/>
              <w:end w:w="120" w:type="dxa"/>
            </w:tcMar>
            <w:vAlign w:val="center"/>
          </w:tcPr>
          <w:p>
            <w:pPr>
              <w:spacing w:after="0" w:line="259" w:lineRule="auto"/>
            </w:pPr>
            <w:r>
              <w:rPr>
                <w:rFonts w:ascii="Calibri" w:hAnsi="Calibri"/>
                <w:color w:val="101828"/>
                <w:sz w:val="17"/>
              </w:rPr>
              <w:t>95-100</w:t>
            </w:r>
          </w:p>
        </w:tc>
      </w:tr>
      <w:tr>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Direct EOA call; recipient differs</w:t>
            </w:r>
          </w:p>
        </w:tc>
        <w:tc>
          <w:tcPr>
            <w:tcW w:type="dxa" w:w="2800"/>
            <w:shd w:fill="FAFBFC"/>
            <w:tcMar>
              <w:top w:w="80" w:type="dxa"/>
              <w:start w:w="120" w:type="dxa"/>
              <w:bottom w:w="80" w:type="dxa"/>
              <w:end w:w="120" w:type="dxa"/>
            </w:tcMar>
            <w:vAlign w:val="center"/>
          </w:tcPr>
          <w:p>
            <w:pPr>
              <w:spacing w:after="0" w:line="259" w:lineRule="auto"/>
            </w:pPr>
            <w:r>
              <w:rPr>
                <w:rFonts w:ascii="Calibri" w:hAnsi="Calibri"/>
                <w:color w:val="101828"/>
                <w:sz w:val="17"/>
              </w:rPr>
              <w:t>tx.from</w:t>
            </w:r>
          </w:p>
        </w:tc>
        <w:tc>
          <w:tcPr>
            <w:tcW w:type="dxa" w:w="2510"/>
            <w:shd w:fill="FAFBFC"/>
            <w:tcMar>
              <w:top w:w="80" w:type="dxa"/>
              <w:start w:w="120" w:type="dxa"/>
              <w:bottom w:w="80" w:type="dxa"/>
              <w:end w:w="120" w:type="dxa"/>
            </w:tcMar>
            <w:vAlign w:val="center"/>
          </w:tcPr>
          <w:p>
            <w:pPr>
              <w:spacing w:after="0" w:line="259" w:lineRule="auto"/>
            </w:pPr>
            <w:r>
              <w:rPr>
                <w:rFonts w:ascii="Calibri" w:hAnsi="Calibri"/>
                <w:color w:val="101828"/>
                <w:sz w:val="17"/>
              </w:rPr>
              <w:t>85-95</w:t>
            </w:r>
          </w:p>
        </w:tc>
      </w:tr>
      <w:tr>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Known launchpad exposes user in event</w:t>
            </w:r>
          </w:p>
        </w:tc>
        <w:tc>
          <w:tcPr>
            <w:tcW w:type="dxa" w:w="2800"/>
            <w:tcMar>
              <w:top w:w="80" w:type="dxa"/>
              <w:start w:w="120" w:type="dxa"/>
              <w:bottom w:w="80" w:type="dxa"/>
              <w:end w:w="120" w:type="dxa"/>
            </w:tcMar>
            <w:vAlign w:val="center"/>
          </w:tcPr>
          <w:p>
            <w:pPr>
              <w:spacing w:after="0" w:line="259" w:lineRule="auto"/>
            </w:pPr>
            <w:r>
              <w:rPr>
                <w:rFonts w:ascii="Calibri" w:hAnsi="Calibri"/>
                <w:color w:val="101828"/>
                <w:sz w:val="17"/>
              </w:rPr>
              <w:t>Protocol field</w:t>
            </w:r>
          </w:p>
        </w:tc>
        <w:tc>
          <w:tcPr>
            <w:tcW w:type="dxa" w:w="2510"/>
            <w:tcMar>
              <w:top w:w="80" w:type="dxa"/>
              <w:start w:w="120" w:type="dxa"/>
              <w:bottom w:w="80" w:type="dxa"/>
              <w:end w:w="120" w:type="dxa"/>
            </w:tcMar>
            <w:vAlign w:val="center"/>
          </w:tcPr>
          <w:p>
            <w:pPr>
              <w:spacing w:after="0" w:line="259" w:lineRule="auto"/>
            </w:pPr>
            <w:r>
              <w:rPr>
                <w:rFonts w:ascii="Calibri" w:hAnsi="Calibri"/>
                <w:color w:val="101828"/>
                <w:sz w:val="17"/>
              </w:rPr>
              <w:t>90-100</w:t>
            </w:r>
          </w:p>
        </w:tc>
      </w:tr>
      <w:tr>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Known router; user recovered from trace</w:t>
            </w:r>
          </w:p>
        </w:tc>
        <w:tc>
          <w:tcPr>
            <w:tcW w:type="dxa" w:w="2800"/>
            <w:shd w:fill="FAFBFC"/>
            <w:tcMar>
              <w:top w:w="80" w:type="dxa"/>
              <w:start w:w="120" w:type="dxa"/>
              <w:bottom w:w="80" w:type="dxa"/>
              <w:end w:w="120" w:type="dxa"/>
            </w:tcMar>
            <w:vAlign w:val="center"/>
          </w:tcPr>
          <w:p>
            <w:pPr>
              <w:spacing w:after="0" w:line="259" w:lineRule="auto"/>
            </w:pPr>
            <w:r>
              <w:rPr>
                <w:rFonts w:ascii="Calibri" w:hAnsi="Calibri"/>
                <w:color w:val="101828"/>
                <w:sz w:val="17"/>
              </w:rPr>
              <w:t>Recovered caller</w:t>
            </w:r>
          </w:p>
        </w:tc>
        <w:tc>
          <w:tcPr>
            <w:tcW w:type="dxa" w:w="2510"/>
            <w:shd w:fill="FAFBFC"/>
            <w:tcMar>
              <w:top w:w="80" w:type="dxa"/>
              <w:start w:w="120" w:type="dxa"/>
              <w:bottom w:w="80" w:type="dxa"/>
              <w:end w:w="120" w:type="dxa"/>
            </w:tcMar>
            <w:vAlign w:val="center"/>
          </w:tcPr>
          <w:p>
            <w:pPr>
              <w:spacing w:after="0" w:line="259" w:lineRule="auto"/>
            </w:pPr>
            <w:r>
              <w:rPr>
                <w:rFonts w:ascii="Calibri" w:hAnsi="Calibri"/>
                <w:color w:val="101828"/>
                <w:sz w:val="17"/>
              </w:rPr>
              <w:t>75-95</w:t>
            </w:r>
          </w:p>
        </w:tc>
      </w:tr>
      <w:tr>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Smart account through known entry point</w:t>
            </w:r>
          </w:p>
        </w:tc>
        <w:tc>
          <w:tcPr>
            <w:tcW w:type="dxa" w:w="2800"/>
            <w:tcMar>
              <w:top w:w="80" w:type="dxa"/>
              <w:start w:w="120" w:type="dxa"/>
              <w:bottom w:w="80" w:type="dxa"/>
              <w:end w:w="120" w:type="dxa"/>
            </w:tcMar>
            <w:vAlign w:val="center"/>
          </w:tcPr>
          <w:p>
            <w:pPr>
              <w:spacing w:after="0" w:line="259" w:lineRule="auto"/>
            </w:pPr>
            <w:r>
              <w:rPr>
                <w:rFonts w:ascii="Calibri" w:hAnsi="Calibri"/>
                <w:color w:val="101828"/>
                <w:sz w:val="17"/>
              </w:rPr>
              <w:t>UserOperation sender</w:t>
            </w:r>
          </w:p>
        </w:tc>
        <w:tc>
          <w:tcPr>
            <w:tcW w:type="dxa" w:w="2510"/>
            <w:tcMar>
              <w:top w:w="80" w:type="dxa"/>
              <w:start w:w="120" w:type="dxa"/>
              <w:bottom w:w="80" w:type="dxa"/>
              <w:end w:w="120" w:type="dxa"/>
            </w:tcMar>
            <w:vAlign w:val="center"/>
          </w:tcPr>
          <w:p>
            <w:pPr>
              <w:spacing w:after="0" w:line="259" w:lineRule="auto"/>
            </w:pPr>
            <w:r>
              <w:rPr>
                <w:rFonts w:ascii="Calibri" w:hAnsi="Calibri"/>
                <w:color w:val="101828"/>
                <w:sz w:val="17"/>
              </w:rPr>
              <w:t>85-98</w:t>
            </w:r>
          </w:p>
        </w:tc>
      </w:tr>
      <w:tr>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Shared relayer without user evidence</w:t>
            </w:r>
          </w:p>
        </w:tc>
        <w:tc>
          <w:tcPr>
            <w:tcW w:type="dxa" w:w="2800"/>
            <w:shd w:fill="FAFBFC"/>
            <w:tcMar>
              <w:top w:w="80" w:type="dxa"/>
              <w:start w:w="120" w:type="dxa"/>
              <w:bottom w:w="80" w:type="dxa"/>
              <w:end w:w="120" w:type="dxa"/>
            </w:tcMar>
            <w:vAlign w:val="center"/>
          </w:tcPr>
          <w:p>
            <w:pPr>
              <w:spacing w:after="0" w:line="259" w:lineRule="auto"/>
            </w:pPr>
            <w:r>
              <w:rPr>
                <w:rFonts w:ascii="Calibri" w:hAnsi="Calibri"/>
                <w:color w:val="101828"/>
                <w:sz w:val="17"/>
              </w:rPr>
              <w:t>Unknown</w:t>
            </w:r>
          </w:p>
        </w:tc>
        <w:tc>
          <w:tcPr>
            <w:tcW w:type="dxa" w:w="2510"/>
            <w:shd w:fill="FAFBFC"/>
            <w:tcMar>
              <w:top w:w="80" w:type="dxa"/>
              <w:start w:w="120" w:type="dxa"/>
              <w:bottom w:w="80" w:type="dxa"/>
              <w:end w:w="120" w:type="dxa"/>
            </w:tcMar>
            <w:vAlign w:val="center"/>
          </w:tcPr>
          <w:p>
            <w:pPr>
              <w:spacing w:after="0" w:line="259" w:lineRule="auto"/>
            </w:pPr>
            <w:r>
              <w:rPr>
                <w:rFonts w:ascii="Calibri" w:hAnsi="Calibri"/>
                <w:color w:val="101828"/>
                <w:sz w:val="17"/>
              </w:rPr>
              <w:t>0-40; exclude by default</w:t>
            </w:r>
          </w:p>
        </w:tc>
      </w:tr>
      <w:tr>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Admin batch airdrop</w:t>
            </w:r>
          </w:p>
        </w:tc>
        <w:tc>
          <w:tcPr>
            <w:tcW w:type="dxa" w:w="2800"/>
            <w:tcMar>
              <w:top w:w="80" w:type="dxa"/>
              <w:start w:w="120" w:type="dxa"/>
              <w:bottom w:w="80" w:type="dxa"/>
              <w:end w:w="120" w:type="dxa"/>
            </w:tcMar>
            <w:vAlign w:val="center"/>
          </w:tcPr>
          <w:p>
            <w:pPr>
              <w:spacing w:after="0" w:line="259" w:lineRule="auto"/>
            </w:pPr>
            <w:r>
              <w:rPr>
                <w:rFonts w:ascii="Calibri" w:hAnsi="Calibri"/>
                <w:color w:val="101828"/>
                <w:sz w:val="17"/>
              </w:rPr>
              <w:t>Admin is operator, not recipient</w:t>
            </w:r>
          </w:p>
        </w:tc>
        <w:tc>
          <w:tcPr>
            <w:tcW w:type="dxa" w:w="2510"/>
            <w:tcMar>
              <w:top w:w="80" w:type="dxa"/>
              <w:start w:w="120" w:type="dxa"/>
              <w:bottom w:w="80" w:type="dxa"/>
              <w:end w:w="120" w:type="dxa"/>
            </w:tcMar>
            <w:vAlign w:val="center"/>
          </w:tcPr>
          <w:p>
            <w:pPr>
              <w:spacing w:after="0" w:line="259" w:lineRule="auto"/>
            </w:pPr>
            <w:r>
              <w:rPr>
                <w:rFonts w:ascii="Calibri" w:hAnsi="Calibri"/>
                <w:color w:val="101828"/>
                <w:sz w:val="17"/>
              </w:rPr>
              <w:t>Classification high; user intent low</w:t>
            </w:r>
          </w:p>
        </w:tc>
      </w:tr>
    </w:tbl>
    <w:p>
      <w:pPr>
        <w:spacing w:after="20"/>
      </w:pPr>
    </w:p>
    <w:p>
      <w:pPr>
        <w:pStyle w:val="Heading1"/>
      </w:pPr>
      <w:r>
        <w:t>8  Overlap analytics and wallet scoring</w:t>
      </w:r>
    </w:p>
    <w:p>
      <w:pPr>
        <w:pStyle w:val="Heading2"/>
      </w:pPr>
      <w:r>
        <w:t>8.1 Exact overlap metrics</w:t>
      </w:r>
    </w:p>
    <w:tbl>
      <w:tblPr>
        <w:tblStyle w:val="TableGrid"/>
        <w:tblW w:type="dxa" w:w="9360"/>
        <w:jc w:val="left"/>
        <w:tblLayout w:type="fixed"/>
        <w:tblLook w:firstColumn="1" w:firstRow="1" w:lastColumn="0" w:lastRow="0" w:noHBand="0" w:noVBand="1" w:val="04A0"/>
        <w:tblInd w:w="120" w:type="dxa"/>
      </w:tblPr>
      <w:tblGrid>
        <w:gridCol w:w="1850"/>
        <w:gridCol w:w="3700"/>
        <w:gridCol w:w="3810"/>
      </w:tblGrid>
      <w:tr>
        <w:trPr>
          <w:tblHeader w:val="true"/>
        </w:trPr>
        <w:tc>
          <w:tcPr>
            <w:tcW w:type="dxa" w:w="1850"/>
            <w:shd w:fill="E8EEF5"/>
            <w:tcMar>
              <w:top w:w="80" w:type="dxa"/>
              <w:start w:w="120" w:type="dxa"/>
              <w:bottom w:w="80" w:type="dxa"/>
              <w:end w:w="120" w:type="dxa"/>
            </w:tcMar>
            <w:vAlign w:val="center"/>
          </w:tcPr>
          <w:p>
            <w:pPr>
              <w:spacing w:after="0"/>
              <w:jc w:val="left"/>
            </w:pPr>
            <w:r>
              <w:rPr>
                <w:rFonts w:ascii="Calibri" w:hAnsi="Calibri"/>
                <w:b/>
                <w:color w:val="0B2545"/>
                <w:sz w:val="17"/>
              </w:rPr>
              <w:t>Metric</w:t>
            </w:r>
          </w:p>
        </w:tc>
        <w:tc>
          <w:tcPr>
            <w:tcW w:type="dxa" w:w="3700"/>
            <w:shd w:fill="E8EEF5"/>
            <w:tcMar>
              <w:top w:w="80" w:type="dxa"/>
              <w:start w:w="120" w:type="dxa"/>
              <w:bottom w:w="80" w:type="dxa"/>
              <w:end w:w="120" w:type="dxa"/>
            </w:tcMar>
            <w:vAlign w:val="center"/>
          </w:tcPr>
          <w:p>
            <w:pPr>
              <w:spacing w:after="0"/>
              <w:jc w:val="left"/>
            </w:pPr>
            <w:r>
              <w:rPr>
                <w:rFonts w:ascii="Calibri" w:hAnsi="Calibri"/>
                <w:b/>
                <w:color w:val="0B2545"/>
                <w:sz w:val="17"/>
              </w:rPr>
              <w:t>Definition</w:t>
            </w:r>
          </w:p>
        </w:tc>
        <w:tc>
          <w:tcPr>
            <w:tcW w:type="dxa" w:w="3810"/>
            <w:shd w:fill="E8EEF5"/>
            <w:tcMar>
              <w:top w:w="80" w:type="dxa"/>
              <w:start w:w="120" w:type="dxa"/>
              <w:bottom w:w="80" w:type="dxa"/>
              <w:end w:w="120" w:type="dxa"/>
            </w:tcMar>
            <w:vAlign w:val="center"/>
          </w:tcPr>
          <w:p>
            <w:pPr>
              <w:spacing w:after="0"/>
              <w:jc w:val="left"/>
            </w:pPr>
            <w:r>
              <w:rPr>
                <w:rFonts w:ascii="Calibri" w:hAnsi="Calibri"/>
                <w:b/>
                <w:color w:val="0B2545"/>
                <w:sz w:val="17"/>
              </w:rPr>
              <w:t>Use</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7"/>
              </w:rPr>
              <w:t>Support count</w:t>
            </w:r>
          </w:p>
        </w:tc>
        <w:tc>
          <w:tcPr>
            <w:tcW w:type="dxa" w:w="3700"/>
            <w:tcMar>
              <w:top w:w="80" w:type="dxa"/>
              <w:start w:w="120" w:type="dxa"/>
              <w:bottom w:w="80" w:type="dxa"/>
              <w:end w:w="120" w:type="dxa"/>
            </w:tcMar>
            <w:vAlign w:val="center"/>
          </w:tcPr>
          <w:p>
            <w:pPr>
              <w:spacing w:after="0" w:line="259" w:lineRule="auto"/>
            </w:pPr>
            <w:r>
              <w:rPr>
                <w:rFonts w:ascii="Calibri" w:hAnsi="Calibri"/>
                <w:color w:val="101828"/>
                <w:sz w:val="17"/>
              </w:rPr>
              <w:t>Distinct stored collections minted by wallet</w:t>
            </w:r>
          </w:p>
        </w:tc>
        <w:tc>
          <w:tcPr>
            <w:tcW w:type="dxa" w:w="3810"/>
            <w:tcMar>
              <w:top w:w="80" w:type="dxa"/>
              <w:start w:w="120" w:type="dxa"/>
              <w:bottom w:w="80" w:type="dxa"/>
              <w:end w:w="120" w:type="dxa"/>
            </w:tcMar>
            <w:vAlign w:val="center"/>
          </w:tcPr>
          <w:p>
            <w:pPr>
              <w:spacing w:after="0" w:line="259" w:lineRule="auto"/>
            </w:pPr>
            <w:r>
              <w:rPr>
                <w:rFonts w:ascii="Calibri" w:hAnsi="Calibri"/>
                <w:color w:val="101828"/>
                <w:sz w:val="17"/>
              </w:rPr>
              <w:t>Primary repeated-minter rank</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7"/>
              </w:rPr>
              <w:t>Pair intersection</w:t>
            </w:r>
          </w:p>
        </w:tc>
        <w:tc>
          <w:tcPr>
            <w:tcW w:type="dxa" w:w="370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Wallets found in both selected collections</w:t>
            </w:r>
          </w:p>
        </w:tc>
        <w:tc>
          <w:tcPr>
            <w:tcW w:type="dxa" w:w="3810"/>
            <w:shd w:fill="FAFBFC"/>
            <w:tcMar>
              <w:top w:w="80" w:type="dxa"/>
              <w:start w:w="120" w:type="dxa"/>
              <w:bottom w:w="80" w:type="dxa"/>
              <w:end w:w="120" w:type="dxa"/>
            </w:tcMar>
            <w:vAlign w:val="center"/>
          </w:tcPr>
          <w:p>
            <w:pPr>
              <w:spacing w:after="0" w:line="259" w:lineRule="auto"/>
            </w:pPr>
            <w:r>
              <w:rPr>
                <w:rFonts w:ascii="Calibri" w:hAnsi="Calibri"/>
                <w:color w:val="101828"/>
                <w:sz w:val="17"/>
              </w:rPr>
              <w:t>Direct comparison</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7"/>
              </w:rPr>
              <w:t>Group intersection</w:t>
            </w:r>
          </w:p>
        </w:tc>
        <w:tc>
          <w:tcPr>
            <w:tcW w:type="dxa" w:w="3700"/>
            <w:tcMar>
              <w:top w:w="80" w:type="dxa"/>
              <w:start w:w="120" w:type="dxa"/>
              <w:bottom w:w="80" w:type="dxa"/>
              <w:end w:w="120" w:type="dxa"/>
            </w:tcMar>
            <w:vAlign w:val="center"/>
          </w:tcPr>
          <w:p>
            <w:pPr>
              <w:spacing w:after="0" w:line="259" w:lineRule="auto"/>
            </w:pPr>
            <w:r>
              <w:rPr>
                <w:rFonts w:ascii="Calibri" w:hAnsi="Calibri"/>
                <w:color w:val="101828"/>
                <w:sz w:val="17"/>
              </w:rPr>
              <w:t>Wallets found in every selected collection</w:t>
            </w:r>
          </w:p>
        </w:tc>
        <w:tc>
          <w:tcPr>
            <w:tcW w:type="dxa" w:w="3810"/>
            <w:tcMar>
              <w:top w:w="80" w:type="dxa"/>
              <w:start w:w="120" w:type="dxa"/>
              <w:bottom w:w="80" w:type="dxa"/>
              <w:end w:w="120" w:type="dxa"/>
            </w:tcMar>
            <w:vAlign w:val="center"/>
          </w:tcPr>
          <w:p>
            <w:pPr>
              <w:spacing w:after="0" w:line="259" w:lineRule="auto"/>
            </w:pPr>
            <w:r>
              <w:rPr>
                <w:rFonts w:ascii="Calibri" w:hAnsi="Calibri"/>
                <w:color w:val="101828"/>
                <w:sz w:val="17"/>
              </w:rPr>
              <w:t>Strict conviction group</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7"/>
              </w:rPr>
              <w:t>At-least-k overlap</w:t>
            </w:r>
          </w:p>
        </w:tc>
        <w:tc>
          <w:tcPr>
            <w:tcW w:type="dxa" w:w="3700"/>
            <w:shd w:fill="FAFBFC"/>
            <w:tcMar>
              <w:top w:w="80" w:type="dxa"/>
              <w:start w:w="120" w:type="dxa"/>
              <w:bottom w:w="80" w:type="dxa"/>
              <w:end w:w="120" w:type="dxa"/>
            </w:tcMar>
            <w:vAlign w:val="center"/>
          </w:tcPr>
          <w:p>
            <w:pPr>
              <w:spacing w:after="0" w:line="259" w:lineRule="auto"/>
            </w:pPr>
            <w:r>
              <w:rPr>
                <w:rFonts w:ascii="Calibri" w:hAnsi="Calibri"/>
                <w:color w:val="101828"/>
                <w:sz w:val="17"/>
              </w:rPr>
              <w:t>Wallets found in k of n selected collections</w:t>
            </w:r>
          </w:p>
        </w:tc>
        <w:tc>
          <w:tcPr>
            <w:tcW w:type="dxa" w:w="3810"/>
            <w:shd w:fill="FAFBFC"/>
            <w:tcMar>
              <w:top w:w="80" w:type="dxa"/>
              <w:start w:w="120" w:type="dxa"/>
              <w:bottom w:w="80" w:type="dxa"/>
              <w:end w:w="120" w:type="dxa"/>
            </w:tcMar>
            <w:vAlign w:val="center"/>
          </w:tcPr>
          <w:p>
            <w:pPr>
              <w:spacing w:after="0" w:line="259" w:lineRule="auto"/>
            </w:pPr>
            <w:r>
              <w:rPr>
                <w:rFonts w:ascii="Calibri" w:hAnsi="Calibri"/>
                <w:color w:val="101828"/>
                <w:sz w:val="17"/>
              </w:rPr>
              <w:t>Resilient multi-collection discovery</w:t>
            </w:r>
          </w:p>
        </w:tc>
      </w:tr>
      <w:tr>
        <w:tc>
          <w:tcPr>
            <w:tcW w:type="dxa" w:w="1850"/>
            <w:tcMar>
              <w:top w:w="80" w:type="dxa"/>
              <w:start w:w="120" w:type="dxa"/>
              <w:bottom w:w="80" w:type="dxa"/>
              <w:end w:w="120" w:type="dxa"/>
            </w:tcMar>
            <w:vAlign w:val="center"/>
          </w:tcPr>
          <w:p>
            <w:pPr>
              <w:spacing w:after="0" w:line="259" w:lineRule="auto"/>
            </w:pPr>
            <w:r>
              <w:rPr>
                <w:rFonts w:ascii="Calibri" w:hAnsi="Calibri"/>
                <w:color w:val="101828"/>
                <w:sz w:val="17"/>
              </w:rPr>
              <w:t>Jaccard similarity</w:t>
            </w:r>
          </w:p>
        </w:tc>
        <w:tc>
          <w:tcPr>
            <w:tcW w:type="dxa" w:w="3700"/>
            <w:tcMar>
              <w:top w:w="80" w:type="dxa"/>
              <w:start w:w="120" w:type="dxa"/>
              <w:bottom w:w="80" w:type="dxa"/>
              <w:end w:w="120" w:type="dxa"/>
            </w:tcMar>
            <w:vAlign w:val="center"/>
          </w:tcPr>
          <w:p>
            <w:pPr>
              <w:spacing w:after="0" w:line="259" w:lineRule="auto"/>
            </w:pPr>
            <w:r>
              <w:rPr>
                <w:rFonts w:ascii="Calibri" w:hAnsi="Calibri"/>
                <w:color w:val="101828"/>
                <w:sz w:val="17"/>
              </w:rPr>
              <w:t>Intersection divided by union of two collection minter sets</w:t>
            </w:r>
          </w:p>
        </w:tc>
        <w:tc>
          <w:tcPr>
            <w:tcW w:type="dxa" w:w="3810"/>
            <w:tcMar>
              <w:top w:w="80" w:type="dxa"/>
              <w:start w:w="120" w:type="dxa"/>
              <w:bottom w:w="80" w:type="dxa"/>
              <w:end w:w="120" w:type="dxa"/>
            </w:tcMar>
            <w:vAlign w:val="center"/>
          </w:tcPr>
          <w:p>
            <w:pPr>
              <w:spacing w:after="0" w:line="259" w:lineRule="auto"/>
            </w:pPr>
            <w:r>
              <w:rPr>
                <w:rFonts w:ascii="Calibri" w:hAnsi="Calibri"/>
                <w:color w:val="101828"/>
                <w:sz w:val="17"/>
              </w:rPr>
              <w:t>Normalize collections of different size</w:t>
            </w:r>
          </w:p>
        </w:tc>
      </w:tr>
      <w:tr>
        <w:tc>
          <w:tcPr>
            <w:tcW w:type="dxa" w:w="1850"/>
            <w:shd w:fill="FAFBFC"/>
            <w:tcMar>
              <w:top w:w="80" w:type="dxa"/>
              <w:start w:w="120" w:type="dxa"/>
              <w:bottom w:w="80" w:type="dxa"/>
              <w:end w:w="120" w:type="dxa"/>
            </w:tcMar>
            <w:vAlign w:val="center"/>
          </w:tcPr>
          <w:p>
            <w:pPr>
              <w:spacing w:after="0" w:line="259" w:lineRule="auto"/>
            </w:pPr>
            <w:r>
              <w:rPr>
                <w:rFonts w:ascii="Calibri" w:hAnsi="Calibri"/>
                <w:color w:val="101828"/>
                <w:sz w:val="17"/>
              </w:rPr>
              <w:t>Weighted support</w:t>
            </w:r>
          </w:p>
        </w:tc>
        <w:tc>
          <w:tcPr>
            <w:tcW w:type="dxa" w:w="3700"/>
            <w:shd w:fill="FAFBFC"/>
            <w:tcMar>
              <w:top w:w="80" w:type="dxa"/>
              <w:start w:w="120" w:type="dxa"/>
              <w:bottom w:w="80" w:type="dxa"/>
              <w:end w:w="120" w:type="dxa"/>
            </w:tcMar>
            <w:vAlign w:val="center"/>
          </w:tcPr>
          <w:p>
            <w:pPr>
              <w:spacing w:after="0" w:line="259" w:lineRule="auto"/>
            </w:pPr>
            <w:r>
              <w:rPr>
                <w:rFonts w:ascii="Calibri" w:hAnsi="Calibri"/>
                <w:color w:val="101828"/>
                <w:sz w:val="17"/>
              </w:rPr>
              <w:t>Each collection weighted by rarity/quality policy</w:t>
            </w:r>
          </w:p>
        </w:tc>
        <w:tc>
          <w:tcPr>
            <w:tcW w:type="dxa" w:w="3810"/>
            <w:shd w:fill="FAFBFC"/>
            <w:tcMar>
              <w:top w:w="80" w:type="dxa"/>
              <w:start w:w="120" w:type="dxa"/>
              <w:bottom w:w="80" w:type="dxa"/>
              <w:end w:w="120" w:type="dxa"/>
            </w:tcMar>
            <w:vAlign w:val="center"/>
          </w:tcPr>
          <w:p>
            <w:pPr>
              <w:spacing w:after="0" w:line="259" w:lineRule="auto"/>
            </w:pPr>
            <w:r>
              <w:rPr>
                <w:rFonts w:ascii="Calibri" w:hAnsi="Calibri"/>
                <w:color w:val="101828"/>
                <w:sz w:val="17"/>
              </w:rPr>
              <w:t>Reduce domination by huge free mints</w:t>
            </w:r>
          </w:p>
        </w:tc>
      </w:tr>
    </w:tbl>
    <w:p>
      <w:pPr>
        <w:spacing w:after="20"/>
      </w:pPr>
    </w:p>
    <w:p>
      <w:pPr>
        <w:pStyle w:val="Heading2"/>
      </w:pPr>
      <w:r>
        <w:t>8.2 Quality score</w:t>
      </w:r>
    </w:p>
    <w:p>
      <w:r>
        <w:rPr>
          <w:rFonts w:ascii="Calibri" w:hAnsi="Calibri"/>
          <w:i w:val="0"/>
          <w:color w:val="101828"/>
          <w:sz w:val="22"/>
        </w:rPr>
        <w:t>The quality score is optional and must remain separate from the factual support count. It may help prioritize alerts, but it must not erase or rewrite raw overlap results.</w:t>
      </w:r>
    </w:p>
    <w:p>
      <w:pPr>
        <w:pStyle w:val="ListBullet"/>
      </w:pPr>
      <w:r>
        <w:rPr>
          <w:rFonts w:ascii="Calibri" w:hAnsi="Calibri"/>
          <w:color w:val="101828"/>
          <w:sz w:val="22"/>
        </w:rPr>
        <w:t>Positive signals: repeated paid public mints, recent activity, early mint percentile, retention and consistent initiator confidence.</w:t>
      </w:r>
    </w:p>
    <w:p>
      <w:pPr>
        <w:pStyle w:val="ListBullet"/>
      </w:pPr>
      <w:r>
        <w:rPr>
          <w:rFonts w:ascii="Calibri" w:hAnsi="Calibri"/>
          <w:color w:val="101828"/>
          <w:sz w:val="22"/>
        </w:rPr>
        <w:t>Negative signals: airdrops, team/admin activity, bridge mints, spam collections, relayers, contracts, exchange addresses and obvious mint-farm bursts.</w:t>
      </w:r>
    </w:p>
    <w:p>
      <w:pPr>
        <w:pStyle w:val="ListBullet"/>
      </w:pPr>
      <w:r>
        <w:rPr>
          <w:rFonts w:ascii="Calibri" w:hAnsi="Calibri"/>
          <w:color w:val="101828"/>
          <w:sz w:val="22"/>
        </w:rPr>
        <w:t>Score versions are immutable. Recalculation writes a new version so historical decisions remain explainable.</w:t>
      </w:r>
    </w:p>
    <w:p>
      <w:pPr>
        <w:pStyle w:val="ListBullet"/>
      </w:pPr>
      <w:r>
        <w:rPr>
          <w:rFonts w:ascii="Calibri" w:hAnsi="Calibri"/>
          <w:color w:val="101828"/>
          <w:sz w:val="22"/>
        </w:rPr>
        <w:t>Do not include future collection price performance in the core repeated-minter score unless a separately reviewed research module is added.</w:t>
      </w:r>
    </w:p>
    <w:p>
      <w:pPr>
        <w:pStyle w:val="Heading2"/>
      </w:pPr>
      <w:r>
        <w:t>8.3 Watchlist promotion</w:t>
      </w:r>
    </w:p>
    <w:p>
      <w:pPr>
        <w:pStyle w:val="CodeBlock"/>
        <w:keepLines/>
        <w:shd w:fill="F4F6F9"/>
      </w:pPr>
      <w:r>
        <w:rPr>
          <w:rFonts w:ascii="DejaVu Sans Mono" w:hAnsi="DejaVu Sans Mono"/>
          <w:color w:val="0B2545"/>
          <w:sz w:val="17"/>
        </w:rPr>
        <w:t>eligible = (</w:t>
        <w:br/>
        <w:t xml:space="preserve">    wallet.support_count &gt;= strategy.minimum_support</w:t>
        <w:br/>
        <w:t xml:space="preserve">    and wallet.identity_confidence &gt;= strategy.minimum_identity_confidence</w:t>
        <w:br/>
        <w:t xml:space="preserve">    and wallet.is_contract is False</w:t>
        <w:br/>
        <w:t xml:space="preserve">    and wallet.exclusion_reason is None</w:t>
        <w:br/>
        <w:t>)</w:t>
        <w:br/>
        <w:t>if eligible:</w:t>
        <w:br/>
        <w:t xml:space="preserve">    upsert_tracked_wallet(wallet, reason='support_threshold', score_version=current_version)</w:t>
      </w:r>
    </w:p>
    <w:p>
      <w:pPr>
        <w:pStyle w:val="Heading1"/>
      </w:pPr>
      <w:r>
        <w:t>9  Live monitoring and opportunity creation</w:t>
      </w:r>
    </w:p>
    <w:p>
      <w:r>
        <w:rPr>
          <w:rFonts w:ascii="Calibri" w:hAnsi="Calibri"/>
          <w:i w:val="0"/>
          <w:color w:val="101828"/>
          <w:sz w:val="22"/>
        </w:rPr>
        <w:t>The live system watches mint evidence, not merely outbound wallet transactions. This catches direct calls, routed mints and recipient-only signals while still allowing the identity resolver to decide whether the tracked wallet intentionally minted.</w:t>
      </w:r>
    </w:p>
    <w:p>
      <w:pPr>
        <w:pStyle w:val="Heading2"/>
      </w:pPr>
      <w:r>
        <w:t>9.1 Detection modes</w:t>
      </w:r>
    </w:p>
    <w:tbl>
      <w:tblPr>
        <w:tblStyle w:val="TableGrid"/>
        <w:tblW w:type="dxa" w:w="9360"/>
        <w:jc w:val="left"/>
        <w:tblLayout w:type="fixed"/>
        <w:tblLook w:firstColumn="1" w:firstRow="1" w:lastColumn="0" w:lastRow="0" w:noHBand="0" w:noVBand="1" w:val="04A0"/>
        <w:tblInd w:w="120" w:type="dxa"/>
      </w:tblPr>
      <w:tblGrid>
        <w:gridCol w:w="2200"/>
        <w:gridCol w:w="3200"/>
        <w:gridCol w:w="3960"/>
      </w:tblGrid>
      <w:tr>
        <w:trPr>
          <w:tblHeader w:val="true"/>
        </w:trPr>
        <w:tc>
          <w:tcPr>
            <w:tcW w:type="dxa" w:w="2200"/>
            <w:shd w:fill="E8EEF5"/>
            <w:tcMar>
              <w:top w:w="80" w:type="dxa"/>
              <w:start w:w="120" w:type="dxa"/>
              <w:bottom w:w="80" w:type="dxa"/>
              <w:end w:w="120" w:type="dxa"/>
            </w:tcMar>
            <w:vAlign w:val="center"/>
          </w:tcPr>
          <w:p>
            <w:pPr>
              <w:spacing w:after="0"/>
              <w:jc w:val="left"/>
            </w:pPr>
            <w:r>
              <w:rPr>
                <w:rFonts w:ascii="Calibri" w:hAnsi="Calibri"/>
                <w:b/>
                <w:color w:val="0B2545"/>
                <w:sz w:val="17"/>
              </w:rPr>
              <w:t>Mode</w:t>
            </w:r>
          </w:p>
        </w:tc>
        <w:tc>
          <w:tcPr>
            <w:tcW w:type="dxa" w:w="3200"/>
            <w:shd w:fill="E8EEF5"/>
            <w:tcMar>
              <w:top w:w="80" w:type="dxa"/>
              <w:start w:w="120" w:type="dxa"/>
              <w:bottom w:w="80" w:type="dxa"/>
              <w:end w:w="120" w:type="dxa"/>
            </w:tcMar>
            <w:vAlign w:val="center"/>
          </w:tcPr>
          <w:p>
            <w:pPr>
              <w:spacing w:after="0"/>
              <w:jc w:val="left"/>
            </w:pPr>
            <w:r>
              <w:rPr>
                <w:rFonts w:ascii="Calibri" w:hAnsi="Calibri"/>
                <w:b/>
                <w:color w:val="0B2545"/>
                <w:sz w:val="17"/>
              </w:rPr>
              <w:t>Advantage</w:t>
            </w:r>
          </w:p>
        </w:tc>
        <w:tc>
          <w:tcPr>
            <w:tcW w:type="dxa" w:w="3960"/>
            <w:shd w:fill="E8EEF5"/>
            <w:tcMar>
              <w:top w:w="80" w:type="dxa"/>
              <w:start w:w="120" w:type="dxa"/>
              <w:bottom w:w="80" w:type="dxa"/>
              <w:end w:w="120" w:type="dxa"/>
            </w:tcMar>
            <w:vAlign w:val="center"/>
          </w:tcPr>
          <w:p>
            <w:pPr>
              <w:spacing w:after="0"/>
              <w:jc w:val="left"/>
            </w:pPr>
            <w:r>
              <w:rPr>
                <w:rFonts w:ascii="Calibri" w:hAnsi="Calibri"/>
                <w:b/>
                <w:color w:val="0B2545"/>
                <w:sz w:val="17"/>
              </w:rPr>
              <w:t>Risk/limitation</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101828"/>
                <w:sz w:val="17"/>
              </w:rPr>
              <w:t>Finalized/safe logs</w:t>
            </w:r>
          </w:p>
        </w:tc>
        <w:tc>
          <w:tcPr>
            <w:tcW w:type="dxa" w:w="3200"/>
            <w:tcMar>
              <w:top w:w="80" w:type="dxa"/>
              <w:start w:w="120" w:type="dxa"/>
              <w:bottom w:w="80" w:type="dxa"/>
              <w:end w:w="120" w:type="dxa"/>
            </w:tcMar>
            <w:vAlign w:val="center"/>
          </w:tcPr>
          <w:p>
            <w:pPr>
              <w:spacing w:after="0" w:line="259" w:lineRule="auto"/>
            </w:pPr>
            <w:r>
              <w:rPr>
                <w:rFonts w:ascii="Calibri" w:hAnsi="Calibri"/>
                <w:color w:val="101828"/>
                <w:sz w:val="17"/>
              </w:rPr>
              <w:t>Highest correctness</w:t>
            </w:r>
          </w:p>
        </w:tc>
        <w:tc>
          <w:tcPr>
            <w:tcW w:type="dxa" w:w="3960"/>
            <w:tcMar>
              <w:top w:w="80" w:type="dxa"/>
              <w:start w:w="120" w:type="dxa"/>
              <w:bottom w:w="80" w:type="dxa"/>
              <w:end w:w="120" w:type="dxa"/>
            </w:tcMar>
            <w:vAlign w:val="center"/>
          </w:tcPr>
          <w:p>
            <w:pPr>
              <w:spacing w:after="0" w:line="259" w:lineRule="auto"/>
            </w:pPr>
            <w:r>
              <w:rPr>
                <w:rFonts w:ascii="Calibri" w:hAnsi="Calibri"/>
                <w:color w:val="101828"/>
                <w:sz w:val="17"/>
              </w:rPr>
              <w:t>May be too slow for fast sellouts</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color w:val="101828"/>
                <w:sz w:val="17"/>
              </w:rPr>
              <w:t>Confirmed block logs</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color w:val="101828"/>
                <w:sz w:val="17"/>
              </w:rPr>
              <w:t>Practical MVP latency</w:t>
            </w:r>
          </w:p>
        </w:tc>
        <w:tc>
          <w:tcPr>
            <w:tcW w:type="dxa" w:w="3960"/>
            <w:shd w:fill="FAFBFC"/>
            <w:tcMar>
              <w:top w:w="80" w:type="dxa"/>
              <w:start w:w="120" w:type="dxa"/>
              <w:bottom w:w="80" w:type="dxa"/>
              <w:end w:w="120" w:type="dxa"/>
            </w:tcMar>
            <w:vAlign w:val="center"/>
          </w:tcPr>
          <w:p>
            <w:pPr>
              <w:spacing w:after="0" w:line="259" w:lineRule="auto"/>
            </w:pPr>
            <w:r>
              <w:rPr>
                <w:rFonts w:ascii="Calibri" w:hAnsi="Calibri"/>
                <w:color w:val="101828"/>
                <w:sz w:val="17"/>
              </w:rPr>
              <w:t>Must repair reorgs</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101828"/>
                <w:sz w:val="17"/>
              </w:rPr>
              <w:t>Provider address webhook</w:t>
            </w:r>
          </w:p>
        </w:tc>
        <w:tc>
          <w:tcPr>
            <w:tcW w:type="dxa" w:w="3200"/>
            <w:tcMar>
              <w:top w:w="80" w:type="dxa"/>
              <w:start w:w="120" w:type="dxa"/>
              <w:bottom w:w="80" w:type="dxa"/>
              <w:end w:w="120" w:type="dxa"/>
            </w:tcMar>
            <w:vAlign w:val="center"/>
          </w:tcPr>
          <w:p>
            <w:pPr>
              <w:spacing w:after="0" w:line="259" w:lineRule="auto"/>
            </w:pPr>
            <w:r>
              <w:rPr>
                <w:rFonts w:ascii="Calibri" w:hAnsi="Calibri"/>
                <w:color w:val="101828"/>
                <w:sz w:val="17"/>
              </w:rPr>
              <w:t>Low operational burden</w:t>
            </w:r>
          </w:p>
        </w:tc>
        <w:tc>
          <w:tcPr>
            <w:tcW w:type="dxa" w:w="3960"/>
            <w:tcMar>
              <w:top w:w="80" w:type="dxa"/>
              <w:start w:w="120" w:type="dxa"/>
              <w:bottom w:w="80" w:type="dxa"/>
              <w:end w:w="120" w:type="dxa"/>
            </w:tcMar>
            <w:vAlign w:val="center"/>
          </w:tcPr>
          <w:p>
            <w:pPr>
              <w:spacing w:after="0" w:line="259" w:lineRule="auto"/>
            </w:pPr>
            <w:r>
              <w:rPr>
                <w:rFonts w:ascii="Calibri" w:hAnsi="Calibri"/>
                <w:color w:val="101828"/>
                <w:sz w:val="17"/>
              </w:rPr>
              <w:t>Vendor-specific semantics and possible gaps</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color w:val="101828"/>
                <w:sz w:val="17"/>
              </w:rPr>
              <w:t>Own block receipt scanner</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color w:val="101828"/>
                <w:sz w:val="17"/>
              </w:rPr>
              <w:t>Deterministic and portable</w:t>
            </w:r>
          </w:p>
        </w:tc>
        <w:tc>
          <w:tcPr>
            <w:tcW w:type="dxa" w:w="3960"/>
            <w:shd w:fill="FAFBFC"/>
            <w:tcMar>
              <w:top w:w="80" w:type="dxa"/>
              <w:start w:w="120" w:type="dxa"/>
              <w:bottom w:w="80" w:type="dxa"/>
              <w:end w:w="120" w:type="dxa"/>
            </w:tcMar>
            <w:vAlign w:val="center"/>
          </w:tcPr>
          <w:p>
            <w:pPr>
              <w:spacing w:after="0" w:line="259" w:lineRule="auto"/>
            </w:pPr>
            <w:r>
              <w:rPr>
                <w:rFonts w:ascii="Calibri" w:hAnsi="Calibri"/>
                <w:color w:val="101828"/>
                <w:sz w:val="17"/>
              </w:rPr>
              <w:t>Higher RPC and infrastructure load</w:t>
            </w:r>
          </w:p>
        </w:tc>
      </w:tr>
      <w:tr>
        <w:tc>
          <w:tcPr>
            <w:tcW w:type="dxa" w:w="2200"/>
            <w:tcMar>
              <w:top w:w="80" w:type="dxa"/>
              <w:start w:w="120" w:type="dxa"/>
              <w:bottom w:w="80" w:type="dxa"/>
              <w:end w:w="120" w:type="dxa"/>
            </w:tcMar>
            <w:vAlign w:val="center"/>
          </w:tcPr>
          <w:p>
            <w:pPr>
              <w:spacing w:after="0" w:line="259" w:lineRule="auto"/>
            </w:pPr>
            <w:r>
              <w:rPr>
                <w:rFonts w:ascii="Calibri" w:hAnsi="Calibri"/>
                <w:color w:val="101828"/>
                <w:sz w:val="17"/>
              </w:rPr>
              <w:t>Pending/mempool</w:t>
            </w:r>
          </w:p>
        </w:tc>
        <w:tc>
          <w:tcPr>
            <w:tcW w:type="dxa" w:w="3200"/>
            <w:tcMar>
              <w:top w:w="80" w:type="dxa"/>
              <w:start w:w="120" w:type="dxa"/>
              <w:bottom w:w="80" w:type="dxa"/>
              <w:end w:w="120" w:type="dxa"/>
            </w:tcMar>
            <w:vAlign w:val="center"/>
          </w:tcPr>
          <w:p>
            <w:pPr>
              <w:spacing w:after="0" w:line="259" w:lineRule="auto"/>
            </w:pPr>
            <w:r>
              <w:rPr>
                <w:rFonts w:ascii="Calibri" w:hAnsi="Calibri"/>
                <w:color w:val="101828"/>
                <w:sz w:val="17"/>
              </w:rPr>
              <w:t>Earliest possible signal</w:t>
            </w:r>
          </w:p>
        </w:tc>
        <w:tc>
          <w:tcPr>
            <w:tcW w:type="dxa" w:w="3960"/>
            <w:tcMar>
              <w:top w:w="80" w:type="dxa"/>
              <w:start w:w="120" w:type="dxa"/>
              <w:bottom w:w="80" w:type="dxa"/>
              <w:end w:w="120" w:type="dxa"/>
            </w:tcMar>
            <w:vAlign w:val="center"/>
          </w:tcPr>
          <w:p>
            <w:pPr>
              <w:spacing w:after="0" w:line="259" w:lineRule="auto"/>
            </w:pPr>
            <w:r>
              <w:rPr>
                <w:rFonts w:ascii="Calibri" w:hAnsi="Calibri"/>
                <w:color w:val="101828"/>
                <w:sz w:val="17"/>
              </w:rPr>
              <w:t>False/replaced txs, private flow, fee races; deferred</w:t>
            </w:r>
          </w:p>
        </w:tc>
      </w:tr>
    </w:tbl>
    <w:p>
      <w:pPr>
        <w:spacing w:after="20"/>
      </w:pPr>
    </w:p>
    <w:p>
      <w:pPr>
        <w:pStyle w:val="Heading2"/>
      </w:pPr>
      <w:r>
        <w:t>9.2 Opportunity fields</w:t>
      </w:r>
    </w:p>
    <w:p>
      <w:pPr>
        <w:pStyle w:val="ListBullet"/>
      </w:pPr>
      <w:r>
        <w:rPr>
          <w:rFonts w:ascii="Calibri" w:hAnsi="Calibri"/>
          <w:color w:val="101828"/>
          <w:sz w:val="22"/>
        </w:rPr>
        <w:t>Source chain, block, transaction and tracked wallet.</w:t>
      </w:r>
    </w:p>
    <w:p>
      <w:pPr>
        <w:pStyle w:val="ListBullet"/>
      </w:pPr>
      <w:r>
        <w:rPr>
          <w:rFonts w:ascii="Calibri" w:hAnsi="Calibri"/>
          <w:color w:val="101828"/>
          <w:sz w:val="22"/>
        </w:rPr>
        <w:t>Collection address and detected token standard.</w:t>
      </w:r>
    </w:p>
    <w:p>
      <w:pPr>
        <w:pStyle w:val="ListBullet"/>
      </w:pPr>
      <w:r>
        <w:rPr>
          <w:rFonts w:ascii="Calibri" w:hAnsi="Calibri"/>
          <w:color w:val="101828"/>
          <w:sz w:val="22"/>
        </w:rPr>
        <w:t>Tracked-wallet support count, score version and watch reason.</w:t>
      </w:r>
    </w:p>
    <w:p>
      <w:pPr>
        <w:pStyle w:val="ListBullet"/>
      </w:pPr>
      <w:r>
        <w:rPr>
          <w:rFonts w:ascii="Calibri" w:hAnsi="Calibri"/>
          <w:color w:val="101828"/>
          <w:sz w:val="22"/>
        </w:rPr>
        <w:t>Route, classification, eligibility and confidence.</w:t>
      </w:r>
    </w:p>
    <w:p>
      <w:pPr>
        <w:pStyle w:val="ListBullet"/>
      </w:pPr>
      <w:r>
        <w:rPr>
          <w:rFonts w:ascii="Calibri" w:hAnsi="Calibri"/>
          <w:color w:val="101828"/>
          <w:sz w:val="22"/>
        </w:rPr>
        <w:t>Observed quantity, source cost and current quoted cost.</w:t>
      </w:r>
    </w:p>
    <w:p>
      <w:pPr>
        <w:pStyle w:val="ListBullet"/>
      </w:pPr>
      <w:r>
        <w:rPr>
          <w:rFonts w:ascii="Calibri" w:hAnsi="Calibri"/>
          <w:color w:val="101828"/>
          <w:sz w:val="22"/>
        </w:rPr>
        <w:t>Adapter name/version and risk flags.</w:t>
      </w:r>
    </w:p>
    <w:p>
      <w:pPr>
        <w:pStyle w:val="ListBullet"/>
      </w:pPr>
      <w:r>
        <w:rPr>
          <w:rFonts w:ascii="Calibri" w:hAnsi="Calibri"/>
          <w:color w:val="101828"/>
          <w:sz w:val="22"/>
        </w:rPr>
        <w:t>Deduplication key and expiry time.</w:t>
      </w:r>
    </w:p>
    <w:p>
      <w:pPr>
        <w:pStyle w:val="ListBullet"/>
      </w:pPr>
      <w:r>
        <w:rPr>
          <w:rFonts w:ascii="Calibri" w:hAnsi="Calibri"/>
          <w:color w:val="101828"/>
          <w:sz w:val="22"/>
        </w:rPr>
        <w:t>Decision: alert-only, paper, manual-ready, auto-ready or not-copyable.</w:t>
      </w:r>
    </w:p>
    <w:p>
      <w:pPr>
        <w:pStyle w:val="Heading1"/>
      </w:pPr>
      <w:r>
        <w:t>10  Mint-route adapters</w:t>
      </w:r>
    </w:p>
    <w:p>
      <w:pPr>
        <w:keepNext/>
        <w:spacing w:before="100" w:after="0"/>
        <w:jc w:val="center"/>
      </w:pPr>
      <w:r>
        <w:drawing>
          <wp:inline xmlns:a="http://schemas.openxmlformats.org/drawingml/2006/main" xmlns:pic="http://schemas.openxmlformats.org/drawingml/2006/picture">
            <wp:extent cx="5897880" cy="3211068"/>
            <wp:docPr id="5" name="Picture 5"/>
            <wp:cNvGraphicFramePr>
              <a:graphicFrameLocks noChangeAspect="1"/>
            </wp:cNvGraphicFramePr>
            <a:graphic>
              <a:graphicData uri="http://schemas.openxmlformats.org/drawingml/2006/picture">
                <pic:pic>
                  <pic:nvPicPr>
                    <pic:cNvPr id="0" name="05_copy_decision.png"/>
                    <pic:cNvPicPr/>
                  </pic:nvPicPr>
                  <pic:blipFill>
                    <a:blip r:embed="rId15"/>
                    <a:stretch>
                      <a:fillRect/>
                    </a:stretch>
                  </pic:blipFill>
                  <pic:spPr>
                    <a:xfrm>
                      <a:off x="0" y="0"/>
                      <a:ext cx="5897880" cy="3211068"/>
                    </a:xfrm>
                    <a:prstGeom prst="rect"/>
                  </pic:spPr>
                </pic:pic>
              </a:graphicData>
            </a:graphic>
          </wp:inline>
        </w:drawing>
      </w:r>
    </w:p>
    <w:p>
      <w:pPr>
        <w:pStyle w:val="FigureCaption"/>
      </w:pPr>
      <w:r>
        <w:t>Figure 5. The system copies only recognized, currently eligible public routes.</w:t>
      </w:r>
    </w:p>
    <w:p>
      <w:pPr>
        <w:pStyle w:val="Heading2"/>
      </w:pPr>
      <w:r>
        <w:t>10.1 Adapter contract</w:t>
      </w:r>
    </w:p>
    <w:p>
      <w:pPr>
        <w:pStyle w:val="CodeBlock"/>
        <w:keepLines/>
        <w:shd w:fill="F4F6F9"/>
      </w:pPr>
      <w:r>
        <w:rPr>
          <w:rFonts w:ascii="DejaVu Sans Mono" w:hAnsi="DejaVu Sans Mono"/>
          <w:color w:val="0B2545"/>
          <w:sz w:val="17"/>
        </w:rPr>
        <w:t>class MintAdapter(Protocol):</w:t>
        <w:br/>
        <w:t xml:space="preserve">    name: str</w:t>
        <w:br/>
        <w:t xml:space="preserve">    version: str</w:t>
        <w:br/>
        <w:br/>
        <w:t xml:space="preserve">    async def recognize(self, source_tx, receipt, collection) -&gt; Recognition: ...</w:t>
        <w:br/>
        <w:t xml:space="preserve">    async def inspect_sale(self, collection, wallet) -&gt; SaleState: ...</w:t>
        <w:br/>
        <w:t xml:space="preserve">    async def check_eligibility(self, collection, wallet) -&gt; Eligibility: ...</w:t>
        <w:br/>
        <w:t xml:space="preserve">    async def quote(self, collection, wallet, quantity) -&gt; Quote: ...</w:t>
        <w:br/>
        <w:t xml:space="preserve">    async def build(self, collection, wallet, quantity, quote) -&gt; UnsignedTx: ...</w:t>
        <w:br/>
        <w:t xml:space="preserve">    async def simulate(self, tx) -&gt; SimulationResult: ...</w:t>
      </w:r>
    </w:p>
    <w:p>
      <w:pPr>
        <w:pStyle w:val="Heading2"/>
      </w:pPr>
      <w:r>
        <w:t>10.2 Supported route behaviour</w:t>
      </w:r>
    </w:p>
    <w:tbl>
      <w:tblPr>
        <w:tblStyle w:val="TableGrid"/>
        <w:tblW w:type="dxa" w:w="9360"/>
        <w:jc w:val="left"/>
        <w:tblLayout w:type="fixed"/>
        <w:tblLook w:firstColumn="1" w:firstRow="1" w:lastColumn="0" w:lastRow="0" w:noHBand="0" w:noVBand="1" w:val="04A0"/>
        <w:tblInd w:w="120" w:type="dxa"/>
      </w:tblPr>
      <w:tblGrid>
        <w:gridCol w:w="2350"/>
        <w:gridCol w:w="3500"/>
        <w:gridCol w:w="3510"/>
      </w:tblGrid>
      <w:tr>
        <w:trPr>
          <w:tblHeader w:val="true"/>
        </w:trPr>
        <w:tc>
          <w:tcPr>
            <w:tcW w:type="dxa" w:w="2350"/>
            <w:shd w:fill="E8EEF5"/>
            <w:tcMar>
              <w:top w:w="80" w:type="dxa"/>
              <w:start w:w="120" w:type="dxa"/>
              <w:bottom w:w="80" w:type="dxa"/>
              <w:end w:w="120" w:type="dxa"/>
            </w:tcMar>
            <w:vAlign w:val="center"/>
          </w:tcPr>
          <w:p>
            <w:pPr>
              <w:spacing w:after="0"/>
              <w:jc w:val="left"/>
            </w:pPr>
            <w:r>
              <w:rPr>
                <w:rFonts w:ascii="Calibri" w:hAnsi="Calibri"/>
                <w:b/>
                <w:color w:val="0B2545"/>
                <w:sz w:val="17"/>
              </w:rPr>
              <w:t>Route</w:t>
            </w:r>
          </w:p>
        </w:tc>
        <w:tc>
          <w:tcPr>
            <w:tcW w:type="dxa" w:w="3500"/>
            <w:shd w:fill="E8EEF5"/>
            <w:tcMar>
              <w:top w:w="80" w:type="dxa"/>
              <w:start w:w="120" w:type="dxa"/>
              <w:bottom w:w="80" w:type="dxa"/>
              <w:end w:w="120" w:type="dxa"/>
            </w:tcMar>
            <w:vAlign w:val="center"/>
          </w:tcPr>
          <w:p>
            <w:pPr>
              <w:spacing w:after="0"/>
              <w:jc w:val="left"/>
            </w:pPr>
            <w:r>
              <w:rPr>
                <w:rFonts w:ascii="Calibri" w:hAnsi="Calibri"/>
                <w:b/>
                <w:color w:val="0B2545"/>
                <w:sz w:val="17"/>
              </w:rPr>
              <w:t>Recognition</w:t>
            </w:r>
          </w:p>
        </w:tc>
        <w:tc>
          <w:tcPr>
            <w:tcW w:type="dxa" w:w="3510"/>
            <w:shd w:fill="E8EEF5"/>
            <w:tcMar>
              <w:top w:w="80" w:type="dxa"/>
              <w:start w:w="120" w:type="dxa"/>
              <w:bottom w:w="80" w:type="dxa"/>
              <w:end w:w="120" w:type="dxa"/>
            </w:tcMar>
            <w:vAlign w:val="center"/>
          </w:tcPr>
          <w:p>
            <w:pPr>
              <w:spacing w:after="0"/>
              <w:jc w:val="left"/>
            </w:pPr>
            <w:r>
              <w:rPr>
                <w:rFonts w:ascii="Calibri" w:hAnsi="Calibri"/>
                <w:b/>
                <w:color w:val="0B2545"/>
                <w:sz w:val="17"/>
              </w:rPr>
              <w:t>Execution policy</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Direct public contract</w:t>
            </w:r>
          </w:p>
        </w:tc>
        <w:tc>
          <w:tcPr>
            <w:tcW w:type="dxa" w:w="3500"/>
            <w:tcMar>
              <w:top w:w="80" w:type="dxa"/>
              <w:start w:w="120" w:type="dxa"/>
              <w:bottom w:w="80" w:type="dxa"/>
              <w:end w:w="120" w:type="dxa"/>
            </w:tcMar>
            <w:vAlign w:val="center"/>
          </w:tcPr>
          <w:p>
            <w:pPr>
              <w:spacing w:after="0" w:line="259" w:lineRule="auto"/>
            </w:pPr>
            <w:r>
              <w:rPr>
                <w:rFonts w:ascii="Calibri" w:hAnsi="Calibri"/>
                <w:color w:val="101828"/>
                <w:sz w:val="17"/>
              </w:rPr>
              <w:t>Target contract/function and public sale state</w:t>
            </w:r>
          </w:p>
        </w:tc>
        <w:tc>
          <w:tcPr>
            <w:tcW w:type="dxa" w:w="3510"/>
            <w:tcMar>
              <w:top w:w="80" w:type="dxa"/>
              <w:start w:w="120" w:type="dxa"/>
              <w:bottom w:w="80" w:type="dxa"/>
              <w:end w:w="120" w:type="dxa"/>
            </w:tcMar>
            <w:vAlign w:val="center"/>
          </w:tcPr>
          <w:p>
            <w:pPr>
              <w:spacing w:after="0" w:line="259" w:lineRule="auto"/>
            </w:pPr>
            <w:r>
              <w:rPr>
                <w:rFonts w:ascii="Calibri" w:hAnsi="Calibri"/>
                <w:color w:val="101828"/>
                <w:sz w:val="17"/>
              </w:rPr>
              <w:t>Fresh calldata; current price; quantity and recipient replaced correctly.</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OpenSea SeaDrop public</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color w:val="101828"/>
                <w:sz w:val="17"/>
              </w:rPr>
              <w:t>Known SeaDrop call/events and public drop configuration</w:t>
            </w:r>
          </w:p>
        </w:tc>
        <w:tc>
          <w:tcPr>
            <w:tcW w:type="dxa" w:w="3510"/>
            <w:shd w:fill="FAFBFC"/>
            <w:tcMar>
              <w:top w:w="80" w:type="dxa"/>
              <w:start w:w="120" w:type="dxa"/>
              <w:bottom w:w="80" w:type="dxa"/>
              <w:end w:w="120" w:type="dxa"/>
            </w:tcMar>
            <w:vAlign w:val="center"/>
          </w:tcPr>
          <w:p>
            <w:pPr>
              <w:spacing w:after="0" w:line="259" w:lineRule="auto"/>
            </w:pPr>
            <w:r>
              <w:rPr>
                <w:rFonts w:ascii="Calibri" w:hAnsi="Calibri"/>
                <w:color w:val="101828"/>
                <w:sz w:val="17"/>
              </w:rPr>
              <w:t>Use SeaDrop rules; quote current public price; reject gated phase.</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SeaDrop allowlist/signed/gated</w:t>
            </w:r>
          </w:p>
        </w:tc>
        <w:tc>
          <w:tcPr>
            <w:tcW w:type="dxa" w:w="3500"/>
            <w:tcMar>
              <w:top w:w="80" w:type="dxa"/>
              <w:start w:w="120" w:type="dxa"/>
              <w:bottom w:w="80" w:type="dxa"/>
              <w:end w:w="120" w:type="dxa"/>
            </w:tcMar>
            <w:vAlign w:val="center"/>
          </w:tcPr>
          <w:p>
            <w:pPr>
              <w:spacing w:after="0" w:line="259" w:lineRule="auto"/>
            </w:pPr>
            <w:r>
              <w:rPr>
                <w:rFonts w:ascii="Calibri" w:hAnsi="Calibri"/>
                <w:color w:val="101828"/>
                <w:sz w:val="17"/>
              </w:rPr>
              <w:t>Merkle, server-signed or token-gated phase</w:t>
            </w:r>
          </w:p>
        </w:tc>
        <w:tc>
          <w:tcPr>
            <w:tcW w:type="dxa" w:w="3510"/>
            <w:tcMar>
              <w:top w:w="80" w:type="dxa"/>
              <w:start w:w="120" w:type="dxa"/>
              <w:bottom w:w="80" w:type="dxa"/>
              <w:end w:w="120" w:type="dxa"/>
            </w:tcMar>
            <w:vAlign w:val="center"/>
          </w:tcPr>
          <w:p>
            <w:pPr>
              <w:spacing w:after="0" w:line="259" w:lineRule="auto"/>
            </w:pPr>
            <w:r>
              <w:rPr>
                <w:rFonts w:ascii="Calibri" w:hAnsi="Calibri"/>
                <w:color w:val="101828"/>
                <w:sz w:val="17"/>
              </w:rPr>
              <w:t>Not copyable unless the execution wallet independently has valid eligibility.</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Known launchpad</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color w:val="101828"/>
                <w:sz w:val="17"/>
              </w:rPr>
              <w:t>Versioned contract addresses, selectors and events</w:t>
            </w:r>
          </w:p>
        </w:tc>
        <w:tc>
          <w:tcPr>
            <w:tcW w:type="dxa" w:w="3510"/>
            <w:shd w:fill="FAFBFC"/>
            <w:tcMar>
              <w:top w:w="80" w:type="dxa"/>
              <w:start w:w="120" w:type="dxa"/>
              <w:bottom w:w="80" w:type="dxa"/>
              <w:end w:w="120" w:type="dxa"/>
            </w:tcMar>
            <w:vAlign w:val="center"/>
          </w:tcPr>
          <w:p>
            <w:pPr>
              <w:spacing w:after="0" w:line="259" w:lineRule="auto"/>
            </w:pPr>
            <w:r>
              <w:rPr>
                <w:rFonts w:ascii="Calibri" w:hAnsi="Calibri"/>
                <w:color w:val="101828"/>
                <w:sz w:val="17"/>
              </w:rPr>
              <w:t>Only after fixture, fork and negative eligibility tests pass.</w:t>
            </w:r>
          </w:p>
        </w:tc>
      </w:tr>
      <w:tr>
        <w:tc>
          <w:tcPr>
            <w:tcW w:type="dxa" w:w="2350"/>
            <w:tcMar>
              <w:top w:w="80" w:type="dxa"/>
              <w:start w:w="120" w:type="dxa"/>
              <w:bottom w:w="80" w:type="dxa"/>
              <w:end w:w="120" w:type="dxa"/>
            </w:tcMar>
            <w:vAlign w:val="center"/>
          </w:tcPr>
          <w:p>
            <w:pPr>
              <w:spacing w:after="0" w:line="259" w:lineRule="auto"/>
            </w:pPr>
            <w:r>
              <w:rPr>
                <w:rFonts w:ascii="Calibri" w:hAnsi="Calibri"/>
                <w:color w:val="101828"/>
                <w:sz w:val="17"/>
              </w:rPr>
              <w:t>Seaport purchase</w:t>
            </w:r>
          </w:p>
        </w:tc>
        <w:tc>
          <w:tcPr>
            <w:tcW w:type="dxa" w:w="3500"/>
            <w:tcMar>
              <w:top w:w="80" w:type="dxa"/>
              <w:start w:w="120" w:type="dxa"/>
              <w:bottom w:w="80" w:type="dxa"/>
              <w:end w:w="120" w:type="dxa"/>
            </w:tcMar>
            <w:vAlign w:val="center"/>
          </w:tcPr>
          <w:p>
            <w:pPr>
              <w:spacing w:after="0" w:line="259" w:lineRule="auto"/>
            </w:pPr>
            <w:r>
              <w:rPr>
                <w:rFonts w:ascii="Calibri" w:hAnsi="Calibri"/>
                <w:color w:val="101828"/>
                <w:sz w:val="17"/>
              </w:rPr>
              <w:t>Marketplace order fulfilment</w:t>
            </w:r>
          </w:p>
        </w:tc>
        <w:tc>
          <w:tcPr>
            <w:tcW w:type="dxa" w:w="3510"/>
            <w:tcMar>
              <w:top w:w="80" w:type="dxa"/>
              <w:start w:w="120" w:type="dxa"/>
              <w:bottom w:w="80" w:type="dxa"/>
              <w:end w:w="120" w:type="dxa"/>
            </w:tcMar>
            <w:vAlign w:val="center"/>
          </w:tcPr>
          <w:p>
            <w:pPr>
              <w:spacing w:after="0" w:line="259" w:lineRule="auto"/>
            </w:pPr>
            <w:r>
              <w:rPr>
                <w:rFonts w:ascii="Calibri" w:hAnsi="Calibri"/>
                <w:color w:val="101828"/>
                <w:sz w:val="17"/>
              </w:rPr>
              <w:t>Classify as marketplace activity; not a normal copy-mint in v1.</w:t>
            </w:r>
          </w:p>
        </w:tc>
      </w:tr>
      <w:tr>
        <w:tc>
          <w:tcPr>
            <w:tcW w:type="dxa" w:w="2350"/>
            <w:shd w:fill="FAFBFC"/>
            <w:tcMar>
              <w:top w:w="80" w:type="dxa"/>
              <w:start w:w="120" w:type="dxa"/>
              <w:bottom w:w="80" w:type="dxa"/>
              <w:end w:w="120" w:type="dxa"/>
            </w:tcMar>
            <w:vAlign w:val="center"/>
          </w:tcPr>
          <w:p>
            <w:pPr>
              <w:spacing w:after="0" w:line="259" w:lineRule="auto"/>
            </w:pPr>
            <w:r>
              <w:rPr>
                <w:rFonts w:ascii="Calibri" w:hAnsi="Calibri"/>
                <w:color w:val="101828"/>
                <w:sz w:val="17"/>
              </w:rPr>
              <w:t>Unknown/custom</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color w:val="101828"/>
                <w:sz w:val="17"/>
              </w:rPr>
              <w:t>Unrecognized router or method</w:t>
            </w:r>
          </w:p>
        </w:tc>
        <w:tc>
          <w:tcPr>
            <w:tcW w:type="dxa" w:w="3510"/>
            <w:shd w:fill="FAFBFC"/>
            <w:tcMar>
              <w:top w:w="80" w:type="dxa"/>
              <w:start w:w="120" w:type="dxa"/>
              <w:bottom w:w="80" w:type="dxa"/>
              <w:end w:w="120" w:type="dxa"/>
            </w:tcMar>
            <w:vAlign w:val="center"/>
          </w:tcPr>
          <w:p>
            <w:pPr>
              <w:spacing w:after="0" w:line="259" w:lineRule="auto"/>
            </w:pPr>
            <w:r>
              <w:rPr>
                <w:rFonts w:ascii="Calibri" w:hAnsi="Calibri"/>
                <w:color w:val="101828"/>
                <w:sz w:val="17"/>
              </w:rPr>
              <w:t>Alert and preserve evidence; no automatic signing.</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CRITICAL RULE: </w:t>
            </w:r>
            <w:r>
              <w:rPr>
                <w:rFonts w:ascii="Calibri" w:hAnsi="Calibri"/>
                <w:color w:val="101828"/>
                <w:sz w:val="21"/>
              </w:rPr>
              <w:t>Never reuse another wallet's proof, signature, nonce, recipient-bound voucher or raw calldata. The adapter must construct a new transaction from current on-chain state.</w:t>
            </w:r>
          </w:p>
        </w:tc>
      </w:tr>
    </w:tbl>
    <w:p>
      <w:pPr>
        <w:spacing w:after="20"/>
      </w:pPr>
    </w:p>
    <w:p>
      <w:pPr>
        <w:pStyle w:val="Heading1"/>
      </w:pPr>
      <w:r>
        <w:t>11  Copy execution engine</w:t>
      </w:r>
    </w:p>
    <w:p>
      <w:pPr>
        <w:pStyle w:val="Heading2"/>
      </w:pPr>
      <w:r>
        <w:t>11.1 Pre-signing sequence</w:t>
      </w:r>
    </w:p>
    <w:p>
      <w:pPr>
        <w:spacing w:after="80" w:line="300" w:lineRule="auto"/>
        <w:ind w:left="540" w:hanging="271"/>
        <w:numPr>
          <w:ilvl w:val="0"/>
          <w:numId w:val="14"/>
        </w:numPr>
      </w:pPr>
      <w:r>
        <w:rPr>
          <w:rFonts w:ascii="Calibri" w:hAnsi="Calibri"/>
          <w:color w:val="101828"/>
          <w:sz w:val="22"/>
        </w:rPr>
        <w:t>Load immutable opportunity and selected strategy version.</w:t>
      </w:r>
    </w:p>
    <w:p>
      <w:pPr>
        <w:spacing w:after="80" w:line="300" w:lineRule="auto"/>
        <w:ind w:left="540" w:hanging="271"/>
        <w:numPr>
          <w:ilvl w:val="0"/>
          <w:numId w:val="14"/>
        </w:numPr>
      </w:pPr>
      <w:r>
        <w:rPr>
          <w:rFonts w:ascii="Calibri" w:hAnsi="Calibri"/>
          <w:color w:val="101828"/>
          <w:sz w:val="22"/>
        </w:rPr>
        <w:t>Select one eligible execution wallet using the configured policy.</w:t>
      </w:r>
    </w:p>
    <w:p>
      <w:pPr>
        <w:spacing w:after="80" w:line="300" w:lineRule="auto"/>
        <w:ind w:left="540" w:hanging="271"/>
        <w:numPr>
          <w:ilvl w:val="0"/>
          <w:numId w:val="14"/>
        </w:numPr>
      </w:pPr>
      <w:r>
        <w:rPr>
          <w:rFonts w:ascii="Calibri" w:hAnsi="Calibri"/>
          <w:color w:val="101828"/>
          <w:sz w:val="22"/>
        </w:rPr>
        <w:t>Re-read sale state, supply, wallet limit, price and payment token.</w:t>
      </w:r>
    </w:p>
    <w:p>
      <w:pPr>
        <w:spacing w:after="80" w:line="300" w:lineRule="auto"/>
        <w:ind w:left="540" w:hanging="271"/>
        <w:numPr>
          <w:ilvl w:val="0"/>
          <w:numId w:val="14"/>
        </w:numPr>
      </w:pPr>
      <w:r>
        <w:rPr>
          <w:rFonts w:ascii="Calibri" w:hAnsi="Calibri"/>
          <w:color w:val="101828"/>
          <w:sz w:val="22"/>
        </w:rPr>
        <w:t>Build a fresh transaction with the controlled recipient and quantity.</w:t>
      </w:r>
    </w:p>
    <w:p>
      <w:pPr>
        <w:spacing w:after="80" w:line="300" w:lineRule="auto"/>
        <w:ind w:left="540" w:hanging="271"/>
        <w:numPr>
          <w:ilvl w:val="0"/>
          <w:numId w:val="14"/>
        </w:numPr>
      </w:pPr>
      <w:r>
        <w:rPr>
          <w:rFonts w:ascii="Calibri" w:hAnsi="Calibri"/>
          <w:color w:val="101828"/>
          <w:sz w:val="22"/>
        </w:rPr>
        <w:t>Calculate native value, token approvals, gas estimate and total worst-case cost.</w:t>
      </w:r>
    </w:p>
    <w:p>
      <w:pPr>
        <w:spacing w:after="80" w:line="300" w:lineRule="auto"/>
        <w:ind w:left="540" w:hanging="271"/>
        <w:numPr>
          <w:ilvl w:val="0"/>
          <w:numId w:val="14"/>
        </w:numPr>
      </w:pPr>
      <w:r>
        <w:rPr>
          <w:rFonts w:ascii="Calibri" w:hAnsi="Calibri"/>
          <w:color w:val="101828"/>
          <w:sz w:val="22"/>
        </w:rPr>
        <w:t>Simulate against the latest block and parse expected NFT mint events.</w:t>
      </w:r>
    </w:p>
    <w:p>
      <w:pPr>
        <w:spacing w:after="80" w:line="300" w:lineRule="auto"/>
        <w:ind w:left="540" w:hanging="271"/>
        <w:numPr>
          <w:ilvl w:val="0"/>
          <w:numId w:val="14"/>
        </w:numPr>
      </w:pPr>
      <w:r>
        <w:rPr>
          <w:rFonts w:ascii="Calibri" w:hAnsi="Calibri"/>
          <w:color w:val="101828"/>
          <w:sz w:val="22"/>
        </w:rPr>
        <w:t>Enforce chain, route, confidence, quantity, per-mint, daily spend, gas and approval policies.</w:t>
      </w:r>
    </w:p>
    <w:p>
      <w:pPr>
        <w:spacing w:after="80" w:line="300" w:lineRule="auto"/>
        <w:ind w:left="540" w:hanging="271"/>
        <w:numPr>
          <w:ilvl w:val="0"/>
          <w:numId w:val="14"/>
        </w:numPr>
      </w:pPr>
      <w:r>
        <w:rPr>
          <w:rFonts w:ascii="Calibri" w:hAnsi="Calibri"/>
          <w:color w:val="101828"/>
          <w:sz w:val="22"/>
        </w:rPr>
        <w:t>Acquire a database/Redis nonce lock for the selected wallet.</w:t>
      </w:r>
    </w:p>
    <w:p>
      <w:pPr>
        <w:spacing w:after="80" w:line="300" w:lineRule="auto"/>
        <w:ind w:left="540" w:hanging="271"/>
        <w:numPr>
          <w:ilvl w:val="0"/>
          <w:numId w:val="14"/>
        </w:numPr>
      </w:pPr>
      <w:r>
        <w:rPr>
          <w:rFonts w:ascii="Calibri" w:hAnsi="Calibri"/>
          <w:color w:val="101828"/>
          <w:sz w:val="22"/>
        </w:rPr>
        <w:t>Request manual approval or verify that auto authority is valid and unexpired.</w:t>
      </w:r>
    </w:p>
    <w:p>
      <w:pPr>
        <w:spacing w:after="80" w:line="300" w:lineRule="auto"/>
        <w:ind w:left="540" w:hanging="271"/>
        <w:numPr>
          <w:ilvl w:val="0"/>
          <w:numId w:val="14"/>
        </w:numPr>
      </w:pPr>
      <w:r>
        <w:rPr>
          <w:rFonts w:ascii="Calibri" w:hAnsi="Calibri"/>
          <w:color w:val="101828"/>
          <w:sz w:val="22"/>
        </w:rPr>
        <w:t>Send the exact typed plan to the signer; broadcast and monitor.</w:t>
      </w:r>
    </w:p>
    <w:p>
      <w:pPr>
        <w:pStyle w:val="Heading2"/>
      </w:pPr>
      <w:r>
        <w:t>11.2 Mandatory policy fields</w:t>
      </w:r>
    </w:p>
    <w:tbl>
      <w:tblPr>
        <w:tblStyle w:val="TableGrid"/>
        <w:tblW w:type="dxa" w:w="9360"/>
        <w:jc w:val="left"/>
        <w:tblLayout w:type="fixed"/>
        <w:tblLook w:firstColumn="1" w:firstRow="1" w:lastColumn="0" w:lastRow="0" w:noHBand="0" w:noVBand="1" w:val="04A0"/>
        <w:tblInd w:w="120" w:type="dxa"/>
      </w:tblPr>
      <w:tblGrid>
        <w:gridCol w:w="2550"/>
        <w:gridCol w:w="3850"/>
        <w:gridCol w:w="2960"/>
      </w:tblGrid>
      <w:tr>
        <w:trPr>
          <w:tblHeader w:val="true"/>
        </w:trPr>
        <w:tc>
          <w:tcPr>
            <w:tcW w:type="dxa" w:w="2550"/>
            <w:shd w:fill="E8EEF5"/>
            <w:tcMar>
              <w:top w:w="80" w:type="dxa"/>
              <w:start w:w="120" w:type="dxa"/>
              <w:bottom w:w="80" w:type="dxa"/>
              <w:end w:w="120" w:type="dxa"/>
            </w:tcMar>
            <w:vAlign w:val="center"/>
          </w:tcPr>
          <w:p>
            <w:pPr>
              <w:spacing w:after="0"/>
              <w:jc w:val="left"/>
            </w:pPr>
            <w:r>
              <w:rPr>
                <w:rFonts w:ascii="Calibri" w:hAnsi="Calibri"/>
                <w:b/>
                <w:color w:val="0B2545"/>
                <w:sz w:val="17"/>
              </w:rPr>
              <w:t>Field</w:t>
            </w:r>
          </w:p>
        </w:tc>
        <w:tc>
          <w:tcPr>
            <w:tcW w:type="dxa" w:w="3850"/>
            <w:shd w:fill="E8EEF5"/>
            <w:tcMar>
              <w:top w:w="80" w:type="dxa"/>
              <w:start w:w="120" w:type="dxa"/>
              <w:bottom w:w="80" w:type="dxa"/>
              <w:end w:w="120" w:type="dxa"/>
            </w:tcMar>
            <w:vAlign w:val="center"/>
          </w:tcPr>
          <w:p>
            <w:pPr>
              <w:spacing w:after="0"/>
              <w:jc w:val="left"/>
            </w:pPr>
            <w:r>
              <w:rPr>
                <w:rFonts w:ascii="Calibri" w:hAnsi="Calibri"/>
                <w:b/>
                <w:color w:val="0B2545"/>
                <w:sz w:val="17"/>
              </w:rPr>
              <w:t>Meaning</w:t>
            </w:r>
          </w:p>
        </w:tc>
        <w:tc>
          <w:tcPr>
            <w:tcW w:type="dxa" w:w="2960"/>
            <w:shd w:fill="E8EEF5"/>
            <w:tcMar>
              <w:top w:w="80" w:type="dxa"/>
              <w:start w:w="120" w:type="dxa"/>
              <w:bottom w:w="80" w:type="dxa"/>
              <w:end w:w="120" w:type="dxa"/>
            </w:tcMar>
            <w:vAlign w:val="center"/>
          </w:tcPr>
          <w:p>
            <w:pPr>
              <w:spacing w:after="0"/>
              <w:jc w:val="left"/>
            </w:pPr>
            <w:r>
              <w:rPr>
                <w:rFonts w:ascii="Calibri" w:hAnsi="Calibri"/>
                <w:b/>
                <w:color w:val="0B2545"/>
                <w:sz w:val="17"/>
              </w:rPr>
              <w:t>Safe starting position</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mode</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alert | paper | manual | auto</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alert</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allowed_chain_ids</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Explicit chain list</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Required</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allowed_routes</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Adapter allowlist</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direct_public, seadrop_public</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minimum_support</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Tracked wallet collection count</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2</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minimum_identity_confidence</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0-100</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85</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quantity_per_mint</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Maximum NFT quantity</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1</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max_mint_price</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Native/token-denominated cap</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Owner must set</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max_gas_cost</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Maximum gas fee</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Owner must set</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max_total_cost</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Value + payment + gas</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Owner must set</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daily_spend_limit</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All successful and pending attempts</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Owner must set</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max_attempts_per_collection</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Across all wallets</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1</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quote_tolerance</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Allowed price drift before rebuild</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0 unless approved</w:t>
            </w:r>
          </w:p>
        </w:tc>
      </w:tr>
      <w:tr>
        <w:tc>
          <w:tcPr>
            <w:tcW w:type="dxa" w:w="2550"/>
            <w:tcMar>
              <w:top w:w="80" w:type="dxa"/>
              <w:start w:w="120" w:type="dxa"/>
              <w:bottom w:w="80" w:type="dxa"/>
              <w:end w:w="120" w:type="dxa"/>
            </w:tcMar>
            <w:vAlign w:val="center"/>
          </w:tcPr>
          <w:p>
            <w:pPr>
              <w:spacing w:after="0" w:line="259" w:lineRule="auto"/>
            </w:pPr>
            <w:r>
              <w:rPr>
                <w:rFonts w:ascii="Calibri" w:hAnsi="Calibri"/>
                <w:color w:val="101828"/>
                <w:sz w:val="17"/>
              </w:rPr>
              <w:t>approval_ttl_seconds</w:t>
            </w:r>
          </w:p>
        </w:tc>
        <w:tc>
          <w:tcPr>
            <w:tcW w:type="dxa" w:w="3850"/>
            <w:tcMar>
              <w:top w:w="80" w:type="dxa"/>
              <w:start w:w="120" w:type="dxa"/>
              <w:bottom w:w="80" w:type="dxa"/>
              <w:end w:w="120" w:type="dxa"/>
            </w:tcMar>
            <w:vAlign w:val="center"/>
          </w:tcPr>
          <w:p>
            <w:pPr>
              <w:spacing w:after="0" w:line="259" w:lineRule="auto"/>
            </w:pPr>
            <w:r>
              <w:rPr>
                <w:rFonts w:ascii="Calibri" w:hAnsi="Calibri"/>
                <w:color w:val="101828"/>
                <w:sz w:val="17"/>
              </w:rPr>
              <w:t>Manual confirmation validity</w:t>
            </w:r>
          </w:p>
        </w:tc>
        <w:tc>
          <w:tcPr>
            <w:tcW w:type="dxa" w:w="2960"/>
            <w:tcMar>
              <w:top w:w="80" w:type="dxa"/>
              <w:start w:w="120" w:type="dxa"/>
              <w:bottom w:w="80" w:type="dxa"/>
              <w:end w:w="120" w:type="dxa"/>
            </w:tcMar>
            <w:vAlign w:val="center"/>
          </w:tcPr>
          <w:p>
            <w:pPr>
              <w:spacing w:after="0" w:line="259" w:lineRule="auto"/>
            </w:pPr>
            <w:r>
              <w:rPr>
                <w:rFonts w:ascii="Calibri" w:hAnsi="Calibri"/>
                <w:color w:val="101828"/>
                <w:sz w:val="17"/>
              </w:rPr>
              <w:t>60-120</w:t>
            </w:r>
          </w:p>
        </w:tc>
      </w:tr>
      <w:tr>
        <w:tc>
          <w:tcPr>
            <w:tcW w:type="dxa" w:w="2550"/>
            <w:shd w:fill="FAFBFC"/>
            <w:tcMar>
              <w:top w:w="80" w:type="dxa"/>
              <w:start w:w="120" w:type="dxa"/>
              <w:bottom w:w="80" w:type="dxa"/>
              <w:end w:w="120" w:type="dxa"/>
            </w:tcMar>
            <w:vAlign w:val="center"/>
          </w:tcPr>
          <w:p>
            <w:pPr>
              <w:spacing w:after="0" w:line="259" w:lineRule="auto"/>
            </w:pPr>
            <w:r>
              <w:rPr>
                <w:rFonts w:ascii="Calibri" w:hAnsi="Calibri"/>
                <w:color w:val="101828"/>
                <w:sz w:val="17"/>
              </w:rPr>
              <w:t>auto_authority_ttl</w:t>
            </w:r>
          </w:p>
        </w:tc>
        <w:tc>
          <w:tcPr>
            <w:tcW w:type="dxa" w:w="3850"/>
            <w:shd w:fill="FAFBFC"/>
            <w:tcMar>
              <w:top w:w="80" w:type="dxa"/>
              <w:start w:w="120" w:type="dxa"/>
              <w:bottom w:w="80" w:type="dxa"/>
              <w:end w:w="120" w:type="dxa"/>
            </w:tcMar>
            <w:vAlign w:val="center"/>
          </w:tcPr>
          <w:p>
            <w:pPr>
              <w:spacing w:after="0" w:line="259" w:lineRule="auto"/>
            </w:pPr>
            <w:r>
              <w:rPr>
                <w:rFonts w:ascii="Calibri" w:hAnsi="Calibri"/>
                <w:color w:val="101828"/>
                <w:sz w:val="17"/>
              </w:rPr>
              <w:t>How long unattended mode remains enabled</w:t>
            </w:r>
          </w:p>
        </w:tc>
        <w:tc>
          <w:tcPr>
            <w:tcW w:type="dxa" w:w="2960"/>
            <w:shd w:fill="FAFBFC"/>
            <w:tcMar>
              <w:top w:w="80" w:type="dxa"/>
              <w:start w:w="120" w:type="dxa"/>
              <w:bottom w:w="80" w:type="dxa"/>
              <w:end w:w="120" w:type="dxa"/>
            </w:tcMar>
            <w:vAlign w:val="center"/>
          </w:tcPr>
          <w:p>
            <w:pPr>
              <w:spacing w:after="0" w:line="259" w:lineRule="auto"/>
            </w:pPr>
            <w:r>
              <w:rPr>
                <w:rFonts w:ascii="Calibri" w:hAnsi="Calibri"/>
                <w:color w:val="101828"/>
                <w:sz w:val="17"/>
              </w:rPr>
              <w:t>Short and explicit</w:t>
            </w:r>
          </w:p>
        </w:tc>
      </w:tr>
    </w:tbl>
    <w:p>
      <w:pPr>
        <w:spacing w:after="20"/>
      </w:pPr>
    </w:p>
    <w:p>
      <w:pPr>
        <w:pStyle w:val="Heading2"/>
      </w:pPr>
      <w:r>
        <w:t>11.3 Transaction state machine</w:t>
      </w:r>
    </w:p>
    <w:p>
      <w:pPr>
        <w:keepNext/>
        <w:spacing w:before="100" w:after="0"/>
        <w:jc w:val="center"/>
      </w:pPr>
      <w:r>
        <w:drawing>
          <wp:inline xmlns:a="http://schemas.openxmlformats.org/drawingml/2006/main" xmlns:pic="http://schemas.openxmlformats.org/drawingml/2006/picture">
            <wp:extent cx="5897880" cy="3211068"/>
            <wp:docPr id="6" name="Picture 6"/>
            <wp:cNvGraphicFramePr>
              <a:graphicFrameLocks noChangeAspect="1"/>
            </wp:cNvGraphicFramePr>
            <a:graphic>
              <a:graphicData uri="http://schemas.openxmlformats.org/drawingml/2006/picture">
                <pic:pic>
                  <pic:nvPicPr>
                    <pic:cNvPr id="0" name="06_tx_lifecycle.png"/>
                    <pic:cNvPicPr/>
                  </pic:nvPicPr>
                  <pic:blipFill>
                    <a:blip r:embed="rId16"/>
                    <a:stretch>
                      <a:fillRect/>
                    </a:stretch>
                  </pic:blipFill>
                  <pic:spPr>
                    <a:xfrm>
                      <a:off x="0" y="0"/>
                      <a:ext cx="5897880" cy="3211068"/>
                    </a:xfrm>
                    <a:prstGeom prst="rect"/>
                  </pic:spPr>
                </pic:pic>
              </a:graphicData>
            </a:graphic>
          </wp:inline>
        </w:drawing>
      </w:r>
    </w:p>
    <w:p>
      <w:pPr>
        <w:pStyle w:val="FigureCaption"/>
      </w:pPr>
      <w:r>
        <w:t>Figure 6. Each execution attempt is auditable through success, failure and recovery states.</w:t>
      </w:r>
    </w:p>
    <w:p>
      <w:r>
        <w:rPr>
          <w:rFonts w:ascii="Calibri" w:hAnsi="Calibri"/>
          <w:i w:val="0"/>
          <w:color w:val="101828"/>
          <w:sz w:val="22"/>
        </w:rPr>
        <w:t>Transitions must be append-only audit events. A worker retry may resume an existing attempt but must not create a second broadcast unless the replacement policy explicitly authorizes it.</w:t>
      </w:r>
    </w:p>
    <w:p>
      <w:pPr>
        <w:pStyle w:val="Heading2"/>
      </w:pPr>
      <w:r>
        <w:t>11.4 Nonce management</w:t>
      </w:r>
    </w:p>
    <w:p>
      <w:pPr>
        <w:pStyle w:val="ListBullet"/>
      </w:pPr>
      <w:r>
        <w:rPr>
          <w:rFonts w:ascii="Calibri" w:hAnsi="Calibri"/>
          <w:color w:val="101828"/>
          <w:sz w:val="22"/>
        </w:rPr>
        <w:t>One lock namespace per chain and execution-wallet address.</w:t>
      </w:r>
    </w:p>
    <w:p>
      <w:pPr>
        <w:pStyle w:val="ListBullet"/>
      </w:pPr>
      <w:r>
        <w:rPr>
          <w:rFonts w:ascii="Calibri" w:hAnsi="Calibri"/>
          <w:color w:val="101828"/>
          <w:sz w:val="22"/>
        </w:rPr>
        <w:t>Read pending nonce while holding the lock; reserve nonce in the database before signing.</w:t>
      </w:r>
    </w:p>
    <w:p>
      <w:pPr>
        <w:pStyle w:val="ListBullet"/>
      </w:pPr>
      <w:r>
        <w:rPr>
          <w:rFonts w:ascii="Calibri" w:hAnsi="Calibri"/>
          <w:color w:val="101828"/>
          <w:sz w:val="22"/>
        </w:rPr>
        <w:t>Reconcile reserved, broadcast, pending and confirmed nonces after restart.</w:t>
      </w:r>
    </w:p>
    <w:p>
      <w:pPr>
        <w:pStyle w:val="ListBullet"/>
      </w:pPr>
      <w:r>
        <w:rPr>
          <w:rFonts w:ascii="Calibri" w:hAnsi="Calibri"/>
          <w:color w:val="101828"/>
          <w:sz w:val="22"/>
        </w:rPr>
        <w:t>A replacement transaction uses the same nonce and a recorded fee-bump policy.</w:t>
      </w:r>
    </w:p>
    <w:p>
      <w:pPr>
        <w:pStyle w:val="ListBullet"/>
      </w:pPr>
      <w:r>
        <w:rPr>
          <w:rFonts w:ascii="Calibri" w:hAnsi="Calibri"/>
          <w:color w:val="101828"/>
          <w:sz w:val="22"/>
        </w:rPr>
        <w:t>Manual transactions made outside the bot trigger reconciliation and may pause automation.</w:t>
      </w:r>
    </w:p>
    <w:p>
      <w:pPr>
        <w:pStyle w:val="Heading1"/>
      </w:pPr>
      <w:r>
        <w:t>12  Wallet and key management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BOUNDARY: </w:t>
            </w:r>
            <w:r>
              <w:rPr>
                <w:rFonts w:ascii="Calibri" w:hAnsi="Calibri"/>
                <w:color w:val="101828"/>
                <w:sz w:val="21"/>
              </w:rPr>
              <w:t>The bot may request wallet creation, display addresses and select wallets. Only the signer creates or accesses private key material.</w:t>
            </w:r>
          </w:p>
        </w:tc>
      </w:tr>
    </w:tbl>
    <w:p>
      <w:pPr>
        <w:spacing w:after="20"/>
      </w:pPr>
    </w:p>
    <w:p>
      <w:pPr>
        <w:pStyle w:val="Heading2"/>
      </w:pPr>
      <w:r>
        <w:t>12.1 Wallet creation</w:t>
      </w:r>
    </w:p>
    <w:p>
      <w:pPr>
        <w:spacing w:after="80" w:line="300" w:lineRule="auto"/>
        <w:ind w:left="540" w:hanging="271"/>
        <w:numPr>
          <w:ilvl w:val="0"/>
          <w:numId w:val="15"/>
        </w:numPr>
      </w:pPr>
      <w:r>
        <w:rPr>
          <w:rFonts w:ascii="Calibri" w:hAnsi="Calibri"/>
          <w:color w:val="101828"/>
          <w:sz w:val="22"/>
        </w:rPr>
        <w:t>Owner requests a count and chain scope from a private Telegram chat.</w:t>
      </w:r>
    </w:p>
    <w:p>
      <w:pPr>
        <w:spacing w:after="80" w:line="300" w:lineRule="auto"/>
        <w:ind w:left="540" w:hanging="271"/>
        <w:numPr>
          <w:ilvl w:val="0"/>
          <w:numId w:val="15"/>
        </w:numPr>
      </w:pPr>
      <w:r>
        <w:rPr>
          <w:rFonts w:ascii="Calibri" w:hAnsi="Calibri"/>
          <w:color w:val="101828"/>
          <w:sz w:val="22"/>
        </w:rPr>
        <w:t>Bot creates an expiring confirmation challenge containing only public configuration.</w:t>
      </w:r>
    </w:p>
    <w:p>
      <w:pPr>
        <w:spacing w:after="80" w:line="300" w:lineRule="auto"/>
        <w:ind w:left="540" w:hanging="271"/>
        <w:numPr>
          <w:ilvl w:val="0"/>
          <w:numId w:val="15"/>
        </w:numPr>
      </w:pPr>
      <w:r>
        <w:rPr>
          <w:rFonts w:ascii="Calibri" w:hAnsi="Calibri"/>
          <w:color w:val="101828"/>
          <w:sz w:val="22"/>
        </w:rPr>
        <w:t>Signer creates keys or derives approved child accounts inside its protected boundary.</w:t>
      </w:r>
    </w:p>
    <w:p>
      <w:pPr>
        <w:spacing w:after="80" w:line="300" w:lineRule="auto"/>
        <w:ind w:left="540" w:hanging="271"/>
        <w:numPr>
          <w:ilvl w:val="0"/>
          <w:numId w:val="15"/>
        </w:numPr>
      </w:pPr>
      <w:r>
        <w:rPr>
          <w:rFonts w:ascii="Calibri" w:hAnsi="Calibri"/>
          <w:color w:val="101828"/>
          <w:sz w:val="22"/>
        </w:rPr>
        <w:t>Signer stores encrypted material and returns address plus opaque signer_key_id.</w:t>
      </w:r>
    </w:p>
    <w:p>
      <w:pPr>
        <w:spacing w:after="80" w:line="300" w:lineRule="auto"/>
        <w:ind w:left="540" w:hanging="271"/>
        <w:numPr>
          <w:ilvl w:val="0"/>
          <w:numId w:val="15"/>
        </w:numPr>
      </w:pPr>
      <w:r>
        <w:rPr>
          <w:rFonts w:ascii="Calibri" w:hAnsi="Calibri"/>
          <w:color w:val="101828"/>
          <w:sz w:val="22"/>
        </w:rPr>
        <w:t>Application stores address, status, labels and signer reference; never raw key data.</w:t>
      </w:r>
    </w:p>
    <w:p>
      <w:pPr>
        <w:spacing w:after="80" w:line="300" w:lineRule="auto"/>
        <w:ind w:left="540" w:hanging="271"/>
        <w:numPr>
          <w:ilvl w:val="0"/>
          <w:numId w:val="15"/>
        </w:numPr>
      </w:pPr>
      <w:r>
        <w:rPr>
          <w:rFonts w:ascii="Calibri" w:hAnsi="Calibri"/>
          <w:color w:val="101828"/>
          <w:sz w:val="22"/>
        </w:rPr>
        <w:t>Recovery material is handled out of band and never sent through Telegram.</w:t>
      </w:r>
    </w:p>
    <w:p>
      <w:pPr>
        <w:pStyle w:val="Heading2"/>
      </w:pPr>
      <w:r>
        <w:t>12.2 Wallet selection policies</w:t>
      </w:r>
    </w:p>
    <w:tbl>
      <w:tblPr>
        <w:tblStyle w:val="TableGrid"/>
        <w:tblW w:type="dxa" w:w="9360"/>
        <w:jc w:val="left"/>
        <w:tblLayout w:type="fixed"/>
        <w:tblLook w:firstColumn="1" w:firstRow="1" w:lastColumn="0" w:lastRow="0" w:noHBand="0" w:noVBand="1" w:val="04A0"/>
        <w:tblInd w:w="120" w:type="dxa"/>
      </w:tblPr>
      <w:tblGrid>
        <w:gridCol w:w="1900"/>
        <w:gridCol w:w="4800"/>
        <w:gridCol w:w="2660"/>
      </w:tblGrid>
      <w:tr>
        <w:trPr>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0B2545"/>
                <w:sz w:val="17"/>
              </w:rPr>
              <w:t>Policy</w:t>
            </w:r>
          </w:p>
        </w:tc>
        <w:tc>
          <w:tcPr>
            <w:tcW w:type="dxa" w:w="4800"/>
            <w:shd w:fill="E8EEF5"/>
            <w:tcMar>
              <w:top w:w="80" w:type="dxa"/>
              <w:start w:w="120" w:type="dxa"/>
              <w:bottom w:w="80" w:type="dxa"/>
              <w:end w:w="120" w:type="dxa"/>
            </w:tcMar>
            <w:vAlign w:val="center"/>
          </w:tcPr>
          <w:p>
            <w:pPr>
              <w:spacing w:after="0"/>
              <w:jc w:val="left"/>
            </w:pPr>
            <w:r>
              <w:rPr>
                <w:rFonts w:ascii="Calibri" w:hAnsi="Calibri"/>
                <w:b/>
                <w:color w:val="0B2545"/>
                <w:sz w:val="17"/>
              </w:rPr>
              <w:t>Behaviour</w:t>
            </w:r>
          </w:p>
        </w:tc>
        <w:tc>
          <w:tcPr>
            <w:tcW w:type="dxa" w:w="2660"/>
            <w:shd w:fill="E8EEF5"/>
            <w:tcMar>
              <w:top w:w="80" w:type="dxa"/>
              <w:start w:w="120" w:type="dxa"/>
              <w:bottom w:w="80" w:type="dxa"/>
              <w:end w:w="120" w:type="dxa"/>
            </w:tcMar>
            <w:vAlign w:val="center"/>
          </w:tcPr>
          <w:p>
            <w:pPr>
              <w:spacing w:after="0"/>
              <w:jc w:val="left"/>
            </w:pPr>
            <w:r>
              <w:rPr>
                <w:rFonts w:ascii="Calibri" w:hAnsi="Calibri"/>
                <w:b/>
                <w:color w:val="0B2545"/>
                <w:sz w:val="17"/>
              </w:rPr>
              <w:t>Default</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single</w:t>
            </w:r>
          </w:p>
        </w:tc>
        <w:tc>
          <w:tcPr>
            <w:tcW w:type="dxa" w:w="4800"/>
            <w:tcMar>
              <w:top w:w="80" w:type="dxa"/>
              <w:start w:w="120" w:type="dxa"/>
              <w:bottom w:w="80" w:type="dxa"/>
              <w:end w:w="120" w:type="dxa"/>
            </w:tcMar>
            <w:vAlign w:val="center"/>
          </w:tcPr>
          <w:p>
            <w:pPr>
              <w:spacing w:after="0" w:line="259" w:lineRule="auto"/>
            </w:pPr>
            <w:r>
              <w:rPr>
                <w:rFonts w:ascii="Calibri" w:hAnsi="Calibri"/>
                <w:color w:val="101828"/>
                <w:sz w:val="17"/>
              </w:rPr>
              <w:t>Always use one designated wallet</w:t>
            </w:r>
          </w:p>
        </w:tc>
        <w:tc>
          <w:tcPr>
            <w:tcW w:type="dxa" w:w="2660"/>
            <w:tcMar>
              <w:top w:w="80" w:type="dxa"/>
              <w:start w:w="120" w:type="dxa"/>
              <w:bottom w:w="80" w:type="dxa"/>
              <w:end w:w="120" w:type="dxa"/>
            </w:tcMar>
            <w:vAlign w:val="center"/>
          </w:tcPr>
          <w:p>
            <w:pPr>
              <w:spacing w:after="0" w:line="259" w:lineRule="auto"/>
            </w:pPr>
            <w:r>
              <w:rPr>
                <w:rFonts w:ascii="Calibri" w:hAnsi="Calibri"/>
                <w:color w:val="101828"/>
                <w:sz w:val="17"/>
              </w:rPr>
              <w:t>Recommended for MVP</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round_robin</w:t>
            </w:r>
          </w:p>
        </w:tc>
        <w:tc>
          <w:tcPr>
            <w:tcW w:type="dxa" w:w="4800"/>
            <w:shd w:fill="FAFBFC"/>
            <w:tcMar>
              <w:top w:w="80" w:type="dxa"/>
              <w:start w:w="120" w:type="dxa"/>
              <w:bottom w:w="80" w:type="dxa"/>
              <w:end w:w="120" w:type="dxa"/>
            </w:tcMar>
            <w:vAlign w:val="center"/>
          </w:tcPr>
          <w:p>
            <w:pPr>
              <w:spacing w:after="0" w:line="259" w:lineRule="auto"/>
            </w:pPr>
            <w:r>
              <w:rPr>
                <w:rFonts w:ascii="Calibri" w:hAnsi="Calibri"/>
                <w:color w:val="101828"/>
                <w:sz w:val="17"/>
              </w:rPr>
              <w:t>Rotate among funded healthy wallets</w:t>
            </w:r>
          </w:p>
        </w:tc>
        <w:tc>
          <w:tcPr>
            <w:tcW w:type="dxa" w:w="2660"/>
            <w:shd w:fill="FAFBFC"/>
            <w:tcMar>
              <w:top w:w="80" w:type="dxa"/>
              <w:start w:w="120" w:type="dxa"/>
              <w:bottom w:w="80" w:type="dxa"/>
              <w:end w:w="120" w:type="dxa"/>
            </w:tcMar>
            <w:vAlign w:val="center"/>
          </w:tcPr>
          <w:p>
            <w:pPr>
              <w:spacing w:after="0" w:line="259" w:lineRule="auto"/>
            </w:pPr>
            <w:r>
              <w:rPr>
                <w:rFonts w:ascii="Calibri" w:hAnsi="Calibri"/>
                <w:color w:val="101828"/>
                <w:sz w:val="17"/>
              </w:rPr>
              <w:t>Disabled</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highest_balance</w:t>
            </w:r>
          </w:p>
        </w:tc>
        <w:tc>
          <w:tcPr>
            <w:tcW w:type="dxa" w:w="4800"/>
            <w:tcMar>
              <w:top w:w="80" w:type="dxa"/>
              <w:start w:w="120" w:type="dxa"/>
              <w:bottom w:w="80" w:type="dxa"/>
              <w:end w:w="120" w:type="dxa"/>
            </w:tcMar>
            <w:vAlign w:val="center"/>
          </w:tcPr>
          <w:p>
            <w:pPr>
              <w:spacing w:after="0" w:line="259" w:lineRule="auto"/>
            </w:pPr>
            <w:r>
              <w:rPr>
                <w:rFonts w:ascii="Calibri" w:hAnsi="Calibri"/>
                <w:color w:val="101828"/>
                <w:sz w:val="17"/>
              </w:rPr>
              <w:t>Select wallet with greatest usable balance</w:t>
            </w:r>
          </w:p>
        </w:tc>
        <w:tc>
          <w:tcPr>
            <w:tcW w:type="dxa" w:w="2660"/>
            <w:tcMar>
              <w:top w:w="80" w:type="dxa"/>
              <w:start w:w="120" w:type="dxa"/>
              <w:bottom w:w="80" w:type="dxa"/>
              <w:end w:w="120" w:type="dxa"/>
            </w:tcMar>
            <w:vAlign w:val="center"/>
          </w:tcPr>
          <w:p>
            <w:pPr>
              <w:spacing w:after="0" w:line="259" w:lineRule="auto"/>
            </w:pPr>
            <w:r>
              <w:rPr>
                <w:rFonts w:ascii="Calibri" w:hAnsi="Calibri"/>
                <w:color w:val="101828"/>
                <w:sz w:val="17"/>
              </w:rPr>
              <w:t>Disabled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chain_bound</w:t>
            </w:r>
          </w:p>
        </w:tc>
        <w:tc>
          <w:tcPr>
            <w:tcW w:type="dxa" w:w="4800"/>
            <w:shd w:fill="FAFBFC"/>
            <w:tcMar>
              <w:top w:w="80" w:type="dxa"/>
              <w:start w:w="120" w:type="dxa"/>
              <w:bottom w:w="80" w:type="dxa"/>
              <w:end w:w="120" w:type="dxa"/>
            </w:tcMar>
            <w:vAlign w:val="center"/>
          </w:tcPr>
          <w:p>
            <w:pPr>
              <w:spacing w:after="0" w:line="259" w:lineRule="auto"/>
            </w:pPr>
            <w:r>
              <w:rPr>
                <w:rFonts w:ascii="Calibri" w:hAnsi="Calibri"/>
                <w:color w:val="101828"/>
                <w:sz w:val="17"/>
              </w:rPr>
              <w:t>Each wallet assigned to one chain</w:t>
            </w:r>
          </w:p>
        </w:tc>
        <w:tc>
          <w:tcPr>
            <w:tcW w:type="dxa" w:w="2660"/>
            <w:shd w:fill="FAFBFC"/>
            <w:tcMar>
              <w:top w:w="80" w:type="dxa"/>
              <w:start w:w="120" w:type="dxa"/>
              <w:bottom w:w="80" w:type="dxa"/>
              <w:end w:w="120" w:type="dxa"/>
            </w:tcMar>
            <w:vAlign w:val="center"/>
          </w:tcPr>
          <w:p>
            <w:pPr>
              <w:spacing w:after="0" w:line="259" w:lineRule="auto"/>
            </w:pPr>
            <w:r>
              <w:rPr>
                <w:rFonts w:ascii="Calibri" w:hAnsi="Calibri"/>
                <w:color w:val="101828"/>
                <w:sz w:val="17"/>
              </w:rPr>
              <w:t>Recommended</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all_wallets</w:t>
            </w:r>
          </w:p>
        </w:tc>
        <w:tc>
          <w:tcPr>
            <w:tcW w:type="dxa" w:w="4800"/>
            <w:tcMar>
              <w:top w:w="80" w:type="dxa"/>
              <w:start w:w="120" w:type="dxa"/>
              <w:bottom w:w="80" w:type="dxa"/>
              <w:end w:w="120" w:type="dxa"/>
            </w:tcMar>
            <w:vAlign w:val="center"/>
          </w:tcPr>
          <w:p>
            <w:pPr>
              <w:spacing w:after="0" w:line="259" w:lineRule="auto"/>
            </w:pPr>
            <w:r>
              <w:rPr>
                <w:rFonts w:ascii="Calibri" w:hAnsi="Calibri"/>
                <w:color w:val="101828"/>
                <w:sz w:val="17"/>
              </w:rPr>
              <w:t>Attempt from every wallet</w:t>
            </w:r>
          </w:p>
        </w:tc>
        <w:tc>
          <w:tcPr>
            <w:tcW w:type="dxa" w:w="2660"/>
            <w:tcMar>
              <w:top w:w="80" w:type="dxa"/>
              <w:start w:w="120" w:type="dxa"/>
              <w:bottom w:w="80" w:type="dxa"/>
              <w:end w:w="120" w:type="dxa"/>
            </w:tcMar>
            <w:vAlign w:val="center"/>
          </w:tcPr>
          <w:p>
            <w:pPr>
              <w:spacing w:after="0" w:line="259" w:lineRule="auto"/>
            </w:pPr>
            <w:r>
              <w:rPr>
                <w:rFonts w:ascii="Calibri" w:hAnsi="Calibri"/>
                <w:color w:val="101828"/>
                <w:sz w:val="17"/>
              </w:rPr>
              <w:t>Prohibited unless separately approved</w:t>
            </w:r>
          </w:p>
        </w:tc>
      </w:tr>
    </w:tbl>
    <w:p>
      <w:pPr>
        <w:spacing w:after="20"/>
      </w:pPr>
    </w:p>
    <w:p>
      <w:pPr>
        <w:pStyle w:val="Heading2"/>
      </w:pPr>
      <w:r>
        <w:t>12.3 Funding and treasury controls</w:t>
      </w:r>
    </w:p>
    <w:p>
      <w:pPr>
        <w:pStyle w:val="ListBullet"/>
      </w:pPr>
      <w:r>
        <w:rPr>
          <w:rFonts w:ascii="Calibri" w:hAnsi="Calibri"/>
          <w:color w:val="101828"/>
          <w:sz w:val="22"/>
        </w:rPr>
        <w:t>Execution wallets should hold only bounded operating funds.</w:t>
      </w:r>
    </w:p>
    <w:p>
      <w:pPr>
        <w:pStyle w:val="ListBullet"/>
      </w:pPr>
      <w:r>
        <w:rPr>
          <w:rFonts w:ascii="Calibri" w:hAnsi="Calibri"/>
          <w:color w:val="101828"/>
          <w:sz w:val="22"/>
        </w:rPr>
        <w:t>Gas top-ups require a separate audited action and maximum top-up amount.</w:t>
      </w:r>
    </w:p>
    <w:p>
      <w:pPr>
        <w:pStyle w:val="ListBullet"/>
      </w:pPr>
      <w:r>
        <w:rPr>
          <w:rFonts w:ascii="Calibri" w:hAnsi="Calibri"/>
          <w:color w:val="101828"/>
          <w:sz w:val="22"/>
        </w:rPr>
        <w:t>Do not automatically sweep or consolidate NFTs unless a separate module is reviewed.</w:t>
      </w:r>
    </w:p>
    <w:p>
      <w:pPr>
        <w:pStyle w:val="ListBullet"/>
      </w:pPr>
      <w:r>
        <w:rPr>
          <w:rFonts w:ascii="Calibri" w:hAnsi="Calibri"/>
          <w:color w:val="101828"/>
          <w:sz w:val="22"/>
        </w:rPr>
        <w:t>Exact ERC-20 approvals are preferred; unlimited approvals to unknown contracts are rejected.</w:t>
      </w:r>
    </w:p>
    <w:p>
      <w:pPr>
        <w:pStyle w:val="ListBullet"/>
      </w:pPr>
      <w:r>
        <w:rPr>
          <w:rFonts w:ascii="Calibri" w:hAnsi="Calibri"/>
          <w:color w:val="101828"/>
          <w:sz w:val="22"/>
        </w:rPr>
        <w:t>A compromised bot token must not be sufficient to retrieve keys or bypass signer policy.</w:t>
      </w:r>
    </w:p>
    <w:p>
      <w:pPr>
        <w:pStyle w:val="Heading1"/>
      </w:pPr>
      <w:r>
        <w:t>13  Telegram interface</w:t>
      </w:r>
    </w:p>
    <w:p>
      <w:pPr>
        <w:pStyle w:val="Heading2"/>
      </w:pPr>
      <w:r>
        <w:t>13.1 Command catalogue</w:t>
      </w:r>
    </w:p>
    <w:tbl>
      <w:tblPr>
        <w:tblStyle w:val="TableGrid"/>
        <w:tblW w:type="dxa" w:w="9360"/>
        <w:jc w:val="left"/>
        <w:tblLayout w:type="fixed"/>
        <w:tblLook w:firstColumn="1" w:firstRow="1" w:lastColumn="0" w:lastRow="0" w:noHBand="0" w:noVBand="1" w:val="04A0"/>
        <w:tblInd w:w="120" w:type="dxa"/>
      </w:tblPr>
      <w:tblGrid>
        <w:gridCol w:w="3300"/>
        <w:gridCol w:w="4350"/>
        <w:gridCol w:w="1710"/>
      </w:tblGrid>
      <w:tr>
        <w:trPr>
          <w:tblHeader w:val="true"/>
        </w:trPr>
        <w:tc>
          <w:tcPr>
            <w:tcW w:type="dxa" w:w="3300"/>
            <w:shd w:fill="E8EEF5"/>
            <w:tcMar>
              <w:top w:w="80" w:type="dxa"/>
              <w:start w:w="120" w:type="dxa"/>
              <w:bottom w:w="80" w:type="dxa"/>
              <w:end w:w="120" w:type="dxa"/>
            </w:tcMar>
            <w:vAlign w:val="center"/>
          </w:tcPr>
          <w:p>
            <w:pPr>
              <w:spacing w:after="0"/>
              <w:jc w:val="left"/>
            </w:pPr>
            <w:r>
              <w:rPr>
                <w:rFonts w:ascii="Calibri" w:hAnsi="Calibri"/>
                <w:b/>
                <w:color w:val="0B2545"/>
                <w:sz w:val="16"/>
              </w:rPr>
              <w:t>Command</w:t>
            </w:r>
          </w:p>
        </w:tc>
        <w:tc>
          <w:tcPr>
            <w:tcW w:type="dxa" w:w="4350"/>
            <w:shd w:fill="E8EEF5"/>
            <w:tcMar>
              <w:top w:w="80" w:type="dxa"/>
              <w:start w:w="120" w:type="dxa"/>
              <w:bottom w:w="80" w:type="dxa"/>
              <w:end w:w="120" w:type="dxa"/>
            </w:tcMar>
            <w:vAlign w:val="center"/>
          </w:tcPr>
          <w:p>
            <w:pPr>
              <w:spacing w:after="0"/>
              <w:jc w:val="left"/>
            </w:pPr>
            <w:r>
              <w:rPr>
                <w:rFonts w:ascii="Calibri" w:hAnsi="Calibri"/>
                <w:b/>
                <w:color w:val="0B2545"/>
                <w:sz w:val="16"/>
              </w:rPr>
              <w:t>Purpose</w:t>
            </w:r>
          </w:p>
        </w:tc>
        <w:tc>
          <w:tcPr>
            <w:tcW w:type="dxa" w:w="1710"/>
            <w:shd w:fill="E8EEF5"/>
            <w:tcMar>
              <w:top w:w="80" w:type="dxa"/>
              <w:start w:w="120" w:type="dxa"/>
              <w:bottom w:w="80" w:type="dxa"/>
              <w:end w:w="120" w:type="dxa"/>
            </w:tcMar>
            <w:vAlign w:val="center"/>
          </w:tcPr>
          <w:p>
            <w:pPr>
              <w:spacing w:after="0"/>
              <w:jc w:val="left"/>
            </w:pPr>
            <w:r>
              <w:rPr>
                <w:rFonts w:ascii="Calibri" w:hAnsi="Calibri"/>
                <w:b/>
                <w:color w:val="0B2545"/>
                <w:sz w:val="16"/>
              </w:rPr>
              <w:t>Role</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/add_collection &lt;chain&gt; &lt;address&gt;</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Register and optionally start historical scan</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Owner/Analyst</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/scan &lt;collection&gt;</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Start/resume scan and show progress</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Owner/Analyst</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/collections</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List stored collections and scan quality</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All authorized</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/overlap [filters]</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Show repeated minters and support counts</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All authorized</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/compare &lt;c1&gt; &lt;c2&gt; ...</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Exact or at-least-k intersection</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All authorized</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/wallet &lt;address&gt;</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Show collection history and classifications</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All authorized</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/watch &lt;address&gt;</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Track wallet with reason</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Owner/Analyst</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/unwatch &lt;address&gt;</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Stop live alerts; preserve history</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Owner/Analyst</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/opportunities</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List active and expired opportunities</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Owner/Operator</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/copy &lt;opportunity_id&gt;</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Prepare manual copy confirmation</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Owner/Operator</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/create_wallets &lt;chain&gt; &lt;count&gt;</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Request signer-managed wallets</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/wallets</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List addresses, balances and health</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/strategy</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View or change versioned limits</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/mode &lt;alert|paper|manual|auto&gt;</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Change execution mode with confirmation</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/pause</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Stop new transaction planning</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Owner/Operator</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6"/>
              </w:rPr>
              <w:t>/kill_switch</w:t>
            </w:r>
          </w:p>
        </w:tc>
        <w:tc>
          <w:tcPr>
            <w:tcW w:type="dxa" w:w="4350"/>
            <w:shd w:fill="FAFBFC"/>
            <w:tcMar>
              <w:top w:w="80" w:type="dxa"/>
              <w:start w:w="120" w:type="dxa"/>
              <w:bottom w:w="80" w:type="dxa"/>
              <w:end w:w="120" w:type="dxa"/>
            </w:tcMar>
            <w:vAlign w:val="center"/>
          </w:tcPr>
          <w:p>
            <w:pPr>
              <w:spacing w:after="0" w:line="259" w:lineRule="auto"/>
            </w:pPr>
            <w:r>
              <w:rPr>
                <w:rFonts w:ascii="Calibri" w:hAnsi="Calibri"/>
                <w:color w:val="101828"/>
                <w:sz w:val="16"/>
              </w:rPr>
              <w:t>Disable signing and broadcasting immediately</w:t>
            </w:r>
          </w:p>
        </w:tc>
        <w:tc>
          <w:tcPr>
            <w:tcW w:type="dxa" w:w="1710"/>
            <w:shd w:fill="FAFBFC"/>
            <w:tcMar>
              <w:top w:w="80" w:type="dxa"/>
              <w:start w:w="120" w:type="dxa"/>
              <w:bottom w:w="80" w:type="dxa"/>
              <w:end w:w="120" w:type="dxa"/>
            </w:tcMar>
            <w:vAlign w:val="center"/>
          </w:tcPr>
          <w:p>
            <w:pPr>
              <w:spacing w:after="0" w:line="259" w:lineRule="auto"/>
            </w:pPr>
            <w:r>
              <w:rPr>
                <w:rFonts w:ascii="Calibri" w:hAnsi="Calibri"/>
                <w:color w:val="101828"/>
                <w:sz w:val="16"/>
              </w:rPr>
              <w:t>Owner</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6"/>
              </w:rPr>
              <w:t>/status</w:t>
            </w:r>
          </w:p>
        </w:tc>
        <w:tc>
          <w:tcPr>
            <w:tcW w:type="dxa" w:w="4350"/>
            <w:tcMar>
              <w:top w:w="80" w:type="dxa"/>
              <w:start w:w="120" w:type="dxa"/>
              <w:bottom w:w="80" w:type="dxa"/>
              <w:end w:w="120" w:type="dxa"/>
            </w:tcMar>
            <w:vAlign w:val="center"/>
          </w:tcPr>
          <w:p>
            <w:pPr>
              <w:spacing w:after="0" w:line="259" w:lineRule="auto"/>
            </w:pPr>
            <w:r>
              <w:rPr>
                <w:rFonts w:ascii="Calibri" w:hAnsi="Calibri"/>
                <w:color w:val="101828"/>
                <w:sz w:val="16"/>
              </w:rPr>
              <w:t>System, provider, queue and signer health</w:t>
            </w:r>
          </w:p>
        </w:tc>
        <w:tc>
          <w:tcPr>
            <w:tcW w:type="dxa" w:w="1710"/>
            <w:tcMar>
              <w:top w:w="80" w:type="dxa"/>
              <w:start w:w="120" w:type="dxa"/>
              <w:bottom w:w="80" w:type="dxa"/>
              <w:end w:w="120" w:type="dxa"/>
            </w:tcMar>
            <w:vAlign w:val="center"/>
          </w:tcPr>
          <w:p>
            <w:pPr>
              <w:spacing w:after="0" w:line="259" w:lineRule="auto"/>
            </w:pPr>
            <w:r>
              <w:rPr>
                <w:rFonts w:ascii="Calibri" w:hAnsi="Calibri"/>
                <w:color w:val="101828"/>
                <w:sz w:val="16"/>
              </w:rPr>
              <w:t>All authorized</w:t>
            </w:r>
          </w:p>
        </w:tc>
      </w:tr>
    </w:tbl>
    <w:p>
      <w:pPr>
        <w:spacing w:after="20"/>
      </w:pPr>
    </w:p>
    <w:p>
      <w:pPr>
        <w:pStyle w:val="Heading2"/>
      </w:pPr>
      <w:r>
        <w:t>13.2 Interaction rules</w:t>
      </w:r>
    </w:p>
    <w:p>
      <w:pPr>
        <w:pStyle w:val="ListBullet"/>
      </w:pPr>
      <w:r>
        <w:rPr>
          <w:rFonts w:ascii="Calibri" w:hAnsi="Calibri"/>
          <w:color w:val="101828"/>
          <w:sz w:val="22"/>
        </w:rPr>
        <w:t>Accept privileged commands only in private chats from allowlisted numeric Telegram user IDs.</w:t>
      </w:r>
    </w:p>
    <w:p>
      <w:pPr>
        <w:pStyle w:val="ListBullet"/>
      </w:pPr>
      <w:r>
        <w:rPr>
          <w:rFonts w:ascii="Calibri" w:hAnsi="Calibri"/>
          <w:color w:val="101828"/>
          <w:sz w:val="22"/>
        </w:rPr>
        <w:t>Never use username as an authorization identity.</w:t>
      </w:r>
    </w:p>
    <w:p>
      <w:pPr>
        <w:pStyle w:val="ListBullet"/>
      </w:pPr>
      <w:r>
        <w:rPr>
          <w:rFonts w:ascii="Calibri" w:hAnsi="Calibri"/>
          <w:color w:val="101828"/>
          <w:sz w:val="22"/>
        </w:rPr>
        <w:t>Every spending action displays chain, wallet, contract, route, quantity, value, gas cap and worst-case total.</w:t>
      </w:r>
    </w:p>
    <w:p>
      <w:pPr>
        <w:pStyle w:val="ListBullet"/>
      </w:pPr>
      <w:r>
        <w:rPr>
          <w:rFonts w:ascii="Calibri" w:hAnsi="Calibri"/>
          <w:color w:val="101828"/>
          <w:sz w:val="22"/>
        </w:rPr>
        <w:t>Confirmation callbacks are single-use, expire quickly and bind to the exact strategy and quote versions.</w:t>
      </w:r>
    </w:p>
    <w:p>
      <w:pPr>
        <w:pStyle w:val="ListBullet"/>
      </w:pPr>
      <w:r>
        <w:rPr>
          <w:rFonts w:ascii="Calibri" w:hAnsi="Calibri"/>
          <w:color w:val="101828"/>
          <w:sz w:val="22"/>
        </w:rPr>
        <w:t>Telegram update_id and internal idempotency keys prevent repeated webhook delivery from repeating actions.</w:t>
      </w:r>
    </w:p>
    <w:p>
      <w:pPr>
        <w:pStyle w:val="ListBullet"/>
      </w:pPr>
      <w:r>
        <w:rPr>
          <w:rFonts w:ascii="Calibri" w:hAnsi="Calibri"/>
          <w:color w:val="101828"/>
          <w:sz w:val="22"/>
        </w:rPr>
        <w:t>Webhook requests validate Telegram's secret token header before parsing commands.</w:t>
      </w:r>
    </w:p>
    <w:p>
      <w:pPr>
        <w:pStyle w:val="ListBullet"/>
      </w:pPr>
      <w:r>
        <w:rPr>
          <w:rFonts w:ascii="Calibri" w:hAnsi="Calibri"/>
          <w:color w:val="101828"/>
          <w:sz w:val="22"/>
        </w:rPr>
        <w:t>Sensitive errors are summarized to the operator; secrets and raw signed payloads remain in protected logs only when necessary and redacted.</w:t>
      </w:r>
    </w:p>
    <w:p>
      <w:pPr>
        <w:pStyle w:val="Heading2"/>
      </w:pPr>
      <w:r>
        <w:t>13.3 Example opportunity card</w:t>
      </w:r>
    </w:p>
    <w:p>
      <w:pPr>
        <w:pStyle w:val="CodeBlock"/>
        <w:keepLines/>
        <w:shd w:fill="F4F6F9"/>
      </w:pPr>
      <w:r>
        <w:rPr>
          <w:rFonts w:ascii="DejaVu Sans Mono" w:hAnsi="DejaVu Sans Mono"/>
          <w:color w:val="0B2545"/>
          <w:sz w:val="17"/>
        </w:rPr>
        <w:t>TRACKED WALLET MINTED A NEW COLLECTION</w:t>
        <w:br/>
        <w:br/>
        <w:t>Wallet:       0xabc...123</w:t>
        <w:br/>
        <w:t>Support:      4 stored collections</w:t>
        <w:br/>
        <w:t>Chain:        Base (8453)</w:t>
        <w:br/>
        <w:t>Collection:   0xdef...789</w:t>
        <w:br/>
        <w:t>Route:        SeaDrop public mint</w:t>
        <w:br/>
        <w:t>Quantity:     1</w:t>
        <w:br/>
        <w:t>Current quote: 0.003 ETH + estimated gas</w:t>
        <w:br/>
        <w:t>Eligibility:  Public / eligible</w:t>
        <w:br/>
        <w:t>Confidence:   96</w:t>
        <w:br/>
        <w:t>Mode:         Manual</w:t>
        <w:br/>
        <w:br/>
        <w:t>[PREPARE COPY]  [IGNORE]  [BLOCK COLLECTION]</w:t>
      </w:r>
    </w:p>
    <w:p>
      <w:pPr>
        <w:pStyle w:val="Heading1"/>
      </w:pPr>
      <w:r>
        <w:t>14  Security and threat model</w:t>
      </w:r>
    </w:p>
    <w:tbl>
      <w:tblPr>
        <w:tblStyle w:val="TableGrid"/>
        <w:tblW w:type="dxa" w:w="9360"/>
        <w:jc w:val="left"/>
        <w:tblLayout w:type="fixed"/>
        <w:tblLook w:firstColumn="1" w:firstRow="1" w:lastColumn="0" w:lastRow="0" w:noHBand="0" w:noVBand="1" w:val="04A0"/>
        <w:tblInd w:w="120" w:type="dxa"/>
      </w:tblPr>
      <w:tblGrid>
        <w:gridCol w:w="2250"/>
        <w:gridCol w:w="2500"/>
        <w:gridCol w:w="4610"/>
      </w:tblGrid>
      <w:tr>
        <w:trPr>
          <w:tblHeader w:val="true"/>
        </w:trPr>
        <w:tc>
          <w:tcPr>
            <w:tcW w:type="dxa" w:w="2250"/>
            <w:shd w:fill="E8EEF5"/>
            <w:tcMar>
              <w:top w:w="80" w:type="dxa"/>
              <w:start w:w="120" w:type="dxa"/>
              <w:bottom w:w="80" w:type="dxa"/>
              <w:end w:w="120" w:type="dxa"/>
            </w:tcMar>
            <w:vAlign w:val="center"/>
          </w:tcPr>
          <w:p>
            <w:pPr>
              <w:spacing w:after="0"/>
              <w:jc w:val="left"/>
            </w:pPr>
            <w:r>
              <w:rPr>
                <w:rFonts w:ascii="Calibri" w:hAnsi="Calibri"/>
                <w:b/>
                <w:color w:val="0B2545"/>
                <w:sz w:val="17"/>
              </w:rPr>
              <w:t>Threat</w:t>
            </w:r>
          </w:p>
        </w:tc>
        <w:tc>
          <w:tcPr>
            <w:tcW w:type="dxa" w:w="2500"/>
            <w:shd w:fill="E8EEF5"/>
            <w:tcMar>
              <w:top w:w="80" w:type="dxa"/>
              <w:start w:w="120" w:type="dxa"/>
              <w:bottom w:w="80" w:type="dxa"/>
              <w:end w:w="120" w:type="dxa"/>
            </w:tcMar>
            <w:vAlign w:val="center"/>
          </w:tcPr>
          <w:p>
            <w:pPr>
              <w:spacing w:after="0"/>
              <w:jc w:val="left"/>
            </w:pPr>
            <w:r>
              <w:rPr>
                <w:rFonts w:ascii="Calibri" w:hAnsi="Calibri"/>
                <w:b/>
                <w:color w:val="0B2545"/>
                <w:sz w:val="17"/>
              </w:rPr>
              <w:t>Impact</w:t>
            </w:r>
          </w:p>
        </w:tc>
        <w:tc>
          <w:tcPr>
            <w:tcW w:type="dxa" w:w="4610"/>
            <w:shd w:fill="E8EEF5"/>
            <w:tcMar>
              <w:top w:w="80" w:type="dxa"/>
              <w:start w:w="120" w:type="dxa"/>
              <w:bottom w:w="80" w:type="dxa"/>
              <w:end w:w="120" w:type="dxa"/>
            </w:tcMar>
            <w:vAlign w:val="center"/>
          </w:tcPr>
          <w:p>
            <w:pPr>
              <w:spacing w:after="0"/>
              <w:jc w:val="left"/>
            </w:pPr>
            <w:r>
              <w:rPr>
                <w:rFonts w:ascii="Calibri" w:hAnsi="Calibri"/>
                <w:b/>
                <w:color w:val="0B2545"/>
                <w:sz w:val="17"/>
              </w:rPr>
              <w:t>Required controls</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Telegram bot token theft</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Unauthorized commands</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Numeric user allowlist, webhook secret, short confirmations, external second factor for auto mode</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Signer compromise</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Loss of execution-wallet funds</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Isolation, encrypted keys, limited balances, egress controls, rotation and kill switch</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Database compromise</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Strategy manipulation or intelligence leak</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No keys, least privilege, encryption, audit and immutable strategy versions</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Malicious mint contract</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Unexpected calls, approvals or fund loss</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Known adapters, decoded plan, simulation, approval limits and cost caps</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RPC tampering/outage</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False state, missed logs or bad gas data</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Provider failover, block-hash verification, checkpoints and reconciliation</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Replay/duplicate webhook</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Repeated transaction</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update_id dedupe, callback nonce, request idempotency and opportunity uniqueness</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Race between workers</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Duplicate nonce or spend</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Distributed lock, database reservation and single transaction manager</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Configuration takeover</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Limits raised silently</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Owner-only changes, before/after audit, confirmation and optional cool-down</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Sensitive logs</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Secret or signed data exposure</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Structured redaction, no seed/private key logging, restricted log access</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Supply-chain compromise</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Malicious dependency/build</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Pinned lockfile, dependency scanning, signed images and minimal runtime</w:t>
            </w:r>
          </w:p>
        </w:tc>
      </w:tr>
      <w:tr>
        <w:tc>
          <w:tcPr>
            <w:tcW w:type="dxa" w:w="2250"/>
            <w:tcMar>
              <w:top w:w="80" w:type="dxa"/>
              <w:start w:w="120" w:type="dxa"/>
              <w:bottom w:w="80" w:type="dxa"/>
              <w:end w:w="120" w:type="dxa"/>
            </w:tcMar>
            <w:vAlign w:val="center"/>
          </w:tcPr>
          <w:p>
            <w:pPr>
              <w:spacing w:after="0" w:line="259" w:lineRule="auto"/>
            </w:pPr>
            <w:r>
              <w:rPr>
                <w:rFonts w:ascii="Calibri" w:hAnsi="Calibri"/>
                <w:color w:val="101828"/>
                <w:sz w:val="17"/>
              </w:rPr>
              <w:t>Insider/operator misuse</w:t>
            </w:r>
          </w:p>
        </w:tc>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Intentional overspend</w:t>
            </w:r>
          </w:p>
        </w:tc>
        <w:tc>
          <w:tcPr>
            <w:tcW w:type="dxa" w:w="4610"/>
            <w:tcMar>
              <w:top w:w="80" w:type="dxa"/>
              <w:start w:w="120" w:type="dxa"/>
              <w:bottom w:w="80" w:type="dxa"/>
              <w:end w:w="120" w:type="dxa"/>
            </w:tcMar>
            <w:vAlign w:val="center"/>
          </w:tcPr>
          <w:p>
            <w:pPr>
              <w:spacing w:after="0" w:line="259" w:lineRule="auto"/>
            </w:pPr>
            <w:r>
              <w:rPr>
                <w:rFonts w:ascii="Calibri" w:hAnsi="Calibri"/>
                <w:color w:val="101828"/>
                <w:sz w:val="17"/>
              </w:rPr>
              <w:t>RBAC, dual approval option, hard signer caps and audit trail</w:t>
            </w:r>
          </w:p>
        </w:tc>
      </w:tr>
      <w:tr>
        <w:tc>
          <w:tcPr>
            <w:tcW w:type="dxa" w:w="2250"/>
            <w:shd w:fill="FAFBFC"/>
            <w:tcMar>
              <w:top w:w="80" w:type="dxa"/>
              <w:start w:w="120" w:type="dxa"/>
              <w:bottom w:w="80" w:type="dxa"/>
              <w:end w:w="120" w:type="dxa"/>
            </w:tcMar>
            <w:vAlign w:val="center"/>
          </w:tcPr>
          <w:p>
            <w:pPr>
              <w:spacing w:after="0" w:line="259" w:lineRule="auto"/>
            </w:pPr>
            <w:r>
              <w:rPr>
                <w:rFonts w:ascii="Calibri" w:hAnsi="Calibri"/>
                <w:color w:val="101828"/>
                <w:sz w:val="17"/>
              </w:rPr>
              <w:t>Key recovery failure</w:t>
            </w:r>
          </w:p>
        </w:tc>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Permanent loss</w:t>
            </w:r>
          </w:p>
        </w:tc>
        <w:tc>
          <w:tcPr>
            <w:tcW w:type="dxa" w:w="4610"/>
            <w:shd w:fill="FAFBFC"/>
            <w:tcMar>
              <w:top w:w="80" w:type="dxa"/>
              <w:start w:w="120" w:type="dxa"/>
              <w:bottom w:w="80" w:type="dxa"/>
              <w:end w:w="120" w:type="dxa"/>
            </w:tcMar>
            <w:vAlign w:val="center"/>
          </w:tcPr>
          <w:p>
            <w:pPr>
              <w:spacing w:after="0" w:line="259" w:lineRule="auto"/>
            </w:pPr>
            <w:r>
              <w:rPr>
                <w:rFonts w:ascii="Calibri" w:hAnsi="Calibri"/>
                <w:color w:val="101828"/>
                <w:sz w:val="17"/>
              </w:rPr>
              <w:t>Encrypted offline backup and tested restore procedure</w:t>
            </w:r>
          </w:p>
        </w:tc>
      </w:tr>
    </w:tbl>
    <w:p>
      <w:pPr>
        <w:spacing w:after="20"/>
      </w:pPr>
    </w:p>
    <w:p>
      <w:pPr>
        <w:pStyle w:val="Heading2"/>
      </w:pPr>
      <w:r>
        <w:t>14.1 Signer authorization envelope</w:t>
      </w:r>
    </w:p>
    <w:p>
      <w:r>
        <w:rPr>
          <w:rFonts w:ascii="Calibri" w:hAnsi="Calibri"/>
          <w:i w:val="0"/>
          <w:color w:val="101828"/>
          <w:sz w:val="22"/>
        </w:rPr>
        <w:t>The signer should receive a structured plan rather than arbitrary calldata. At minimum it verifies chain ID, destination contract, value, gas cap, nonce, adapter identity, expected recipient, quantity, strategy version and plan expiry. It rejects unknown chains, expired plans and any request exceeding its independent hard caps.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F"/>
          </w:tcPr>
          <w:p>
            <w:pPr>
              <w:spacing w:after="0"/>
            </w:pPr>
            <w:r>
              <w:rPr>
                <w:rFonts w:ascii="Calibri" w:hAnsi="Calibri"/>
                <w:b/>
                <w:color w:val="137A5A"/>
                <w:sz w:val="21"/>
              </w:rPr>
              <w:t xml:space="preserve">DEFENCE IN DEPTH: </w:t>
            </w:r>
            <w:r>
              <w:rPr>
                <w:rFonts w:ascii="Calibri" w:hAnsi="Calibri"/>
                <w:color w:val="101828"/>
                <w:sz w:val="21"/>
              </w:rPr>
              <w:t>Application policy and signer policy are separate. A compromised application must still be unable to exceed signer-enforced chain, destination, value and daily limits.</w:t>
            </w:r>
          </w:p>
        </w:tc>
      </w:tr>
    </w:tbl>
    <w:p>
      <w:pPr>
        <w:spacing w:after="20"/>
      </w:pPr>
    </w:p>
    <w:p>
      <w:pPr>
        <w:pStyle w:val="Heading2"/>
      </w:pPr>
      <w:r>
        <w:t>14.2 Compliance and responsible operation</w:t>
      </w:r>
    </w:p>
    <w:p>
      <w:pPr>
        <w:pStyle w:val="ListBullet"/>
      </w:pPr>
      <w:r>
        <w:rPr>
          <w:rFonts w:ascii="Calibri" w:hAnsi="Calibri"/>
          <w:color w:val="101828"/>
          <w:sz w:val="22"/>
        </w:rPr>
        <w:t>Automate only public actions for which the controlled wallet is independently eligible.</w:t>
      </w:r>
    </w:p>
    <w:p>
      <w:pPr>
        <w:pStyle w:val="ListBullet"/>
      </w:pPr>
      <w:r>
        <w:rPr>
          <w:rFonts w:ascii="Calibri" w:hAnsi="Calibri"/>
          <w:color w:val="101828"/>
          <w:sz w:val="22"/>
        </w:rPr>
        <w:t>Respect launchpad and marketplace terms, rate limits and geographic restrictions.</w:t>
      </w:r>
    </w:p>
    <w:p>
      <w:pPr>
        <w:pStyle w:val="ListBullet"/>
      </w:pPr>
      <w:r>
        <w:rPr>
          <w:rFonts w:ascii="Calibri" w:hAnsi="Calibri"/>
          <w:color w:val="101828"/>
          <w:sz w:val="22"/>
        </w:rPr>
        <w:t>Do not use multiple wallets to evade per-wallet rules or allocations.</w:t>
      </w:r>
    </w:p>
    <w:p>
      <w:pPr>
        <w:pStyle w:val="ListBullet"/>
      </w:pPr>
      <w:r>
        <w:rPr>
          <w:rFonts w:ascii="Calibri" w:hAnsi="Calibri"/>
          <w:color w:val="101828"/>
          <w:sz w:val="22"/>
        </w:rPr>
        <w:t>Record the source and basis for every automated decision.</w:t>
      </w:r>
    </w:p>
    <w:p>
      <w:pPr>
        <w:pStyle w:val="ListBullet"/>
      </w:pPr>
      <w:r>
        <w:rPr>
          <w:rFonts w:ascii="Calibri" w:hAnsi="Calibri"/>
          <w:color w:val="101828"/>
          <w:sz w:val="22"/>
        </w:rPr>
        <w:t>Present copy-minting as execution automation, not a guarantee of financial return.</w:t>
      </w:r>
    </w:p>
    <w:p>
      <w:pPr>
        <w:pStyle w:val="Heading1"/>
      </w:pPr>
      <w:r>
        <w:t>15  Reliability, observability and recovery</w:t>
      </w:r>
    </w:p>
    <w:p>
      <w:pPr>
        <w:pStyle w:val="Heading2"/>
      </w:pPr>
      <w:r>
        <w:t>15.1 Required metrics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0B2545"/>
                <w:sz w:val="18"/>
              </w:rPr>
              <w:t>Area</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0B2545"/>
                <w:sz w:val="18"/>
              </w:rPr>
              <w:t>Metrics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8"/>
              </w:rPr>
              <w:t>Indexer</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8"/>
              </w:rPr>
              <w:t>latest scanned block, finalized lag, logs processed, chunk size, retries, provider errors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8"/>
              </w:rPr>
              <w:t>Analytics</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8"/>
              </w:rPr>
              <w:t>wallets scored, overlap query latency, watchlist promotions, excluded identities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8"/>
              </w:rPr>
              <w:t>Live</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8"/>
              </w:rPr>
              <w:t>event-to-opportunity latency, duplicates suppressed, opportunities by route/decision</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8"/>
              </w:rPr>
              <w:t>Execution</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8"/>
              </w:rPr>
              <w:t>quote/simulation latency, policy rejects, approvals, broadcasts, confirmations, failures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8"/>
              </w:rPr>
              <w:t>Wallet</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8"/>
              </w:rPr>
              <w:t>balance, pending nonce gap, signer health, daily committed and settled spend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8"/>
              </w:rPr>
              <w:t>Telegram</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8"/>
              </w:rPr>
              <w:t>webhook failures, duplicate updates, unauthorized attempts, callback expiry</w:t>
            </w:r>
          </w:p>
        </w:tc>
      </w:tr>
    </w:tbl>
    <w:p>
      <w:pPr>
        <w:spacing w:after="20"/>
      </w:pPr>
    </w:p>
    <w:p>
      <w:pPr>
        <w:pStyle w:val="Heading2"/>
      </w:pPr>
      <w:r>
        <w:t>15.2 Alert conditions</w:t>
      </w:r>
    </w:p>
    <w:p>
      <w:pPr>
        <w:pStyle w:val="ListBullet"/>
      </w:pPr>
      <w:r>
        <w:rPr>
          <w:rFonts w:ascii="Calibri" w:hAnsi="Calibri"/>
          <w:color w:val="101828"/>
          <w:sz w:val="22"/>
        </w:rPr>
        <w:t>Indexer falls behind the chain-specific threshold.</w:t>
      </w:r>
    </w:p>
    <w:p>
      <w:pPr>
        <w:pStyle w:val="ListBullet"/>
      </w:pPr>
      <w:r>
        <w:rPr>
          <w:rFonts w:ascii="Calibri" w:hAnsi="Calibri"/>
          <w:color w:val="101828"/>
          <w:sz w:val="22"/>
        </w:rPr>
        <w:t>Repeated provider inconsistencies or block-hash mismatch.</w:t>
      </w:r>
    </w:p>
    <w:p>
      <w:pPr>
        <w:pStyle w:val="ListBullet"/>
      </w:pPr>
      <w:r>
        <w:rPr>
          <w:rFonts w:ascii="Calibri" w:hAnsi="Calibri"/>
          <w:color w:val="101828"/>
          <w:sz w:val="22"/>
        </w:rPr>
        <w:t>Signer unavailable, unexpected key reference or authorization rejection.</w:t>
      </w:r>
    </w:p>
    <w:p>
      <w:pPr>
        <w:pStyle w:val="ListBullet"/>
      </w:pPr>
      <w:r>
        <w:rPr>
          <w:rFonts w:ascii="Calibri" w:hAnsi="Calibri"/>
          <w:color w:val="101828"/>
          <w:sz w:val="22"/>
        </w:rPr>
        <w:t>Pending transaction exceeds timeout or nonce gap appears.</w:t>
      </w:r>
    </w:p>
    <w:p>
      <w:pPr>
        <w:pStyle w:val="ListBullet"/>
      </w:pPr>
      <w:r>
        <w:rPr>
          <w:rFonts w:ascii="Calibri" w:hAnsi="Calibri"/>
          <w:color w:val="101828"/>
          <w:sz w:val="22"/>
        </w:rPr>
        <w:t>Daily committed spend approaches or reaches its cap.</w:t>
      </w:r>
    </w:p>
    <w:p>
      <w:pPr>
        <w:pStyle w:val="ListBullet"/>
      </w:pPr>
      <w:r>
        <w:rPr>
          <w:rFonts w:ascii="Calibri" w:hAnsi="Calibri"/>
          <w:color w:val="101828"/>
          <w:sz w:val="22"/>
        </w:rPr>
        <w:t>Database, Redis or RPC failure prevents policy evaluation.</w:t>
      </w:r>
    </w:p>
    <w:p>
      <w:pPr>
        <w:pStyle w:val="ListBullet"/>
      </w:pPr>
      <w:r>
        <w:rPr>
          <w:rFonts w:ascii="Calibri" w:hAnsi="Calibri"/>
          <w:color w:val="101828"/>
          <w:sz w:val="22"/>
        </w:rPr>
        <w:t>Reorganization removes a source mint or a copied transaction receipt.</w:t>
      </w:r>
    </w:p>
    <w:p>
      <w:pPr>
        <w:pStyle w:val="ListBullet"/>
      </w:pPr>
      <w:r>
        <w:rPr>
          <w:rFonts w:ascii="Calibri" w:hAnsi="Calibri"/>
          <w:color w:val="101828"/>
          <w:sz w:val="22"/>
        </w:rPr>
        <w:t>Unauthorized Telegram user or repeated invalid callback attempts.</w:t>
      </w:r>
    </w:p>
    <w:p>
      <w:pPr>
        <w:pStyle w:val="Heading2"/>
      </w:pPr>
      <w:r>
        <w:t>15.3 Recovery procedures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jc w:val="left"/>
            </w:pPr>
            <w:r>
              <w:rPr>
                <w:rFonts w:ascii="Calibri" w:hAnsi="Calibri"/>
                <w:b/>
                <w:color w:val="0B2545"/>
                <w:sz w:val="17"/>
              </w:rPr>
              <w:t>Failure</w:t>
            </w:r>
          </w:p>
        </w:tc>
        <w:tc>
          <w:tcPr>
            <w:tcW w:type="dxa" w:w="6760"/>
            <w:shd w:fill="E8EEF5"/>
            <w:tcMar>
              <w:top w:w="80" w:type="dxa"/>
              <w:start w:w="120" w:type="dxa"/>
              <w:bottom w:w="80" w:type="dxa"/>
              <w:end w:w="120" w:type="dxa"/>
            </w:tcMar>
            <w:vAlign w:val="center"/>
          </w:tcPr>
          <w:p>
            <w:pPr>
              <w:spacing w:after="0"/>
              <w:jc w:val="left"/>
            </w:pPr>
            <w:r>
              <w:rPr>
                <w:rFonts w:ascii="Calibri" w:hAnsi="Calibri"/>
                <w:b/>
                <w:color w:val="0B2545"/>
                <w:sz w:val="17"/>
              </w:rPr>
              <w:t>Recovery</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101828"/>
                <w:sz w:val="17"/>
              </w:rPr>
              <w:t>Worker restart</w:t>
            </w:r>
          </w:p>
        </w:tc>
        <w:tc>
          <w:tcPr>
            <w:tcW w:type="dxa" w:w="6760"/>
            <w:tcMar>
              <w:top w:w="80" w:type="dxa"/>
              <w:start w:w="120" w:type="dxa"/>
              <w:bottom w:w="80" w:type="dxa"/>
              <w:end w:w="120" w:type="dxa"/>
            </w:tcMar>
            <w:vAlign w:val="center"/>
          </w:tcPr>
          <w:p>
            <w:pPr>
              <w:spacing w:after="0" w:line="259" w:lineRule="auto"/>
            </w:pPr>
            <w:r>
              <w:rPr>
                <w:rFonts w:ascii="Calibri" w:hAnsi="Calibri"/>
                <w:color w:val="101828"/>
                <w:sz w:val="17"/>
              </w:rPr>
              <w:t>Resume durable job/checkpoint; idempotent event insert; reconcile in-progress attempts.</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color w:val="101828"/>
                <w:sz w:val="17"/>
              </w:rPr>
              <w:t>RPC outage</w:t>
            </w:r>
          </w:p>
        </w:tc>
        <w:tc>
          <w:tcPr>
            <w:tcW w:type="dxa" w:w="6760"/>
            <w:shd w:fill="FAFBFC"/>
            <w:tcMar>
              <w:top w:w="80" w:type="dxa"/>
              <w:start w:w="120" w:type="dxa"/>
              <w:bottom w:w="80" w:type="dxa"/>
              <w:end w:w="120" w:type="dxa"/>
            </w:tcMar>
            <w:vAlign w:val="center"/>
          </w:tcPr>
          <w:p>
            <w:pPr>
              <w:spacing w:after="0" w:line="259" w:lineRule="auto"/>
            </w:pPr>
            <w:r>
              <w:rPr>
                <w:rFonts w:ascii="Calibri" w:hAnsi="Calibri"/>
                <w:color w:val="101828"/>
                <w:sz w:val="17"/>
              </w:rPr>
              <w:t>Pause new execution, fail over provider, compare canonical block hashes, resume scans.</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101828"/>
                <w:sz w:val="17"/>
              </w:rPr>
              <w:t>Database restore</w:t>
            </w:r>
          </w:p>
        </w:tc>
        <w:tc>
          <w:tcPr>
            <w:tcW w:type="dxa" w:w="6760"/>
            <w:tcMar>
              <w:top w:w="80" w:type="dxa"/>
              <w:start w:w="120" w:type="dxa"/>
              <w:bottom w:w="80" w:type="dxa"/>
              <w:end w:w="120" w:type="dxa"/>
            </w:tcMar>
            <w:vAlign w:val="center"/>
          </w:tcPr>
          <w:p>
            <w:pPr>
              <w:spacing w:after="0" w:line="259" w:lineRule="auto"/>
            </w:pPr>
            <w:r>
              <w:rPr>
                <w:rFonts w:ascii="Calibri" w:hAnsi="Calibri"/>
                <w:color w:val="101828"/>
                <w:sz w:val="17"/>
              </w:rPr>
              <w:t>Restore backup, validate migration version, reconcile chain state from checkpoint overlap window.</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color w:val="101828"/>
                <w:sz w:val="17"/>
              </w:rPr>
              <w:t>Redis loss</w:t>
            </w:r>
          </w:p>
        </w:tc>
        <w:tc>
          <w:tcPr>
            <w:tcW w:type="dxa" w:w="6760"/>
            <w:shd w:fill="FAFBFC"/>
            <w:tcMar>
              <w:top w:w="80" w:type="dxa"/>
              <w:start w:w="120" w:type="dxa"/>
              <w:bottom w:w="80" w:type="dxa"/>
              <w:end w:w="120" w:type="dxa"/>
            </w:tcMar>
            <w:vAlign w:val="center"/>
          </w:tcPr>
          <w:p>
            <w:pPr>
              <w:spacing w:after="0" w:line="259" w:lineRule="auto"/>
            </w:pPr>
            <w:r>
              <w:rPr>
                <w:rFonts w:ascii="Calibri" w:hAnsi="Calibri"/>
                <w:color w:val="101828"/>
                <w:sz w:val="17"/>
              </w:rPr>
              <w:t>Rebuild ephemeral locks carefully; pause execution until nonce and pending-state reconciliation completes.</w:t>
            </w:r>
          </w:p>
        </w:tc>
      </w:tr>
      <w:tr>
        <w:tc>
          <w:tcPr>
            <w:tcW w:type="dxa" w:w="2600"/>
            <w:tcMar>
              <w:top w:w="80" w:type="dxa"/>
              <w:start w:w="120" w:type="dxa"/>
              <w:bottom w:w="80" w:type="dxa"/>
              <w:end w:w="120" w:type="dxa"/>
            </w:tcMar>
            <w:vAlign w:val="center"/>
          </w:tcPr>
          <w:p>
            <w:pPr>
              <w:spacing w:after="0" w:line="259" w:lineRule="auto"/>
            </w:pPr>
            <w:r>
              <w:rPr>
                <w:rFonts w:ascii="Calibri" w:hAnsi="Calibri"/>
                <w:color w:val="101828"/>
                <w:sz w:val="17"/>
              </w:rPr>
              <w:t>Signer loss</w:t>
            </w:r>
          </w:p>
        </w:tc>
        <w:tc>
          <w:tcPr>
            <w:tcW w:type="dxa" w:w="6760"/>
            <w:tcMar>
              <w:top w:w="80" w:type="dxa"/>
              <w:start w:w="120" w:type="dxa"/>
              <w:bottom w:w="80" w:type="dxa"/>
              <w:end w:w="120" w:type="dxa"/>
            </w:tcMar>
            <w:vAlign w:val="center"/>
          </w:tcPr>
          <w:p>
            <w:pPr>
              <w:spacing w:after="0" w:line="259" w:lineRule="auto"/>
            </w:pPr>
            <w:r>
              <w:rPr>
                <w:rFonts w:ascii="Calibri" w:hAnsi="Calibri"/>
                <w:color w:val="101828"/>
                <w:sz w:val="17"/>
              </w:rPr>
              <w:t>Keep automation paused; restore encrypted signer using documented process; verify addresses before funding.</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color w:val="101828"/>
                <w:sz w:val="17"/>
              </w:rPr>
              <w:t>Reorg</w:t>
            </w:r>
          </w:p>
        </w:tc>
        <w:tc>
          <w:tcPr>
            <w:tcW w:type="dxa" w:w="6760"/>
            <w:shd w:fill="FAFBFC"/>
            <w:tcMar>
              <w:top w:w="80" w:type="dxa"/>
              <w:start w:w="120" w:type="dxa"/>
              <w:bottom w:w="80" w:type="dxa"/>
              <w:end w:w="120" w:type="dxa"/>
            </w:tcMar>
            <w:vAlign w:val="center"/>
          </w:tcPr>
          <w:p>
            <w:pPr>
              <w:spacing w:after="0" w:line="259" w:lineRule="auto"/>
            </w:pPr>
            <w:r>
              <w:rPr>
                <w:rFonts w:ascii="Calibri" w:hAnsi="Calibri"/>
                <w:color w:val="101828"/>
                <w:sz w:val="17"/>
              </w:rPr>
              <w:t>Mark removed evidence, reverse derived stats, expire dependent opportunity and reconcile execution receipt.</w:t>
            </w:r>
          </w:p>
        </w:tc>
      </w:tr>
    </w:tbl>
    <w:p>
      <w:pPr>
        <w:spacing w:after="20"/>
      </w:pPr>
    </w:p>
    <w:p>
      <w:pPr>
        <w:pStyle w:val="Heading1"/>
      </w:pPr>
      <w:r>
        <w:t>16  API and service contracts</w:t>
      </w:r>
    </w:p>
    <w:p>
      <w:r>
        <w:rPr>
          <w:rFonts w:ascii="Calibri" w:hAnsi="Calibri"/>
          <w:i w:val="0"/>
          <w:color w:val="101828"/>
          <w:sz w:val="22"/>
        </w:rPr>
        <w:t>Telegram handlers should call application services, not repositories or web3.py directly. The same services may be exposed through a private FastAPI interface for workers and future dashboards.</w:t>
      </w:r>
    </w:p>
    <w:tbl>
      <w:tblPr>
        <w:tblStyle w:val="TableGrid"/>
        <w:tblW w:type="dxa" w:w="9360"/>
        <w:jc w:val="left"/>
        <w:tblLayout w:type="fixed"/>
        <w:tblLook w:firstColumn="1" w:firstRow="1" w:lastColumn="0" w:lastRow="0" w:noHBand="0" w:noVBand="1" w:val="04A0"/>
        <w:tblInd w:w="120" w:type="dxa"/>
      </w:tblPr>
      <w:tblGrid>
        <w:gridCol w:w="1200"/>
        <w:gridCol w:w="4050"/>
        <w:gridCol w:w="4110"/>
      </w:tblGrid>
      <w:tr>
        <w:trPr>
          <w:tblHeader w:val="true"/>
        </w:trPr>
        <w:tc>
          <w:tcPr>
            <w:tcW w:type="dxa" w:w="1200"/>
            <w:shd w:fill="E8EEF5"/>
            <w:tcMar>
              <w:top w:w="80" w:type="dxa"/>
              <w:start w:w="120" w:type="dxa"/>
              <w:bottom w:w="80" w:type="dxa"/>
              <w:end w:w="120" w:type="dxa"/>
            </w:tcMar>
            <w:vAlign w:val="center"/>
          </w:tcPr>
          <w:p>
            <w:pPr>
              <w:spacing w:after="0"/>
              <w:jc w:val="left"/>
            </w:pPr>
            <w:r>
              <w:rPr>
                <w:rFonts w:ascii="Calibri" w:hAnsi="Calibri"/>
                <w:b/>
                <w:color w:val="0B2545"/>
                <w:sz w:val="17"/>
              </w:rPr>
              <w:t>Method</w:t>
            </w:r>
          </w:p>
        </w:tc>
        <w:tc>
          <w:tcPr>
            <w:tcW w:type="dxa" w:w="4050"/>
            <w:shd w:fill="E8EEF5"/>
            <w:tcMar>
              <w:top w:w="80" w:type="dxa"/>
              <w:start w:w="120" w:type="dxa"/>
              <w:bottom w:w="80" w:type="dxa"/>
              <w:end w:w="120" w:type="dxa"/>
            </w:tcMar>
            <w:vAlign w:val="center"/>
          </w:tcPr>
          <w:p>
            <w:pPr>
              <w:spacing w:after="0"/>
              <w:jc w:val="left"/>
            </w:pPr>
            <w:r>
              <w:rPr>
                <w:rFonts w:ascii="Calibri" w:hAnsi="Calibri"/>
                <w:b/>
                <w:color w:val="0B2545"/>
                <w:sz w:val="17"/>
              </w:rPr>
              <w:t>Path</w:t>
            </w:r>
          </w:p>
        </w:tc>
        <w:tc>
          <w:tcPr>
            <w:tcW w:type="dxa" w:w="4110"/>
            <w:shd w:fill="E8EEF5"/>
            <w:tcMar>
              <w:top w:w="80" w:type="dxa"/>
              <w:start w:w="120" w:type="dxa"/>
              <w:bottom w:w="80" w:type="dxa"/>
              <w:end w:w="120" w:type="dxa"/>
            </w:tcMar>
            <w:vAlign w:val="center"/>
          </w:tcPr>
          <w:p>
            <w:pPr>
              <w:spacing w:after="0"/>
              <w:jc w:val="left"/>
            </w:pPr>
            <w:r>
              <w:rPr>
                <w:rFonts w:ascii="Calibri" w:hAnsi="Calibri"/>
                <w:b/>
                <w:color w:val="0B2545"/>
                <w:sz w:val="17"/>
              </w:rPr>
              <w:t>Purpose</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/v1/collections</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Register collection</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/v1/collections/{id}/scan</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Create/resume scan job</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GET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/v1/scan-jobs/{id}</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Progress and quality warnings</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GET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/v1/analytics/overlaps</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Support/intersection query</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GET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/v1/wallets/{chain}/{address}</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Wallet profile</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/v1/watchlist</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Track wallet</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GET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/v1/opportunities</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List opportunities</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/v1/opportunities/{id}/prepare</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Quote/build/simulate</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/v1/plans/{id}/approve</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Approve exact plan</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/v1/plans/{id}/broadcast</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Signer-authorized broadcast</w:t>
            </w:r>
          </w:p>
        </w:tc>
      </w:tr>
      <w:tr>
        <w:tc>
          <w:tcPr>
            <w:tcW w:type="dxa" w:w="1200"/>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/v1/system/pause</w:t>
            </w:r>
          </w:p>
        </w:tc>
        <w:tc>
          <w:tcPr>
            <w:tcW w:type="dxa" w:w="4110"/>
            <w:tcMar>
              <w:top w:w="80" w:type="dxa"/>
              <w:start w:w="120" w:type="dxa"/>
              <w:bottom w:w="80" w:type="dxa"/>
              <w:end w:w="120" w:type="dxa"/>
            </w:tcMar>
            <w:vAlign w:val="center"/>
          </w:tcPr>
          <w:p>
            <w:pPr>
              <w:spacing w:after="0" w:line="259" w:lineRule="auto"/>
            </w:pPr>
            <w:r>
              <w:rPr>
                <w:rFonts w:ascii="Calibri" w:hAnsi="Calibri"/>
                <w:color w:val="101828"/>
                <w:sz w:val="17"/>
              </w:rPr>
              <w:t>Pause new plans</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color w:val="101828"/>
                <w:sz w:val="17"/>
              </w:rPr>
              <w:t>POST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/v1/system/kill</w:t>
            </w:r>
          </w:p>
        </w:tc>
        <w:tc>
          <w:tcPr>
            <w:tcW w:type="dxa" w:w="4110"/>
            <w:shd w:fill="FAFBFC"/>
            <w:tcMar>
              <w:top w:w="80" w:type="dxa"/>
              <w:start w:w="120" w:type="dxa"/>
              <w:bottom w:w="80" w:type="dxa"/>
              <w:end w:w="120" w:type="dxa"/>
            </w:tcMar>
            <w:vAlign w:val="center"/>
          </w:tcPr>
          <w:p>
            <w:pPr>
              <w:spacing w:after="0" w:line="259" w:lineRule="auto"/>
            </w:pPr>
            <w:r>
              <w:rPr>
                <w:rFonts w:ascii="Calibri" w:hAnsi="Calibri"/>
                <w:color w:val="101828"/>
                <w:sz w:val="17"/>
              </w:rPr>
              <w:t>Disable signing/broadcast</w:t>
            </w:r>
          </w:p>
        </w:tc>
      </w:tr>
    </w:tbl>
    <w:p>
      <w:pPr>
        <w:spacing w:after="20"/>
      </w:pPr>
    </w:p>
    <w:p>
      <w:pPr>
        <w:pStyle w:val="Heading2"/>
      </w:pPr>
      <w:r>
        <w:t>16.1 Example opportunity payload</w:t>
      </w:r>
    </w:p>
    <w:p>
      <w:pPr>
        <w:pStyle w:val="CodeBlock"/>
        <w:keepLines/>
        <w:shd w:fill="F4F6F9"/>
      </w:pPr>
      <w:r>
        <w:rPr>
          <w:rFonts w:ascii="DejaVu Sans Mono" w:hAnsi="DejaVu Sans Mono"/>
          <w:color w:val="0B2545"/>
          <w:sz w:val="17"/>
        </w:rPr>
        <w:t>{</w:t>
        <w:br/>
        <w:t xml:space="preserve">  "id": "opp_...",</w:t>
        <w:br/>
        <w:t xml:space="preserve">  "source": {"chain_id": 8453, "tx_hash": "0x...", "tracked_wallet": "0x..."},</w:t>
        <w:br/>
        <w:t xml:space="preserve">  "collection": {"address": "0x...", "standard": "ERC721"},</w:t>
        <w:br/>
        <w:t xml:space="preserve">  "signal": {"support_count": 4, "identity_confidence": 96},</w:t>
        <w:br/>
        <w:t xml:space="preserve">  "route": {"adapter": "seadrop", "version": "1", "type": "public"},</w:t>
        <w:br/>
        <w:t xml:space="preserve">  "observed": {"quantity": 1, "native_value": "3000000000000000"},</w:t>
        <w:br/>
        <w:t xml:space="preserve">  "decision": "manual_ready",</w:t>
        <w:br/>
        <w:t xml:space="preserve">  "expires_at": "2026-08-05T10:30:00Z",</w:t>
        <w:br/>
        <w:t xml:space="preserve">  "risk_flags": []</w:t>
        <w:br/>
        <w:t>}</w:t>
      </w:r>
    </w:p>
    <w:p>
      <w:pPr>
        <w:pStyle w:val="Heading2"/>
      </w:pPr>
      <w:r>
        <w:t>16.2 Idempotency rules</w:t>
      </w:r>
    </w:p>
    <w:p>
      <w:pPr>
        <w:pStyle w:val="ListBullet"/>
      </w:pPr>
      <w:r>
        <w:rPr>
          <w:rFonts w:ascii="Calibri" w:hAnsi="Calibri"/>
          <w:color w:val="101828"/>
          <w:sz w:val="22"/>
        </w:rPr>
        <w:t>Mutating API requests require an Idempotency-Key generated by the caller.</w:t>
      </w:r>
    </w:p>
    <w:p>
      <w:pPr>
        <w:pStyle w:val="ListBullet"/>
      </w:pPr>
      <w:r>
        <w:rPr>
          <w:rFonts w:ascii="Calibri" w:hAnsi="Calibri"/>
          <w:color w:val="101828"/>
          <w:sz w:val="22"/>
        </w:rPr>
        <w:t>Opportunity creation is unique on source chain, source transaction, tracked wallet and target collection.</w:t>
      </w:r>
    </w:p>
    <w:p>
      <w:pPr>
        <w:pStyle w:val="ListBullet"/>
      </w:pPr>
      <w:r>
        <w:rPr>
          <w:rFonts w:ascii="Calibri" w:hAnsi="Calibri"/>
          <w:color w:val="101828"/>
          <w:sz w:val="22"/>
        </w:rPr>
        <w:t>A manual approval binds to one immutable execution plan and cannot be reused after plan expiry or rebuild.</w:t>
      </w:r>
    </w:p>
    <w:p>
      <w:pPr>
        <w:pStyle w:val="ListBullet"/>
      </w:pPr>
      <w:r>
        <w:rPr>
          <w:rFonts w:ascii="Calibri" w:hAnsi="Calibri"/>
          <w:color w:val="101828"/>
          <w:sz w:val="22"/>
        </w:rPr>
        <w:t>Broadcast persists the signed transaction hash before or atomically with external submission when possible.</w:t>
      </w:r>
    </w:p>
    <w:p>
      <w:pPr>
        <w:pStyle w:val="ListBullet"/>
      </w:pPr>
      <w:r>
        <w:rPr>
          <w:rFonts w:ascii="Calibri" w:hAnsi="Calibri"/>
          <w:color w:val="101828"/>
          <w:sz w:val="22"/>
        </w:rPr>
        <w:t>Unknown submission outcome triggers hash-based reconciliation, not immediate rebroadcast with a new nonce.</w:t>
      </w:r>
    </w:p>
    <w:p>
      <w:pPr>
        <w:pStyle w:val="Heading1"/>
      </w:pPr>
      <w:r>
        <w:t>17  Configuration model</w:t>
      </w:r>
    </w:p>
    <w:tbl>
      <w:tblPr>
        <w:tblStyle w:val="TableGrid"/>
        <w:tblW w:type="dxa" w:w="9360"/>
        <w:jc w:val="left"/>
        <w:tblLayout w:type="fixed"/>
        <w:tblLook w:firstColumn="1" w:firstRow="1" w:lastColumn="0" w:lastRow="0" w:noHBand="0" w:noVBand="1" w:val="04A0"/>
        <w:tblInd w:w="120" w:type="dxa"/>
      </w:tblPr>
      <w:tblGrid>
        <w:gridCol w:w="3300"/>
        <w:gridCol w:w="4050"/>
        <w:gridCol w:w="2010"/>
      </w:tblGrid>
      <w:tr>
        <w:trPr>
          <w:tblHeader w:val="true"/>
        </w:trPr>
        <w:tc>
          <w:tcPr>
            <w:tcW w:type="dxa" w:w="3300"/>
            <w:shd w:fill="E8EEF5"/>
            <w:tcMar>
              <w:top w:w="80" w:type="dxa"/>
              <w:start w:w="120" w:type="dxa"/>
              <w:bottom w:w="80" w:type="dxa"/>
              <w:end w:w="120" w:type="dxa"/>
            </w:tcMar>
            <w:vAlign w:val="center"/>
          </w:tcPr>
          <w:p>
            <w:pPr>
              <w:spacing w:after="0"/>
              <w:jc w:val="left"/>
            </w:pPr>
            <w:r>
              <w:rPr>
                <w:rFonts w:ascii="Calibri" w:hAnsi="Calibri"/>
                <w:b/>
                <w:color w:val="0B2545"/>
                <w:sz w:val="17"/>
              </w:rPr>
              <w:t>Setting</w:t>
            </w:r>
          </w:p>
        </w:tc>
        <w:tc>
          <w:tcPr>
            <w:tcW w:type="dxa" w:w="4050"/>
            <w:shd w:fill="E8EEF5"/>
            <w:tcMar>
              <w:top w:w="80" w:type="dxa"/>
              <w:start w:w="120" w:type="dxa"/>
              <w:bottom w:w="80" w:type="dxa"/>
              <w:end w:w="120" w:type="dxa"/>
            </w:tcMar>
            <w:vAlign w:val="center"/>
          </w:tcPr>
          <w:p>
            <w:pPr>
              <w:spacing w:after="0"/>
              <w:jc w:val="left"/>
            </w:pPr>
            <w:r>
              <w:rPr>
                <w:rFonts w:ascii="Calibri" w:hAnsi="Calibri"/>
                <w:b/>
                <w:color w:val="0B2545"/>
                <w:sz w:val="17"/>
              </w:rPr>
              <w:t>Meaning</w:t>
            </w:r>
          </w:p>
        </w:tc>
        <w:tc>
          <w:tcPr>
            <w:tcW w:type="dxa" w:w="2010"/>
            <w:shd w:fill="E8EEF5"/>
            <w:tcMar>
              <w:top w:w="80" w:type="dxa"/>
              <w:start w:w="120" w:type="dxa"/>
              <w:bottom w:w="80" w:type="dxa"/>
              <w:end w:w="120" w:type="dxa"/>
            </w:tcMar>
            <w:vAlign w:val="center"/>
          </w:tcPr>
          <w:p>
            <w:pPr>
              <w:spacing w:after="0"/>
              <w:jc w:val="left"/>
            </w:pPr>
            <w:r>
              <w:rPr>
                <w:rFonts w:ascii="Calibri" w:hAnsi="Calibri"/>
                <w:b/>
                <w:color w:val="0B2545"/>
                <w:sz w:val="17"/>
              </w:rPr>
              <w:t>Starting position</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chains.&lt;name&gt;.chain_id</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Immutable numeric chain ID</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Required</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chains.&lt;name&gt;.rpc_http/ws</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Secret/provider references</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Required</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chains.&lt;name&gt;.confirmations</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Provisional confirmation threshold</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Chain-specific</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chains.&lt;name&gt;.finality_tag</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safe/finalized or depth policy</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Preferred</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indexer.initial_chunk</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Initial eth_getLogs block range</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Provider-tested</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indexer.reorg_lookback</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Blocks rescanned for canonicality</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Chain-specific</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analytics.minimum_support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Watchlist threshold</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2</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analytics.identity_mode</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initiator/recipient/either</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initiator</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execution.mode</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alert/paper/manual/auto</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alert</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execution.default_quantity</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NFT quantity</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1</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execution.adapter_allowlist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Allowed route adapter versions</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Explicit</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execution.cost_limits</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Mint, gas, total and daily caps</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Owner-set</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telegram.allowed_user_ids</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Numeric authorization list</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Required</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telegram.webhook_secret</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Secret reference</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Required for webhook</w:t>
            </w:r>
          </w:p>
        </w:tc>
      </w:tr>
      <w:tr>
        <w:tc>
          <w:tcPr>
            <w:tcW w:type="dxa" w:w="3300"/>
            <w:tcMar>
              <w:top w:w="80" w:type="dxa"/>
              <w:start w:w="120" w:type="dxa"/>
              <w:bottom w:w="80" w:type="dxa"/>
              <w:end w:w="120" w:type="dxa"/>
            </w:tcMar>
            <w:vAlign w:val="center"/>
          </w:tcPr>
          <w:p>
            <w:pPr>
              <w:spacing w:after="0" w:line="259" w:lineRule="auto"/>
            </w:pPr>
            <w:r>
              <w:rPr>
                <w:rFonts w:ascii="Calibri" w:hAnsi="Calibri"/>
                <w:color w:val="101828"/>
                <w:sz w:val="17"/>
              </w:rPr>
              <w:t>signer.endpoint</w:t>
            </w:r>
          </w:p>
        </w:tc>
        <w:tc>
          <w:tcPr>
            <w:tcW w:type="dxa" w:w="4050"/>
            <w:tcMar>
              <w:top w:w="80" w:type="dxa"/>
              <w:start w:w="120" w:type="dxa"/>
              <w:bottom w:w="80" w:type="dxa"/>
              <w:end w:w="120" w:type="dxa"/>
            </w:tcMar>
            <w:vAlign w:val="center"/>
          </w:tcPr>
          <w:p>
            <w:pPr>
              <w:spacing w:after="0" w:line="259" w:lineRule="auto"/>
            </w:pPr>
            <w:r>
              <w:rPr>
                <w:rFonts w:ascii="Calibri" w:hAnsi="Calibri"/>
                <w:color w:val="101828"/>
                <w:sz w:val="17"/>
              </w:rPr>
              <w:t>Private service address</w:t>
            </w:r>
          </w:p>
        </w:tc>
        <w:tc>
          <w:tcPr>
            <w:tcW w:type="dxa" w:w="2010"/>
            <w:tcMar>
              <w:top w:w="80" w:type="dxa"/>
              <w:start w:w="120" w:type="dxa"/>
              <w:bottom w:w="80" w:type="dxa"/>
              <w:end w:w="120" w:type="dxa"/>
            </w:tcMar>
            <w:vAlign w:val="center"/>
          </w:tcPr>
          <w:p>
            <w:pPr>
              <w:spacing w:after="0" w:line="259" w:lineRule="auto"/>
            </w:pPr>
            <w:r>
              <w:rPr>
                <w:rFonts w:ascii="Calibri" w:hAnsi="Calibri"/>
                <w:color w:val="101828"/>
                <w:sz w:val="17"/>
              </w:rPr>
              <w:t>Required before Phase 4</w:t>
            </w:r>
          </w:p>
        </w:tc>
      </w:tr>
      <w:tr>
        <w:tc>
          <w:tcPr>
            <w:tcW w:type="dxa" w:w="3300"/>
            <w:shd w:fill="FAFBFC"/>
            <w:tcMar>
              <w:top w:w="80" w:type="dxa"/>
              <w:start w:w="120" w:type="dxa"/>
              <w:bottom w:w="80" w:type="dxa"/>
              <w:end w:w="120" w:type="dxa"/>
            </w:tcMar>
            <w:vAlign w:val="center"/>
          </w:tcPr>
          <w:p>
            <w:pPr>
              <w:spacing w:after="0" w:line="259" w:lineRule="auto"/>
            </w:pPr>
            <w:r>
              <w:rPr>
                <w:rFonts w:ascii="Calibri" w:hAnsi="Calibri"/>
                <w:color w:val="101828"/>
                <w:sz w:val="17"/>
              </w:rPr>
              <w:t>observability.alert_targets</w:t>
            </w:r>
          </w:p>
        </w:tc>
        <w:tc>
          <w:tcPr>
            <w:tcW w:type="dxa" w:w="4050"/>
            <w:shd w:fill="FAFBFC"/>
            <w:tcMar>
              <w:top w:w="80" w:type="dxa"/>
              <w:start w:w="120" w:type="dxa"/>
              <w:bottom w:w="80" w:type="dxa"/>
              <w:end w:w="120" w:type="dxa"/>
            </w:tcMar>
            <w:vAlign w:val="center"/>
          </w:tcPr>
          <w:p>
            <w:pPr>
              <w:spacing w:after="0" w:line="259" w:lineRule="auto"/>
            </w:pPr>
            <w:r>
              <w:rPr>
                <w:rFonts w:ascii="Calibri" w:hAnsi="Calibri"/>
                <w:color w:val="101828"/>
                <w:sz w:val="17"/>
              </w:rPr>
              <w:t>Telegram/admin destinations</w:t>
            </w:r>
          </w:p>
        </w:tc>
        <w:tc>
          <w:tcPr>
            <w:tcW w:type="dxa" w:w="2010"/>
            <w:shd w:fill="FAFBFC"/>
            <w:tcMar>
              <w:top w:w="80" w:type="dxa"/>
              <w:start w:w="120" w:type="dxa"/>
              <w:bottom w:w="80" w:type="dxa"/>
              <w:end w:w="120" w:type="dxa"/>
            </w:tcMar>
            <w:vAlign w:val="center"/>
          </w:tcPr>
          <w:p>
            <w:pPr>
              <w:spacing w:after="0" w:line="259" w:lineRule="auto"/>
            </w:pPr>
            <w:r>
              <w:rPr>
                <w:rFonts w:ascii="Calibri" w:hAnsi="Calibri"/>
                <w:color w:val="101828"/>
                <w:sz w:val="17"/>
              </w:rPr>
              <w:t>Required</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8"/>
          </w:tcPr>
          <w:p>
            <w:pPr>
              <w:spacing w:after="0"/>
            </w:pPr>
            <w:r>
              <w:rPr>
                <w:rFonts w:ascii="Calibri" w:hAnsi="Calibri"/>
                <w:b/>
                <w:color w:val="9A6A00"/>
                <w:sz w:val="21"/>
              </w:rPr>
              <w:t xml:space="preserve">CONFIGURATION SAFETY: </w:t>
            </w:r>
            <w:r>
              <w:rPr>
                <w:rFonts w:ascii="Calibri" w:hAnsi="Calibri"/>
                <w:color w:val="101828"/>
                <w:sz w:val="21"/>
              </w:rPr>
              <w:t>Never accept chain IDs, RPC URLs, signer endpoints or spend caps directly from an unverified callback payload. Callbacks carry an opaque challenge ID; the server reloads authoritative values.</w:t>
            </w:r>
          </w:p>
        </w:tc>
      </w:tr>
    </w:tbl>
    <w:p>
      <w:pPr>
        <w:spacing w:after="20"/>
      </w:pPr>
    </w:p>
    <w:p>
      <w:pPr>
        <w:pStyle w:val="Heading1"/>
      </w:pPr>
      <w:r>
        <w:t>18  Edge-case catalogue</w:t>
      </w:r>
    </w:p>
    <w:p>
      <w:r>
        <w:rPr>
          <w:rFonts w:ascii="Calibri" w:hAnsi="Calibri"/>
          <w:i w:val="0"/>
          <w:color w:val="101828"/>
          <w:sz w:val="22"/>
        </w:rPr>
        <w:t>The following cases are minimum required behaviour. The developer should convert each row into one or more automated tests or explicit operational checks.</w:t>
      </w:r>
    </w:p>
    <w:tbl>
      <w:tblPr>
        <w:tblStyle w:val="TableGrid"/>
        <w:tblW w:type="dxa" w:w="9360"/>
        <w:jc w:val="left"/>
        <w:tblLayout w:type="fixed"/>
        <w:tblLook w:firstColumn="1" w:firstRow="1" w:lastColumn="0" w:lastRow="0" w:noHBand="0" w:noVBand="1" w:val="04A0"/>
        <w:tblInd w:w="120" w:type="dxa"/>
      </w:tblPr>
      <w:tblGrid>
        <w:gridCol w:w="1300"/>
        <w:gridCol w:w="3100"/>
        <w:gridCol w:w="3900"/>
        <w:gridCol w:w="1060"/>
      </w:tblGrid>
      <w:tr>
        <w:trPr>
          <w:tblHeader w:val="true"/>
        </w:trPr>
        <w:tc>
          <w:tcPr>
            <w:tcW w:type="dxa" w:w="1300"/>
            <w:shd w:fill="E8EEF5"/>
            <w:tcMar>
              <w:top w:w="80" w:type="dxa"/>
              <w:start w:w="120" w:type="dxa"/>
              <w:bottom w:w="80" w:type="dxa"/>
              <w:end w:w="120" w:type="dxa"/>
            </w:tcMar>
            <w:vAlign w:val="center"/>
          </w:tcPr>
          <w:p>
            <w:pPr>
              <w:spacing w:after="0"/>
              <w:jc w:val="left"/>
            </w:pPr>
            <w:r>
              <w:rPr>
                <w:rFonts w:ascii="Calibri" w:hAnsi="Calibri"/>
                <w:b/>
                <w:color w:val="0B2545"/>
                <w:sz w:val="15"/>
              </w:rPr>
              <w:t>Area</w:t>
            </w:r>
          </w:p>
        </w:tc>
        <w:tc>
          <w:tcPr>
            <w:tcW w:type="dxa" w:w="3100"/>
            <w:shd w:fill="E8EEF5"/>
            <w:tcMar>
              <w:top w:w="80" w:type="dxa"/>
              <w:start w:w="120" w:type="dxa"/>
              <w:bottom w:w="80" w:type="dxa"/>
              <w:end w:w="120" w:type="dxa"/>
            </w:tcMar>
            <w:vAlign w:val="center"/>
          </w:tcPr>
          <w:p>
            <w:pPr>
              <w:spacing w:after="0"/>
              <w:jc w:val="left"/>
            </w:pPr>
            <w:r>
              <w:rPr>
                <w:rFonts w:ascii="Calibri" w:hAnsi="Calibri"/>
                <w:b/>
                <w:color w:val="0B2545"/>
                <w:sz w:val="15"/>
              </w:rPr>
              <w:t>Edge case</w:t>
            </w:r>
          </w:p>
        </w:tc>
        <w:tc>
          <w:tcPr>
            <w:tcW w:type="dxa" w:w="3900"/>
            <w:shd w:fill="E8EEF5"/>
            <w:tcMar>
              <w:top w:w="80" w:type="dxa"/>
              <w:start w:w="120" w:type="dxa"/>
              <w:bottom w:w="80" w:type="dxa"/>
              <w:end w:w="120" w:type="dxa"/>
            </w:tcMar>
            <w:vAlign w:val="center"/>
          </w:tcPr>
          <w:p>
            <w:pPr>
              <w:spacing w:after="0"/>
              <w:jc w:val="left"/>
            </w:pPr>
            <w:r>
              <w:rPr>
                <w:rFonts w:ascii="Calibri" w:hAnsi="Calibri"/>
                <w:b/>
                <w:color w:val="0B2545"/>
                <w:sz w:val="15"/>
              </w:rPr>
              <w:t>Required behaviour</w:t>
            </w:r>
          </w:p>
        </w:tc>
        <w:tc>
          <w:tcPr>
            <w:tcW w:type="dxa" w:w="1060"/>
            <w:shd w:fill="E8EEF5"/>
            <w:tcMar>
              <w:top w:w="80" w:type="dxa"/>
              <w:start w:w="120" w:type="dxa"/>
              <w:bottom w:w="80" w:type="dxa"/>
              <w:end w:w="120" w:type="dxa"/>
            </w:tcMar>
            <w:vAlign w:val="center"/>
          </w:tcPr>
          <w:p>
            <w:pPr>
              <w:spacing w:after="0"/>
              <w:jc w:val="left"/>
            </w:pPr>
            <w:r>
              <w:rPr>
                <w:rFonts w:ascii="Calibri" w:hAnsi="Calibri"/>
                <w:b/>
                <w:color w:val="0B2545"/>
                <w:sz w:val="15"/>
              </w:rPr>
              <w:t>Severity</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Input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Wrong chain selected for a valid-looking address</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Reject if no code; never search other chains automatically</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Input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Same contract added twice with different casing</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Normalize and return existing collection</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Input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EOA or zero address supplied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Reject before scan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Input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Unsupported/non-EVM chain requested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Explain unsupported adapter; make no RPC call</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Low</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Input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Proxy address points to changing implementation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Keep proxy as identity; version implementation metadata</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Provider rejects large block range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Halve chunk and retry with floor</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Provider truncates results without clear error</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Detect provider limits using counts/cross-check; split range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RPC timeout after DB commit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Checkpoint transaction makes retry idempotent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Worker dies mid-chunk</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Resume previous durable checkpoint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Deployment block unknown</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Explorer lookup or RPC binary search; record confidence</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ABI is unavailable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Decode standard events; method remains selector/unknown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Scan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ABI changes after proxy upgrade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Store implementation/version by block interval</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ERC-1155 TransferBatch</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Expand ids/values with deterministic sub_index</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ERC-1155 zero-value existence event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Do not count as user mint quantity</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ERC-2309 enormous range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Store range or apply safe expansion cap</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ERC-721 tokens created during constructor without Transfer</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Flag standard limitation; do not fabricate events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Low</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Mint then burn in same transaction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Store both; classification may exclude ephemeral token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One tx mints several collections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Create independent events/opportunities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One tx mints to several recipients</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Store each recipient; resolve common initiator</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Airdrop/admin reserve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Classify and exclude from default overlap</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Bridge or migration creates wrapped NFT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Classify bridge/migration; not public mint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event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Lazy mint during marketplace sale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Classify separately from public mint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tx.from is launchpad router</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Use recognized protocol evidence or unknown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tx.from is ERC-4337 bundler</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Resolve UserOperation sender where supported</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User mints as gift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Initiator and recipient remain separate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Shared relayer hides user</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Null initiator; do not rank relayer</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Smart wallet address differs across chains</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Do not assume cross-chain controller identity</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Address is a contract/exchange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Tag and exclude by default; allow manual override</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Identity</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Conflicting protocol fields</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Lower confidence and preserve reason codes</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Collections 1 and 2 have no overlap; 2 and 3 do</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Raw observations make later overlap discoverable</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Same wallet mints many tokens in one collection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Support counts collection once; preserve quantity</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Huge free mint dominates overlaps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Expose exact result; optional weighting/filter</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Classification changes after improved adapter</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Version derivation and recompute; preserve source event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Wallet score formula changes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Write new score version; keep previous decisions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Analytics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Wallet removed from watchlist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Stop live alerts; retain history</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Low</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Provider sends duplicate webhook</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Deduplicate by event and opportunity keys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Log arrives before receipt is available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Retry enrichment; do not lose provisional event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Chain reorganization removes source mint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Mark reorged, reverse stats and expire opportunity</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Watcher falls behind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Alert lag; catch up from durable block cursor</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Pending target transaction is replaced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MVP ignores pending; future mode tracks replacement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Live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Tracked wallet receives unsolicited spam mint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Recipient-only, low intent; exclude by default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Opportunity</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Same source mint matches multiple tracked identities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One opportunity per controlled target and collection; aggregate reasons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Opportunity</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Opportunity expires before approval</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Reject and rebuild/requote if still eligible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Public sale becomes allowlist phase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Eligibility recheck rejects copy</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Target used Merkle proof</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Do not reuse; require our wallet's own proof</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Server signature bound to target wallet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Not copyable without independently issued signature</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Token-gated mint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Verify our holdings; reject if not eligible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Unknown launchpad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Alert/manual analysis only</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Route</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OpenSea Seaport purchase appears with mint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Classify lazy/marketplace, not public drop</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Mint sold out after detection</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Sale-state check/simulation fails; no broadcast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Price changes after quote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Requote; require tolerance or new approval</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Gas spikes after approval</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Enforce max fee and total cap; expire plan</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Contract returns refund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Use worst-case debit for policy; record actual receipt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Payment uses ERC-20</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Check balance/decimals; exact allowance; simulate payment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Unexpected approval request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Reject unless adapter and policy explicitly allow</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Simulation succeeds but state changes before mining</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Monitor receipt; no assumption of success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Simulation emits no expected mint event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Reject plan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Insufficient native balance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No sign; alert required funding</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Nonce already used outside bot</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Reconcile and rebuild while locked</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Broadcast times out with unknown result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Derive/check tx hash; reconcile before retry</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Transaction dropped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Mark dropped after policy timeout; optional same-nonce replacement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Transaction replaced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Link replacement; keep one logical attempt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Copied transaction reorged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Return to reconciliation; verify canonical receipt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Two workers select same wallet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Distributed nonce lock and DB reservation</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Execution</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Daily cap counted only after confirmation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Include approved/pending commitments</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Wallet creation request repeated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Idempotent challenge; no duplicate keys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Private key appears in bot response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Prohibited; security incident and key rotation</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Signer unavailable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Pause execution; analytics remains available</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Wrong signer address returned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Verify derived address and registered key reference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All wallets selected accidentally</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Default single-wallet policy; explicit elevated confirmation</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Wallet</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Balance top-up exceeds need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Apply top-up cap and audit</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Telegram</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Username changes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Authorization remains numeric ID based</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Telegram</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Callback replay</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Single-use challenge and update dedupe</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Telegram</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Approval message forwarded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Callback still binds to authorized user and private chat</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Telegram</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Bot added to a group</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Privileged commands refused</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Telegram</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Webhook secret invalid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Reject before application handling</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Operations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Migration partially applied</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Transactional migrations; service compatibility check</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Operations</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Redis data lost</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Pause execution and reconcile nonce/commitments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Operations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Clock skew affects expiry</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Use UTC and monitored time sync</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Medium</w:t>
            </w:r>
          </w:p>
        </w:tc>
      </w:tr>
      <w:tr>
        <w:tc>
          <w:tcPr>
            <w:tcW w:type="dxa" w:w="1300"/>
            <w:shd w:fill="FAFBFC"/>
            <w:tcMar>
              <w:top w:w="80" w:type="dxa"/>
              <w:start w:w="120" w:type="dxa"/>
              <w:bottom w:w="80" w:type="dxa"/>
              <w:end w:w="120" w:type="dxa"/>
            </w:tcMar>
            <w:vAlign w:val="center"/>
          </w:tcPr>
          <w:p>
            <w:pPr>
              <w:spacing w:after="0" w:line="259" w:lineRule="auto"/>
            </w:pPr>
            <w:r>
              <w:rPr>
                <w:rFonts w:ascii="Calibri" w:hAnsi="Calibri"/>
                <w:color w:val="101828"/>
                <w:sz w:val="15"/>
              </w:rPr>
              <w:t>Operations</w:t>
            </w:r>
          </w:p>
        </w:tc>
        <w:tc>
          <w:tcPr>
            <w:tcW w:type="dxa" w:w="3100"/>
            <w:shd w:fill="FAFBFC"/>
            <w:tcMar>
              <w:top w:w="80" w:type="dxa"/>
              <w:start w:w="120" w:type="dxa"/>
              <w:bottom w:w="80" w:type="dxa"/>
              <w:end w:w="120" w:type="dxa"/>
            </w:tcMar>
            <w:vAlign w:val="center"/>
          </w:tcPr>
          <w:p>
            <w:pPr>
              <w:spacing w:after="0" w:line="259" w:lineRule="auto"/>
            </w:pPr>
            <w:r>
              <w:rPr>
                <w:rFonts w:ascii="Calibri" w:hAnsi="Calibri"/>
                <w:color w:val="101828"/>
                <w:sz w:val="15"/>
              </w:rPr>
              <w:t>Log storage leaks secrets</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5"/>
              </w:rPr>
              <w:t>Redaction tests and restricted access</w:t>
            </w:r>
          </w:p>
        </w:tc>
        <w:tc>
          <w:tcPr>
            <w:tcW w:type="dxa" w:w="1060"/>
            <w:shd w:fill="FAFBFC"/>
            <w:tcMar>
              <w:top w:w="80" w:type="dxa"/>
              <w:start w:w="120" w:type="dxa"/>
              <w:bottom w:w="80" w:type="dxa"/>
              <w:end w:w="120" w:type="dxa"/>
            </w:tcMar>
            <w:vAlign w:val="center"/>
          </w:tcPr>
          <w:p>
            <w:pPr>
              <w:spacing w:after="0" w:line="259" w:lineRule="auto"/>
            </w:pPr>
            <w:r>
              <w:rPr>
                <w:rFonts w:ascii="Calibri" w:hAnsi="Calibri"/>
                <w:color w:val="101828"/>
                <w:sz w:val="15"/>
              </w:rPr>
              <w:t>Critical</w:t>
            </w:r>
          </w:p>
        </w:tc>
      </w:tr>
      <w:tr>
        <w:tc>
          <w:tcPr>
            <w:tcW w:type="dxa" w:w="1300"/>
            <w:tcMar>
              <w:top w:w="80" w:type="dxa"/>
              <w:start w:w="120" w:type="dxa"/>
              <w:bottom w:w="80" w:type="dxa"/>
              <w:end w:w="120" w:type="dxa"/>
            </w:tcMar>
            <w:vAlign w:val="center"/>
          </w:tcPr>
          <w:p>
            <w:pPr>
              <w:spacing w:after="0" w:line="259" w:lineRule="auto"/>
            </w:pPr>
            <w:r>
              <w:rPr>
                <w:rFonts w:ascii="Calibri" w:hAnsi="Calibri"/>
                <w:color w:val="101828"/>
                <w:sz w:val="15"/>
              </w:rPr>
              <w:t>Operations</w:t>
            </w:r>
          </w:p>
        </w:tc>
        <w:tc>
          <w:tcPr>
            <w:tcW w:type="dxa" w:w="3100"/>
            <w:tcMar>
              <w:top w:w="80" w:type="dxa"/>
              <w:start w:w="120" w:type="dxa"/>
              <w:bottom w:w="80" w:type="dxa"/>
              <w:end w:w="120" w:type="dxa"/>
            </w:tcMar>
            <w:vAlign w:val="center"/>
          </w:tcPr>
          <w:p>
            <w:pPr>
              <w:spacing w:after="0" w:line="259" w:lineRule="auto"/>
            </w:pPr>
            <w:r>
              <w:rPr>
                <w:rFonts w:ascii="Calibri" w:hAnsi="Calibri"/>
                <w:color w:val="101828"/>
                <w:sz w:val="15"/>
              </w:rPr>
              <w:t>Backup exists but cannot restore</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5"/>
              </w:rPr>
              <w:t>Scheduled restore drill</w:t>
            </w:r>
          </w:p>
        </w:tc>
        <w:tc>
          <w:tcPr>
            <w:tcW w:type="dxa" w:w="1060"/>
            <w:tcMar>
              <w:top w:w="80" w:type="dxa"/>
              <w:start w:w="120" w:type="dxa"/>
              <w:bottom w:w="80" w:type="dxa"/>
              <w:end w:w="120" w:type="dxa"/>
            </w:tcMar>
            <w:vAlign w:val="center"/>
          </w:tcPr>
          <w:p>
            <w:pPr>
              <w:spacing w:after="0" w:line="259" w:lineRule="auto"/>
            </w:pPr>
            <w:r>
              <w:rPr>
                <w:rFonts w:ascii="Calibri" w:hAnsi="Calibri"/>
                <w:color w:val="101828"/>
                <w:sz w:val="15"/>
              </w:rPr>
              <w:t>High</w:t>
            </w:r>
          </w:p>
        </w:tc>
      </w:tr>
    </w:tbl>
    <w:p>
      <w:pPr>
        <w:spacing w:after="20"/>
      </w:pPr>
    </w:p>
    <w:p>
      <w:pPr>
        <w:pStyle w:val="Heading1"/>
      </w:pPr>
      <w:r>
        <w:t>19  Testing strategy</w:t>
      </w:r>
    </w:p>
    <w:p>
      <w:pPr>
        <w:pStyle w:val="Heading2"/>
      </w:pPr>
      <w:r>
        <w:t>19.1 Test layers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0B2545"/>
                <w:sz w:val="17"/>
              </w:rPr>
              <w:t>Layer</w:t>
            </w:r>
          </w:p>
        </w:tc>
        <w:tc>
          <w:tcPr>
            <w:tcW w:type="dxa" w:w="7460"/>
            <w:shd w:fill="E8EEF5"/>
            <w:tcMar>
              <w:top w:w="80" w:type="dxa"/>
              <w:start w:w="120" w:type="dxa"/>
              <w:bottom w:w="80" w:type="dxa"/>
              <w:end w:w="120" w:type="dxa"/>
            </w:tcMar>
            <w:vAlign w:val="center"/>
          </w:tcPr>
          <w:p>
            <w:pPr>
              <w:spacing w:after="0"/>
              <w:jc w:val="left"/>
            </w:pPr>
            <w:r>
              <w:rPr>
                <w:rFonts w:ascii="Calibri" w:hAnsi="Calibri"/>
                <w:b/>
                <w:color w:val="0B2545"/>
                <w:sz w:val="17"/>
              </w:rPr>
              <w:t>Minimum coverage</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Unit</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7"/>
              </w:rPr>
              <w:t>Decoders, classifiers, overlap queries, policy rules, amount arithmetic and state transitions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Fixture</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7"/>
              </w:rPr>
              <w:t>Historical raw transactions, receipts, logs and traces for every supported route and edge case</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Database</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7"/>
              </w:rPr>
              <w:t>Unique constraints, checkpoint atomicity, concurrent jobs, migrations and derived-stat rebuilds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Fork integration</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7"/>
              </w:rPr>
              <w:t>Quote/build/simulate against a pinned historical block or controlled fork</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Provider contract</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7"/>
              </w:rPr>
              <w:t>Log pagination, rate limits, error mapping, failover and block-hash consistency</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Signer</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7"/>
              </w:rPr>
              <w:t>Authorization envelope, cap rejection, expiry, wrong chain, wrong destination and key isolation</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Telegram</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7"/>
              </w:rPr>
              <w:t>RBAC, duplicate updates, callback replay, expiry, private-chat enforcement and redaction</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End-to-end</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7"/>
              </w:rPr>
              <w:t>Collection input through overlap report; source mint through paper/manual transaction outcome</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Failure/chaos</w:t>
            </w:r>
          </w:p>
        </w:tc>
        <w:tc>
          <w:tcPr>
            <w:tcW w:type="dxa" w:w="7460"/>
            <w:tcMar>
              <w:top w:w="80" w:type="dxa"/>
              <w:start w:w="120" w:type="dxa"/>
              <w:bottom w:w="80" w:type="dxa"/>
              <w:end w:w="120" w:type="dxa"/>
            </w:tcMar>
            <w:vAlign w:val="center"/>
          </w:tcPr>
          <w:p>
            <w:pPr>
              <w:spacing w:after="0" w:line="259" w:lineRule="auto"/>
            </w:pPr>
            <w:r>
              <w:rPr>
                <w:rFonts w:ascii="Calibri" w:hAnsi="Calibri"/>
                <w:color w:val="101828"/>
                <w:sz w:val="17"/>
              </w:rPr>
              <w:t>Worker kill, RPC timeout, Redis restart, database reconnect and reorg simulation</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Security</w:t>
            </w:r>
          </w:p>
        </w:tc>
        <w:tc>
          <w:tcPr>
            <w:tcW w:type="dxa" w:w="7460"/>
            <w:shd w:fill="FAFBFC"/>
            <w:tcMar>
              <w:top w:w="80" w:type="dxa"/>
              <w:start w:w="120" w:type="dxa"/>
              <w:bottom w:w="80" w:type="dxa"/>
              <w:end w:w="120" w:type="dxa"/>
            </w:tcMar>
            <w:vAlign w:val="center"/>
          </w:tcPr>
          <w:p>
            <w:pPr>
              <w:spacing w:after="0" w:line="259" w:lineRule="auto"/>
            </w:pPr>
            <w:r>
              <w:rPr>
                <w:rFonts w:ascii="Calibri" w:hAnsi="Calibri"/>
                <w:color w:val="101828"/>
                <w:sz w:val="17"/>
              </w:rPr>
              <w:t>Dependency scan, secret scan, permission review and threat-model regression</w:t>
            </w:r>
          </w:p>
        </w:tc>
      </w:tr>
    </w:tbl>
    <w:p>
      <w:pPr>
        <w:spacing w:after="20"/>
      </w:pPr>
    </w:p>
    <w:p>
      <w:pPr>
        <w:pStyle w:val="Heading2"/>
      </w:pPr>
      <w:r>
        <w:t>19.2 Required golden fixtures</w:t>
      </w:r>
    </w:p>
    <w:p>
      <w:pPr>
        <w:pStyle w:val="ListBullet"/>
      </w:pPr>
      <w:r>
        <w:rPr>
          <w:rFonts w:ascii="Calibri" w:hAnsi="Calibri"/>
          <w:color w:val="101828"/>
          <w:sz w:val="22"/>
        </w:rPr>
        <w:t>Direct ERC-721 paid public mint.</w:t>
      </w:r>
    </w:p>
    <w:p>
      <w:pPr>
        <w:pStyle w:val="ListBullet"/>
      </w:pPr>
      <w:r>
        <w:rPr>
          <w:rFonts w:ascii="Calibri" w:hAnsi="Calibri"/>
          <w:color w:val="101828"/>
          <w:sz w:val="22"/>
        </w:rPr>
        <w:t>ERC-721 gift mint where initiator and recipient differ.</w:t>
      </w:r>
    </w:p>
    <w:p>
      <w:pPr>
        <w:pStyle w:val="ListBullet"/>
      </w:pPr>
      <w:r>
        <w:rPr>
          <w:rFonts w:ascii="Calibri" w:hAnsi="Calibri"/>
          <w:color w:val="101828"/>
          <w:sz w:val="22"/>
        </w:rPr>
        <w:t>ERC-1155 single and batch mint.</w:t>
      </w:r>
    </w:p>
    <w:p>
      <w:pPr>
        <w:pStyle w:val="ListBullet"/>
      </w:pPr>
      <w:r>
        <w:rPr>
          <w:rFonts w:ascii="Calibri" w:hAnsi="Calibri"/>
          <w:color w:val="101828"/>
          <w:sz w:val="22"/>
        </w:rPr>
        <w:t>ERC-2309 consecutive event.</w:t>
      </w:r>
    </w:p>
    <w:p>
      <w:pPr>
        <w:pStyle w:val="ListBullet"/>
      </w:pPr>
      <w:r>
        <w:rPr>
          <w:rFonts w:ascii="Calibri" w:hAnsi="Calibri"/>
          <w:color w:val="101828"/>
          <w:sz w:val="22"/>
        </w:rPr>
        <w:t>SeaDrop public mint.</w:t>
      </w:r>
    </w:p>
    <w:p>
      <w:pPr>
        <w:pStyle w:val="ListBullet"/>
      </w:pPr>
      <w:r>
        <w:rPr>
          <w:rFonts w:ascii="Calibri" w:hAnsi="Calibri"/>
          <w:color w:val="101828"/>
          <w:sz w:val="22"/>
        </w:rPr>
        <w:t>SeaDrop allowlist and signed mint rejection for an ineligible wallet.</w:t>
      </w:r>
    </w:p>
    <w:p>
      <w:pPr>
        <w:pStyle w:val="ListBullet"/>
      </w:pPr>
      <w:r>
        <w:rPr>
          <w:rFonts w:ascii="Calibri" w:hAnsi="Calibri"/>
          <w:color w:val="101828"/>
          <w:sz w:val="22"/>
        </w:rPr>
        <w:t>Known launchpad routed mint.</w:t>
      </w:r>
    </w:p>
    <w:p>
      <w:pPr>
        <w:pStyle w:val="ListBullet"/>
      </w:pPr>
      <w:r>
        <w:rPr>
          <w:rFonts w:ascii="Calibri" w:hAnsi="Calibri"/>
          <w:color w:val="101828"/>
          <w:sz w:val="22"/>
        </w:rPr>
        <w:t>Admin airdrop, bridge mint and lazy marketplace mint.</w:t>
      </w:r>
    </w:p>
    <w:p>
      <w:pPr>
        <w:pStyle w:val="ListBullet"/>
      </w:pPr>
      <w:r>
        <w:rPr>
          <w:rFonts w:ascii="Calibri" w:hAnsi="Calibri"/>
          <w:color w:val="101828"/>
          <w:sz w:val="22"/>
        </w:rPr>
        <w:t>Smart-account/bundler transaction.</w:t>
      </w:r>
    </w:p>
    <w:p>
      <w:pPr>
        <w:pStyle w:val="ListBullet"/>
      </w:pPr>
      <w:r>
        <w:rPr>
          <w:rFonts w:ascii="Calibri" w:hAnsi="Calibri"/>
          <w:color w:val="101828"/>
          <w:sz w:val="22"/>
        </w:rPr>
        <w:t>Reorganized log and transaction replacement.</w:t>
      </w:r>
    </w:p>
    <w:p>
      <w:pPr>
        <w:pStyle w:val="Heading2"/>
      </w:pPr>
      <w:r>
        <w:t>19.3 Acceptance test examples</w:t>
      </w:r>
    </w:p>
    <w:p>
      <w:pPr>
        <w:pStyle w:val="CodeBlock"/>
        <w:keepLines/>
        <w:shd w:fill="F4F6F9"/>
      </w:pPr>
      <w:r>
        <w:rPr>
          <w:rFonts w:ascii="DejaVu Sans Mono" w:hAnsi="DejaVu Sans Mono"/>
          <w:color w:val="0B2545"/>
          <w:sz w:val="17"/>
        </w:rPr>
        <w:t>GIVEN Collection 1 has minters A and C</w:t>
        <w:br/>
        <w:t>AND   Collection 2 has minter B</w:t>
        <w:br/>
        <w:t>WHEN  Collection 3 is scanned with minters A and B</w:t>
        <w:br/>
        <w:t>THEN  support(A) = 2 with {Collection 1, Collection 3}</w:t>
        <w:br/>
        <w:t>AND   support(B) = 2 with {Collection 2, Collection 3}</w:t>
        <w:br/>
        <w:t>AND   no previous event is deleted or overwritten.</w:t>
        <w:br/>
        <w:br/>
        <w:t>GIVEN a tracked wallet uses a wallet-bound Merkle proof</w:t>
        <w:br/>
        <w:t>WHEN  the execution wallet has no independent proof</w:t>
        <w:br/>
        <w:t>THEN  the opportunity is marked NOT_COPYABLE</w:t>
        <w:br/>
        <w:t>AND   no unsigned transaction reaches the signer.</w:t>
      </w:r>
    </w:p>
    <w:p>
      <w:pPr>
        <w:pStyle w:val="Heading1"/>
      </w:pPr>
      <w:r>
        <w:t>20  Implementation phases</w:t>
      </w:r>
    </w:p>
    <w:p>
      <w:pPr>
        <w:keepNext/>
        <w:spacing w:before="100" w:after="0"/>
        <w:jc w:val="center"/>
      </w:pPr>
      <w:r>
        <w:drawing>
          <wp:inline xmlns:a="http://schemas.openxmlformats.org/drawingml/2006/main" xmlns:pic="http://schemas.openxmlformats.org/drawingml/2006/picture">
            <wp:extent cx="5897880" cy="3211068"/>
            <wp:docPr id="7" name="Picture 7"/>
            <wp:cNvGraphicFramePr>
              <a:graphicFrameLocks noChangeAspect="1"/>
            </wp:cNvGraphicFramePr>
            <a:graphic>
              <a:graphicData uri="http://schemas.openxmlformats.org/drawingml/2006/picture">
                <pic:pic>
                  <pic:nvPicPr>
                    <pic:cNvPr id="0" name="07_phases.png"/>
                    <pic:cNvPicPr/>
                  </pic:nvPicPr>
                  <pic:blipFill>
                    <a:blip r:embed="rId17"/>
                    <a:stretch>
                      <a:fillRect/>
                    </a:stretch>
                  </pic:blipFill>
                  <pic:spPr>
                    <a:xfrm>
                      <a:off x="0" y="0"/>
                      <a:ext cx="5897880" cy="3211068"/>
                    </a:xfrm>
                    <a:prstGeom prst="rect"/>
                  </pic:spPr>
                </pic:pic>
              </a:graphicData>
            </a:graphic>
          </wp:inline>
        </w:drawing>
      </w:r>
    </w:p>
    <w:p>
      <w:pPr>
        <w:pStyle w:val="FigureCaption"/>
      </w:pPr>
      <w:r>
        <w:t>Figure 7. Each phase has an explicit safety and acceptance gate.</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E8EEF5"/>
            <w:tcMar>
              <w:top w:w="80" w:type="dxa"/>
              <w:start w:w="120" w:type="dxa"/>
              <w:bottom w:w="80" w:type="dxa"/>
              <w:end w:w="120" w:type="dxa"/>
            </w:tcMar>
            <w:vAlign w:val="center"/>
          </w:tcPr>
          <w:p>
            <w:pPr>
              <w:spacing w:after="0"/>
              <w:jc w:val="left"/>
            </w:pPr>
            <w:r>
              <w:rPr>
                <w:rFonts w:ascii="Calibri" w:hAnsi="Calibri"/>
                <w:b/>
                <w:color w:val="0B2545"/>
                <w:sz w:val="17"/>
              </w:rPr>
              <w:t>Phase</w:t>
            </w:r>
          </w:p>
        </w:tc>
        <w:tc>
          <w:tcPr>
            <w:tcW w:type="dxa" w:w="3900"/>
            <w:shd w:fill="E8EEF5"/>
            <w:tcMar>
              <w:top w:w="80" w:type="dxa"/>
              <w:start w:w="120" w:type="dxa"/>
              <w:bottom w:w="80" w:type="dxa"/>
              <w:end w:w="120" w:type="dxa"/>
            </w:tcMar>
            <w:vAlign w:val="center"/>
          </w:tcPr>
          <w:p>
            <w:pPr>
              <w:spacing w:after="0"/>
              <w:jc w:val="left"/>
            </w:pPr>
            <w:r>
              <w:rPr>
                <w:rFonts w:ascii="Calibri" w:hAnsi="Calibri"/>
                <w:b/>
                <w:color w:val="0B2545"/>
                <w:sz w:val="17"/>
              </w:rPr>
              <w:t>Deliverables</w:t>
            </w:r>
          </w:p>
        </w:tc>
        <w:tc>
          <w:tcPr>
            <w:tcW w:type="dxa" w:w="3560"/>
            <w:shd w:fill="E8EEF5"/>
            <w:tcMar>
              <w:top w:w="80" w:type="dxa"/>
              <w:start w:w="120" w:type="dxa"/>
              <w:bottom w:w="80" w:type="dxa"/>
              <w:end w:w="120" w:type="dxa"/>
            </w:tcMar>
            <w:vAlign w:val="center"/>
          </w:tcPr>
          <w:p>
            <w:pPr>
              <w:spacing w:after="0"/>
              <w:jc w:val="left"/>
            </w:pPr>
            <w:r>
              <w:rPr>
                <w:rFonts w:ascii="Calibri" w:hAnsi="Calibri"/>
                <w:b/>
                <w:color w:val="0B2545"/>
                <w:sz w:val="17"/>
              </w:rPr>
              <w:t>Exit criteria</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0 - Foundation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7"/>
              </w:rPr>
              <w:t>Confirm chain/RPC; repository; CI; migrations; domain enums; fixture set</w:t>
            </w:r>
          </w:p>
        </w:tc>
        <w:tc>
          <w:tcPr>
            <w:tcW w:type="dxa" w:w="3560"/>
            <w:tcMar>
              <w:top w:w="80" w:type="dxa"/>
              <w:start w:w="120" w:type="dxa"/>
              <w:bottom w:w="80" w:type="dxa"/>
              <w:end w:w="120" w:type="dxa"/>
            </w:tcMar>
            <w:vAlign w:val="center"/>
          </w:tcPr>
          <w:p>
            <w:pPr>
              <w:spacing w:after="0" w:line="259" w:lineRule="auto"/>
            </w:pPr>
            <w:r>
              <w:rPr>
                <w:rFonts w:ascii="Calibri" w:hAnsi="Calibri"/>
                <w:color w:val="101828"/>
                <w:sz w:val="17"/>
              </w:rPr>
              <w:t>Architecture review passed; secrets and environments separated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1 - Intelligence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7"/>
              </w:rPr>
              <w:t>Collection registration, historical scanner, identity fields, overlap queries, reports</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color w:val="101828"/>
                <w:sz w:val="17"/>
              </w:rPr>
              <w:t>Known fixture counts match; resume creates no duplicates; 1/2/3 overlap scenario passes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2 - Live alerts</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7"/>
              </w:rPr>
              <w:t>Block/webhook watcher, watchlist, opportunity creation, Telegram alerts</w:t>
            </w:r>
          </w:p>
        </w:tc>
        <w:tc>
          <w:tcPr>
            <w:tcW w:type="dxa" w:w="3560"/>
            <w:tcMar>
              <w:top w:w="80" w:type="dxa"/>
              <w:start w:w="120" w:type="dxa"/>
              <w:bottom w:w="80" w:type="dxa"/>
              <w:end w:w="120" w:type="dxa"/>
            </w:tcMar>
            <w:vAlign w:val="center"/>
          </w:tcPr>
          <w:p>
            <w:pPr>
              <w:spacing w:after="0" w:line="259" w:lineRule="auto"/>
            </w:pPr>
            <w:r>
              <w:rPr>
                <w:rFonts w:ascii="Calibri" w:hAnsi="Calibri"/>
                <w:color w:val="101828"/>
                <w:sz w:val="17"/>
              </w:rPr>
              <w:t>Catch-up and reorg tests pass; no signing code enabled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3 - Paper mode</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7"/>
              </w:rPr>
              <w:t>Direct + SeaDrop adapters, eligibility, quote, build, simulation and policy</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color w:val="101828"/>
                <w:sz w:val="17"/>
              </w:rPr>
              <w:t>No keys required; negative eligibility tests pass; expected mint event verified</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4 - Manual copy</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7"/>
              </w:rPr>
              <w:t>Signer, one execution wallet, nonce manager, one-click approval, receipt monitor</w:t>
            </w:r>
          </w:p>
        </w:tc>
        <w:tc>
          <w:tcPr>
            <w:tcW w:type="dxa" w:w="3560"/>
            <w:tcMar>
              <w:top w:w="80" w:type="dxa"/>
              <w:start w:w="120" w:type="dxa"/>
              <w:bottom w:w="80" w:type="dxa"/>
              <w:end w:w="120" w:type="dxa"/>
            </w:tcMar>
            <w:vAlign w:val="center"/>
          </w:tcPr>
          <w:p>
            <w:pPr>
              <w:spacing w:after="0" w:line="259" w:lineRule="auto"/>
            </w:pPr>
            <w:r>
              <w:rPr>
                <w:rFonts w:ascii="Calibri" w:hAnsi="Calibri"/>
                <w:color w:val="101828"/>
                <w:sz w:val="17"/>
              </w:rPr>
              <w:t>Testnet/fork drills pass; strict caps; kill switch tested; owner approves limited production trial</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color w:val="101828"/>
                <w:sz w:val="17"/>
              </w:rPr>
              <w:t>5 - Guarded auto</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color w:val="101828"/>
                <w:sz w:val="17"/>
              </w:rPr>
              <w:t>Short-lived auto authority, multi-wallet selection, replacement policy, hard signer caps</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color w:val="101828"/>
                <w:sz w:val="17"/>
              </w:rPr>
              <w:t>Sustained manual history; incident drill; independent security review</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101828"/>
                <w:sz w:val="17"/>
              </w:rPr>
              <w:t>6 - Expansion</w:t>
            </w:r>
          </w:p>
        </w:tc>
        <w:tc>
          <w:tcPr>
            <w:tcW w:type="dxa" w:w="3900"/>
            <w:tcMar>
              <w:top w:w="80" w:type="dxa"/>
              <w:start w:w="120" w:type="dxa"/>
              <w:bottom w:w="80" w:type="dxa"/>
              <w:end w:w="120" w:type="dxa"/>
            </w:tcMar>
            <w:vAlign w:val="center"/>
          </w:tcPr>
          <w:p>
            <w:pPr>
              <w:spacing w:after="0" w:line="259" w:lineRule="auto"/>
            </w:pPr>
            <w:r>
              <w:rPr>
                <w:rFonts w:ascii="Calibri" w:hAnsi="Calibri"/>
                <w:color w:val="101828"/>
                <w:sz w:val="17"/>
              </w:rPr>
              <w:t>More EVM chains/launchpads, pending mode research, non-EVM adapters, dashboard</w:t>
            </w:r>
          </w:p>
        </w:tc>
        <w:tc>
          <w:tcPr>
            <w:tcW w:type="dxa" w:w="3560"/>
            <w:tcMar>
              <w:top w:w="80" w:type="dxa"/>
              <w:start w:w="120" w:type="dxa"/>
              <w:bottom w:w="80" w:type="dxa"/>
              <w:end w:w="120" w:type="dxa"/>
            </w:tcMar>
            <w:vAlign w:val="center"/>
          </w:tcPr>
          <w:p>
            <w:pPr>
              <w:spacing w:after="0" w:line="259" w:lineRule="auto"/>
            </w:pPr>
            <w:r>
              <w:rPr>
                <w:rFonts w:ascii="Calibri" w:hAnsi="Calibri"/>
                <w:color w:val="101828"/>
                <w:sz w:val="17"/>
              </w:rPr>
              <w:t>Each adapter/chain has its own fixtures, finality policy and release gate</w:t>
            </w:r>
          </w:p>
        </w:tc>
      </w:tr>
    </w:tbl>
    <w:p>
      <w:pPr>
        <w:spacing w:after="20"/>
      </w:pPr>
    </w:p>
    <w:p>
      <w:pPr>
        <w:pStyle w:val="Heading2"/>
      </w:pPr>
      <w:r>
        <w:t>20.1 Suggested implementation order within Phase 1</w:t>
      </w:r>
    </w:p>
    <w:p>
      <w:pPr>
        <w:spacing w:after="80" w:line="300" w:lineRule="auto"/>
        <w:ind w:left="540" w:hanging="271"/>
        <w:numPr>
          <w:ilvl w:val="0"/>
          <w:numId w:val="16"/>
        </w:numPr>
      </w:pPr>
      <w:r>
        <w:rPr>
          <w:rFonts w:ascii="Calibri" w:hAnsi="Calibri"/>
          <w:color w:val="101828"/>
          <w:sz w:val="22"/>
        </w:rPr>
        <w:t>Database migrations and repository interfaces.</w:t>
      </w:r>
    </w:p>
    <w:p>
      <w:pPr>
        <w:spacing w:after="80" w:line="300" w:lineRule="auto"/>
        <w:ind w:left="540" w:hanging="271"/>
        <w:numPr>
          <w:ilvl w:val="0"/>
          <w:numId w:val="16"/>
        </w:numPr>
      </w:pPr>
      <w:r>
        <w:rPr>
          <w:rFonts w:ascii="Calibri" w:hAnsi="Calibri"/>
          <w:color w:val="101828"/>
          <w:sz w:val="22"/>
        </w:rPr>
        <w:t>Chain configuration, RPC client and deployment-block resolver.</w:t>
      </w:r>
    </w:p>
    <w:p>
      <w:pPr>
        <w:spacing w:after="80" w:line="300" w:lineRule="auto"/>
        <w:ind w:left="540" w:hanging="271"/>
        <w:numPr>
          <w:ilvl w:val="0"/>
          <w:numId w:val="16"/>
        </w:numPr>
      </w:pPr>
      <w:r>
        <w:rPr>
          <w:rFonts w:ascii="Calibri" w:hAnsi="Calibri"/>
          <w:color w:val="101828"/>
          <w:sz w:val="22"/>
        </w:rPr>
        <w:t>ERC-721 and ERC-1155 log decoder with fixture tests.</w:t>
      </w:r>
    </w:p>
    <w:p>
      <w:pPr>
        <w:spacing w:after="80" w:line="300" w:lineRule="auto"/>
        <w:ind w:left="540" w:hanging="271"/>
        <w:numPr>
          <w:ilvl w:val="0"/>
          <w:numId w:val="16"/>
        </w:numPr>
      </w:pPr>
      <w:r>
        <w:rPr>
          <w:rFonts w:ascii="Calibri" w:hAnsi="Calibri"/>
          <w:color w:val="101828"/>
          <w:sz w:val="22"/>
        </w:rPr>
        <w:t>Chunked scanner, checkpoint atomicity and job progress.</w:t>
      </w:r>
    </w:p>
    <w:p>
      <w:pPr>
        <w:spacing w:after="80" w:line="300" w:lineRule="auto"/>
        <w:ind w:left="540" w:hanging="271"/>
        <w:numPr>
          <w:ilvl w:val="0"/>
          <w:numId w:val="16"/>
        </w:numPr>
      </w:pPr>
      <w:r>
        <w:rPr>
          <w:rFonts w:ascii="Calibri" w:hAnsi="Calibri"/>
          <w:color w:val="101828"/>
          <w:sz w:val="22"/>
        </w:rPr>
        <w:t>Transaction/receipt enrichment and initial identity resolver.</w:t>
      </w:r>
    </w:p>
    <w:p>
      <w:pPr>
        <w:spacing w:after="80" w:line="300" w:lineRule="auto"/>
        <w:ind w:left="540" w:hanging="271"/>
        <w:numPr>
          <w:ilvl w:val="0"/>
          <w:numId w:val="16"/>
        </w:numPr>
      </w:pPr>
      <w:r>
        <w:rPr>
          <w:rFonts w:ascii="Calibri" w:hAnsi="Calibri"/>
          <w:color w:val="101828"/>
          <w:sz w:val="22"/>
        </w:rPr>
        <w:t>Mint classification and exclusion reason codes.</w:t>
      </w:r>
    </w:p>
    <w:p>
      <w:pPr>
        <w:spacing w:after="80" w:line="300" w:lineRule="auto"/>
        <w:ind w:left="540" w:hanging="271"/>
        <w:numPr>
          <w:ilvl w:val="0"/>
          <w:numId w:val="16"/>
        </w:numPr>
      </w:pPr>
      <w:r>
        <w:rPr>
          <w:rFonts w:ascii="Calibri" w:hAnsi="Calibri"/>
          <w:color w:val="101828"/>
          <w:sz w:val="22"/>
        </w:rPr>
        <w:t>Wallet collection aggregates and overlap endpoints.</w:t>
      </w:r>
    </w:p>
    <w:p>
      <w:pPr>
        <w:spacing w:after="80" w:line="300" w:lineRule="auto"/>
        <w:ind w:left="540" w:hanging="271"/>
        <w:numPr>
          <w:ilvl w:val="0"/>
          <w:numId w:val="16"/>
        </w:numPr>
      </w:pPr>
      <w:r>
        <w:rPr>
          <w:rFonts w:ascii="Calibri" w:hAnsi="Calibri"/>
          <w:color w:val="101828"/>
          <w:sz w:val="22"/>
        </w:rPr>
        <w:t>Telegram collection, scan, overlap and wallet commands.</w:t>
      </w:r>
    </w:p>
    <w:p>
      <w:pPr>
        <w:spacing w:after="80" w:line="300" w:lineRule="auto"/>
        <w:ind w:left="540" w:hanging="271"/>
        <w:numPr>
          <w:ilvl w:val="0"/>
          <w:numId w:val="16"/>
        </w:numPr>
      </w:pPr>
      <w:r>
        <w:rPr>
          <w:rFonts w:ascii="Calibri" w:hAnsi="Calibri"/>
          <w:color w:val="101828"/>
          <w:sz w:val="22"/>
        </w:rPr>
        <w:t>Operational metrics, backup and recovery runbook.</w:t>
      </w:r>
    </w:p>
    <w:p>
      <w:pPr>
        <w:pStyle w:val="Heading1"/>
      </w:pPr>
      <w:r>
        <w:t>21  Deployment and operations</w:t>
      </w:r>
    </w:p>
    <w:p>
      <w:pPr>
        <w:pStyle w:val="Heading2"/>
      </w:pPr>
      <w:r>
        <w:t>21.1 Environments</w:t>
      </w:r>
    </w:p>
    <w:tbl>
      <w:tblPr>
        <w:tblStyle w:val="TableGrid"/>
        <w:tblW w:type="dxa" w:w="9360"/>
        <w:jc w:val="left"/>
        <w:tblLayout w:type="fixed"/>
        <w:tblLook w:firstColumn="1" w:firstRow="1" w:lastColumn="0" w:lastRow="0" w:noHBand="0" w:noVBand="1" w:val="04A0"/>
        <w:tblInd w:w="120" w:type="dxa"/>
      </w:tblPr>
      <w:tblGrid>
        <w:gridCol w:w="2000"/>
        <w:gridCol w:w="4600"/>
        <w:gridCol w:w="2760"/>
      </w:tblGrid>
      <w:tr>
        <w:trPr>
          <w:tblHeader w:val="true"/>
        </w:trPr>
        <w:tc>
          <w:tcPr>
            <w:tcW w:type="dxa" w:w="2000"/>
            <w:shd w:fill="E8EEF5"/>
            <w:tcMar>
              <w:top w:w="80" w:type="dxa"/>
              <w:start w:w="120" w:type="dxa"/>
              <w:bottom w:w="80" w:type="dxa"/>
              <w:end w:w="120" w:type="dxa"/>
            </w:tcMar>
            <w:vAlign w:val="center"/>
          </w:tcPr>
          <w:p>
            <w:pPr>
              <w:spacing w:after="0"/>
              <w:jc w:val="left"/>
            </w:pPr>
            <w:r>
              <w:rPr>
                <w:rFonts w:ascii="Calibri" w:hAnsi="Calibri"/>
                <w:b/>
                <w:color w:val="0B2545"/>
                <w:sz w:val="18"/>
              </w:rPr>
              <w:t>Environment</w:t>
            </w:r>
          </w:p>
        </w:tc>
        <w:tc>
          <w:tcPr>
            <w:tcW w:type="dxa" w:w="4600"/>
            <w:shd w:fill="E8EEF5"/>
            <w:tcMar>
              <w:top w:w="80" w:type="dxa"/>
              <w:start w:w="120" w:type="dxa"/>
              <w:bottom w:w="80" w:type="dxa"/>
              <w:end w:w="120" w:type="dxa"/>
            </w:tcMar>
            <w:vAlign w:val="center"/>
          </w:tcPr>
          <w:p>
            <w:pPr>
              <w:spacing w:after="0"/>
              <w:jc w:val="left"/>
            </w:pPr>
            <w:r>
              <w:rPr>
                <w:rFonts w:ascii="Calibri" w:hAnsi="Calibri"/>
                <w:b/>
                <w:color w:val="0B2545"/>
                <w:sz w:val="18"/>
              </w:rPr>
              <w:t>Purpose</w:t>
            </w:r>
          </w:p>
        </w:tc>
        <w:tc>
          <w:tcPr>
            <w:tcW w:type="dxa" w:w="2760"/>
            <w:shd w:fill="E8EEF5"/>
            <w:tcMar>
              <w:top w:w="80" w:type="dxa"/>
              <w:start w:w="120" w:type="dxa"/>
              <w:bottom w:w="80" w:type="dxa"/>
              <w:end w:w="120" w:type="dxa"/>
            </w:tcMar>
            <w:vAlign w:val="center"/>
          </w:tcPr>
          <w:p>
            <w:pPr>
              <w:spacing w:after="0"/>
              <w:jc w:val="left"/>
            </w:pPr>
            <w:r>
              <w:rPr>
                <w:rFonts w:ascii="Calibri" w:hAnsi="Calibri"/>
                <w:b/>
                <w:color w:val="0B2545"/>
                <w:sz w:val="18"/>
              </w:rPr>
              <w:t>Funds/keys</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101828"/>
                <w:sz w:val="18"/>
              </w:rPr>
              <w:t>Local</w:t>
            </w:r>
          </w:p>
        </w:tc>
        <w:tc>
          <w:tcPr>
            <w:tcW w:type="dxa" w:w="4600"/>
            <w:tcMar>
              <w:top w:w="80" w:type="dxa"/>
              <w:start w:w="120" w:type="dxa"/>
              <w:bottom w:w="80" w:type="dxa"/>
              <w:end w:w="120" w:type="dxa"/>
            </w:tcMar>
            <w:vAlign w:val="center"/>
          </w:tcPr>
          <w:p>
            <w:pPr>
              <w:spacing w:after="0" w:line="259" w:lineRule="auto"/>
            </w:pPr>
            <w:r>
              <w:rPr>
                <w:rFonts w:ascii="Calibri" w:hAnsi="Calibri"/>
                <w:color w:val="101828"/>
                <w:sz w:val="18"/>
              </w:rPr>
              <w:t>Unit tests and fixture replay</w:t>
            </w:r>
          </w:p>
        </w:tc>
        <w:tc>
          <w:tcPr>
            <w:tcW w:type="dxa" w:w="2760"/>
            <w:tcMar>
              <w:top w:w="80" w:type="dxa"/>
              <w:start w:w="120" w:type="dxa"/>
              <w:bottom w:w="80" w:type="dxa"/>
              <w:end w:w="120" w:type="dxa"/>
            </w:tcMar>
            <w:vAlign w:val="center"/>
          </w:tcPr>
          <w:p>
            <w:pPr>
              <w:spacing w:after="0" w:line="259" w:lineRule="auto"/>
            </w:pPr>
            <w:r>
              <w:rPr>
                <w:rFonts w:ascii="Calibri" w:hAnsi="Calibri"/>
                <w:color w:val="101828"/>
                <w:sz w:val="18"/>
              </w:rPr>
              <w:t>No production keys; mocked signer</w:t>
            </w:r>
          </w:p>
        </w:tc>
      </w:tr>
      <w:tr>
        <w:tc>
          <w:tcPr>
            <w:tcW w:type="dxa" w:w="2000"/>
            <w:shd w:fill="FAFBFC"/>
            <w:tcMar>
              <w:top w:w="80" w:type="dxa"/>
              <w:start w:w="120" w:type="dxa"/>
              <w:bottom w:w="80" w:type="dxa"/>
              <w:end w:w="120" w:type="dxa"/>
            </w:tcMar>
            <w:vAlign w:val="center"/>
          </w:tcPr>
          <w:p>
            <w:pPr>
              <w:spacing w:after="0" w:line="259" w:lineRule="auto"/>
            </w:pPr>
            <w:r>
              <w:rPr>
                <w:rFonts w:ascii="Calibri" w:hAnsi="Calibri"/>
                <w:color w:val="101828"/>
                <w:sz w:val="18"/>
              </w:rPr>
              <w:t>Development</w:t>
            </w:r>
          </w:p>
        </w:tc>
        <w:tc>
          <w:tcPr>
            <w:tcW w:type="dxa" w:w="4600"/>
            <w:shd w:fill="FAFBFC"/>
            <w:tcMar>
              <w:top w:w="80" w:type="dxa"/>
              <w:start w:w="120" w:type="dxa"/>
              <w:bottom w:w="80" w:type="dxa"/>
              <w:end w:w="120" w:type="dxa"/>
            </w:tcMar>
            <w:vAlign w:val="center"/>
          </w:tcPr>
          <w:p>
            <w:pPr>
              <w:spacing w:after="0" w:line="259" w:lineRule="auto"/>
            </w:pPr>
            <w:r>
              <w:rPr>
                <w:rFonts w:ascii="Calibri" w:hAnsi="Calibri"/>
                <w:color w:val="101828"/>
                <w:sz w:val="18"/>
              </w:rPr>
              <w:t>Shared API/DB and test chain</w:t>
            </w:r>
          </w:p>
        </w:tc>
        <w:tc>
          <w:tcPr>
            <w:tcW w:type="dxa" w:w="2760"/>
            <w:shd w:fill="FAFBFC"/>
            <w:tcMar>
              <w:top w:w="80" w:type="dxa"/>
              <w:start w:w="120" w:type="dxa"/>
              <w:bottom w:w="80" w:type="dxa"/>
              <w:end w:w="120" w:type="dxa"/>
            </w:tcMar>
            <w:vAlign w:val="center"/>
          </w:tcPr>
          <w:p>
            <w:pPr>
              <w:spacing w:after="0" w:line="259" w:lineRule="auto"/>
            </w:pPr>
            <w:r>
              <w:rPr>
                <w:rFonts w:ascii="Calibri" w:hAnsi="Calibri"/>
                <w:color w:val="101828"/>
                <w:sz w:val="18"/>
              </w:rPr>
              <w:t>Testnet keys only</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101828"/>
                <w:sz w:val="18"/>
              </w:rPr>
              <w:t>Staging</w:t>
            </w:r>
          </w:p>
        </w:tc>
        <w:tc>
          <w:tcPr>
            <w:tcW w:type="dxa" w:w="4600"/>
            <w:tcMar>
              <w:top w:w="80" w:type="dxa"/>
              <w:start w:w="120" w:type="dxa"/>
              <w:bottom w:w="80" w:type="dxa"/>
              <w:end w:w="120" w:type="dxa"/>
            </w:tcMar>
            <w:vAlign w:val="center"/>
          </w:tcPr>
          <w:p>
            <w:pPr>
              <w:spacing w:after="0" w:line="259" w:lineRule="auto"/>
            </w:pPr>
            <w:r>
              <w:rPr>
                <w:rFonts w:ascii="Calibri" w:hAnsi="Calibri"/>
                <w:color w:val="101828"/>
                <w:sz w:val="18"/>
              </w:rPr>
              <w:t>Production-like workers, monitoring and fork drills</w:t>
            </w:r>
          </w:p>
        </w:tc>
        <w:tc>
          <w:tcPr>
            <w:tcW w:type="dxa" w:w="2760"/>
            <w:tcMar>
              <w:top w:w="80" w:type="dxa"/>
              <w:start w:w="120" w:type="dxa"/>
              <w:bottom w:w="80" w:type="dxa"/>
              <w:end w:w="120" w:type="dxa"/>
            </w:tcMar>
            <w:vAlign w:val="center"/>
          </w:tcPr>
          <w:p>
            <w:pPr>
              <w:spacing w:after="0" w:line="259" w:lineRule="auto"/>
            </w:pPr>
            <w:r>
              <w:rPr>
                <w:rFonts w:ascii="Calibri" w:hAnsi="Calibri"/>
                <w:color w:val="101828"/>
                <w:sz w:val="18"/>
              </w:rPr>
              <w:t>Dedicated minimal-value keys</w:t>
            </w:r>
          </w:p>
        </w:tc>
      </w:tr>
      <w:tr>
        <w:tc>
          <w:tcPr>
            <w:tcW w:type="dxa" w:w="2000"/>
            <w:shd w:fill="FAFBFC"/>
            <w:tcMar>
              <w:top w:w="80" w:type="dxa"/>
              <w:start w:w="120" w:type="dxa"/>
              <w:bottom w:w="80" w:type="dxa"/>
              <w:end w:w="120" w:type="dxa"/>
            </w:tcMar>
            <w:vAlign w:val="center"/>
          </w:tcPr>
          <w:p>
            <w:pPr>
              <w:spacing w:after="0" w:line="259" w:lineRule="auto"/>
            </w:pPr>
            <w:r>
              <w:rPr>
                <w:rFonts w:ascii="Calibri" w:hAnsi="Calibri"/>
                <w:color w:val="101828"/>
                <w:sz w:val="18"/>
              </w:rPr>
              <w:t>Production</w:t>
            </w:r>
          </w:p>
        </w:tc>
        <w:tc>
          <w:tcPr>
            <w:tcW w:type="dxa" w:w="4600"/>
            <w:shd w:fill="FAFBFC"/>
            <w:tcMar>
              <w:top w:w="80" w:type="dxa"/>
              <w:start w:w="120" w:type="dxa"/>
              <w:bottom w:w="80" w:type="dxa"/>
              <w:end w:w="120" w:type="dxa"/>
            </w:tcMar>
            <w:vAlign w:val="center"/>
          </w:tcPr>
          <w:p>
            <w:pPr>
              <w:spacing w:after="0" w:line="259" w:lineRule="auto"/>
            </w:pPr>
            <w:r>
              <w:rPr>
                <w:rFonts w:ascii="Calibri" w:hAnsi="Calibri"/>
                <w:color w:val="101828"/>
                <w:sz w:val="18"/>
              </w:rPr>
              <w:t>Approved chain and real alerts/execution</w:t>
            </w:r>
          </w:p>
        </w:tc>
        <w:tc>
          <w:tcPr>
            <w:tcW w:type="dxa" w:w="2760"/>
            <w:shd w:fill="FAFBFC"/>
            <w:tcMar>
              <w:top w:w="80" w:type="dxa"/>
              <w:start w:w="120" w:type="dxa"/>
              <w:bottom w:w="80" w:type="dxa"/>
              <w:end w:w="120" w:type="dxa"/>
            </w:tcMar>
            <w:vAlign w:val="center"/>
          </w:tcPr>
          <w:p>
            <w:pPr>
              <w:spacing w:after="0" w:line="259" w:lineRule="auto"/>
            </w:pPr>
            <w:r>
              <w:rPr>
                <w:rFonts w:ascii="Calibri" w:hAnsi="Calibri"/>
                <w:color w:val="101828"/>
                <w:sz w:val="18"/>
              </w:rPr>
              <w:t>Bounded execution funds; isolated signer</w:t>
            </w:r>
          </w:p>
        </w:tc>
      </w:tr>
    </w:tbl>
    <w:p>
      <w:pPr>
        <w:spacing w:after="20"/>
      </w:pPr>
    </w:p>
    <w:p>
      <w:pPr>
        <w:pStyle w:val="Heading2"/>
      </w:pPr>
      <w:r>
        <w:t>21.2 Services</w:t>
      </w:r>
    </w:p>
    <w:p>
      <w:pPr>
        <w:pStyle w:val="ListBullet"/>
      </w:pPr>
      <w:r>
        <w:rPr>
          <w:rFonts w:ascii="Calibri" w:hAnsi="Calibri"/>
          <w:color w:val="101828"/>
          <w:sz w:val="22"/>
        </w:rPr>
        <w:t>bot-api: FastAPI plus aiogram webhook handlers.</w:t>
      </w:r>
    </w:p>
    <w:p>
      <w:pPr>
        <w:pStyle w:val="ListBullet"/>
      </w:pPr>
      <w:r>
        <w:rPr>
          <w:rFonts w:ascii="Calibri" w:hAnsi="Calibri"/>
          <w:color w:val="101828"/>
          <w:sz w:val="22"/>
        </w:rPr>
        <w:t>indexer-worker: historical jobs and canonicality repair.</w:t>
      </w:r>
    </w:p>
    <w:p>
      <w:pPr>
        <w:pStyle w:val="ListBullet"/>
      </w:pPr>
      <w:r>
        <w:rPr>
          <w:rFonts w:ascii="Calibri" w:hAnsi="Calibri"/>
          <w:color w:val="101828"/>
          <w:sz w:val="22"/>
        </w:rPr>
        <w:t>live-worker: new-block/provider-webhook ingestion.</w:t>
      </w:r>
    </w:p>
    <w:p>
      <w:pPr>
        <w:pStyle w:val="ListBullet"/>
      </w:pPr>
      <w:r>
        <w:rPr>
          <w:rFonts w:ascii="Calibri" w:hAnsi="Calibri"/>
          <w:color w:val="101828"/>
          <w:sz w:val="22"/>
        </w:rPr>
        <w:t>analytics-worker: aggregates, scores and watchlist updates.</w:t>
      </w:r>
    </w:p>
    <w:p>
      <w:pPr>
        <w:pStyle w:val="ListBullet"/>
      </w:pPr>
      <w:r>
        <w:rPr>
          <w:rFonts w:ascii="Calibri" w:hAnsi="Calibri"/>
          <w:color w:val="101828"/>
          <w:sz w:val="22"/>
        </w:rPr>
        <w:t>execution-worker: quote/build/simulate/policy and transaction monitoring.</w:t>
      </w:r>
    </w:p>
    <w:p>
      <w:pPr>
        <w:pStyle w:val="ListBullet"/>
      </w:pPr>
      <w:r>
        <w:rPr>
          <w:rFonts w:ascii="Calibri" w:hAnsi="Calibri"/>
          <w:color w:val="101828"/>
          <w:sz w:val="22"/>
        </w:rPr>
        <w:t>signer: private-network service with independent hard limits.</w:t>
      </w:r>
    </w:p>
    <w:p>
      <w:pPr>
        <w:pStyle w:val="ListBullet"/>
      </w:pPr>
      <w:r>
        <w:rPr>
          <w:rFonts w:ascii="Calibri" w:hAnsi="Calibri"/>
          <w:color w:val="101828"/>
          <w:sz w:val="22"/>
        </w:rPr>
        <w:t>postgres, redis and monitoring stack.</w:t>
      </w:r>
    </w:p>
    <w:p>
      <w:pPr>
        <w:pStyle w:val="Heading2"/>
      </w:pPr>
      <w:r>
        <w:t>21.3 Release checklist</w:t>
      </w:r>
    </w:p>
    <w:p>
      <w:pPr>
        <w:pStyle w:val="ListBullet"/>
      </w:pPr>
      <w:r>
        <w:rPr>
          <w:rFonts w:ascii="Calibri" w:hAnsi="Calibri"/>
          <w:color w:val="101828"/>
          <w:sz w:val="22"/>
        </w:rPr>
        <w:t>Database migrations reviewed, reversible where practical and tested from empty plus prior release.</w:t>
      </w:r>
    </w:p>
    <w:p>
      <w:pPr>
        <w:pStyle w:val="ListBullet"/>
      </w:pPr>
      <w:r>
        <w:rPr>
          <w:rFonts w:ascii="Calibri" w:hAnsi="Calibri"/>
          <w:color w:val="101828"/>
          <w:sz w:val="22"/>
        </w:rPr>
        <w:t>Dependency lockfile, secret scan and vulnerability scan pass.</w:t>
      </w:r>
    </w:p>
    <w:p>
      <w:pPr>
        <w:pStyle w:val="ListBullet"/>
      </w:pPr>
      <w:r>
        <w:rPr>
          <w:rFonts w:ascii="Calibri" w:hAnsi="Calibri"/>
          <w:color w:val="101828"/>
          <w:sz w:val="22"/>
        </w:rPr>
        <w:t>All supported adapter fixtures and fork tests pass.</w:t>
      </w:r>
    </w:p>
    <w:p>
      <w:pPr>
        <w:pStyle w:val="ListBullet"/>
      </w:pPr>
      <w:r>
        <w:rPr>
          <w:rFonts w:ascii="Calibri" w:hAnsi="Calibri"/>
          <w:color w:val="101828"/>
          <w:sz w:val="22"/>
        </w:rPr>
        <w:t>Telegram authorization, replay and expiry tests pass.</w:t>
      </w:r>
    </w:p>
    <w:p>
      <w:pPr>
        <w:pStyle w:val="ListBullet"/>
      </w:pPr>
      <w:r>
        <w:rPr>
          <w:rFonts w:ascii="Calibri" w:hAnsi="Calibri"/>
          <w:color w:val="101828"/>
          <w:sz w:val="22"/>
        </w:rPr>
        <w:t>Signer caps match strategy caps and cannot be raised through bot callbacks.</w:t>
      </w:r>
    </w:p>
    <w:p>
      <w:pPr>
        <w:pStyle w:val="ListBullet"/>
      </w:pPr>
      <w:r>
        <w:rPr>
          <w:rFonts w:ascii="Calibri" w:hAnsi="Calibri"/>
          <w:color w:val="101828"/>
          <w:sz w:val="22"/>
        </w:rPr>
        <w:t>Backup is current and restore drill is within recovery objective.</w:t>
      </w:r>
    </w:p>
    <w:p>
      <w:pPr>
        <w:pStyle w:val="ListBullet"/>
      </w:pPr>
      <w:r>
        <w:rPr>
          <w:rFonts w:ascii="Calibri" w:hAnsi="Calibri"/>
          <w:color w:val="101828"/>
          <w:sz w:val="22"/>
        </w:rPr>
        <w:t>Kill switch, pause, provider failover and nonce reconciliation are exercised.</w:t>
      </w:r>
    </w:p>
    <w:p>
      <w:pPr>
        <w:pStyle w:val="ListBullet"/>
      </w:pPr>
      <w:r>
        <w:rPr>
          <w:rFonts w:ascii="Calibri" w:hAnsi="Calibri"/>
          <w:color w:val="101828"/>
          <w:sz w:val="22"/>
        </w:rPr>
        <w:t>Dashboards and alerts are active before worker rollout.</w:t>
      </w:r>
    </w:p>
    <w:p>
      <w:pPr>
        <w:pStyle w:val="Heading1"/>
      </w:pPr>
      <w:r>
        <w:t>22  Definition of done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F"/>
          </w:tcPr>
          <w:p>
            <w:pPr>
              <w:spacing w:after="0"/>
            </w:pPr>
            <w:r>
              <w:rPr>
                <w:rFonts w:ascii="Calibri" w:hAnsi="Calibri"/>
                <w:b/>
                <w:color w:val="137A5A"/>
                <w:sz w:val="21"/>
              </w:rPr>
              <w:t xml:space="preserve">PHASE 1 DONE: </w:t>
            </w:r>
            <w:r>
              <w:rPr>
                <w:rFonts w:ascii="Calibri" w:hAnsi="Calibri"/>
                <w:color w:val="101828"/>
                <w:sz w:val="21"/>
              </w:rPr>
              <w:t>A developer can add a collection on the selected EVM chain, obtain a reproducible minter dataset, see exact repeated wallets across any stored collections, and rerun or resume scans without duplicates.</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F"/>
          </w:tcPr>
          <w:p>
            <w:pPr>
              <w:spacing w:after="0"/>
            </w:pPr>
            <w:r>
              <w:rPr>
                <w:rFonts w:ascii="Calibri" w:hAnsi="Calibri"/>
                <w:b/>
                <w:color w:val="137A5A"/>
                <w:sz w:val="21"/>
              </w:rPr>
              <w:t xml:space="preserve">PRODUCTION EXECUTION DONE: </w:t>
            </w:r>
            <w:r>
              <w:rPr>
                <w:rFonts w:ascii="Calibri" w:hAnsi="Calibri"/>
                <w:color w:val="101828"/>
                <w:sz w:val="21"/>
              </w:rPr>
              <w:t>The system can recognize a supported public mint, prove current eligibility, build and simulate a fresh transaction, enforce independent application and signer limits, obtain valid approval, broadcast exactly once, and reconcile the final canonical outcome.</w:t>
            </w:r>
          </w:p>
        </w:tc>
      </w:tr>
    </w:tbl>
    <w:p>
      <w:pPr>
        <w:spacing w:after="20"/>
      </w:pPr>
    </w:p>
    <w:p>
      <w:pPr>
        <w:pStyle w:val="ListBullet"/>
      </w:pPr>
      <w:r>
        <w:rPr>
          <w:rFonts w:ascii="Calibri" w:hAnsi="Calibri"/>
          <w:color w:val="101828"/>
          <w:sz w:val="22"/>
        </w:rPr>
        <w:t>All requirements have traceable tests or documented manual controls.</w:t>
      </w:r>
    </w:p>
    <w:p>
      <w:pPr>
        <w:pStyle w:val="ListBullet"/>
      </w:pPr>
      <w:r>
        <w:rPr>
          <w:rFonts w:ascii="Calibri" w:hAnsi="Calibri"/>
          <w:color w:val="101828"/>
          <w:sz w:val="22"/>
        </w:rPr>
        <w:t>All edge cases marked Critical and High have automated regression coverage where technically reproducible.</w:t>
      </w:r>
    </w:p>
    <w:p>
      <w:pPr>
        <w:pStyle w:val="ListBullet"/>
      </w:pPr>
      <w:r>
        <w:rPr>
          <w:rFonts w:ascii="Calibri" w:hAnsi="Calibri"/>
          <w:color w:val="101828"/>
          <w:sz w:val="22"/>
        </w:rPr>
        <w:t>No private key or seed phrase is present in Telegram, database exports, logs or application configuration.</w:t>
      </w:r>
    </w:p>
    <w:p>
      <w:pPr>
        <w:pStyle w:val="ListBullet"/>
      </w:pPr>
      <w:r>
        <w:rPr>
          <w:rFonts w:ascii="Calibri" w:hAnsi="Calibri"/>
          <w:color w:val="101828"/>
          <w:sz w:val="22"/>
        </w:rPr>
        <w:t>Every executed transaction has source signal, strategy version, quote, simulation, approval and receipt provenance.</w:t>
      </w:r>
    </w:p>
    <w:p>
      <w:pPr>
        <w:pStyle w:val="ListBullet"/>
      </w:pPr>
      <w:r>
        <w:rPr>
          <w:rFonts w:ascii="Calibri" w:hAnsi="Calibri"/>
          <w:color w:val="101828"/>
          <w:sz w:val="22"/>
        </w:rPr>
        <w:t>Runbooks cover provider outage, reorg, pending nonce, signer failure, database restore and security incident.</w:t>
      </w:r>
    </w:p>
    <w:p>
      <w:pPr>
        <w:pStyle w:val="ListBullet"/>
      </w:pPr>
      <w:r>
        <w:rPr>
          <w:rFonts w:ascii="Calibri" w:hAnsi="Calibri"/>
          <w:color w:val="101828"/>
          <w:sz w:val="22"/>
        </w:rPr>
        <w:t>Operator-facing messages explain why a mint is eligible, rejected or uncopyable.</w:t>
      </w:r>
    </w:p>
    <w:p>
      <w:pPr>
        <w:pStyle w:val="Heading1"/>
      </w:pPr>
      <w:r>
        <w:t>Appendix A  Enums and example statuses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left"/>
            </w:pPr>
            <w:r>
              <w:rPr>
                <w:rFonts w:ascii="Calibri" w:hAnsi="Calibri"/>
                <w:b/>
                <w:color w:val="0B2545"/>
                <w:sz w:val="17"/>
              </w:rPr>
              <w:t>Enum</w:t>
            </w:r>
          </w:p>
        </w:tc>
        <w:tc>
          <w:tcPr>
            <w:tcW w:type="dxa" w:w="6860"/>
            <w:shd w:fill="E8EEF5"/>
            <w:tcMar>
              <w:top w:w="80" w:type="dxa"/>
              <w:start w:w="120" w:type="dxa"/>
              <w:bottom w:w="80" w:type="dxa"/>
              <w:end w:w="120" w:type="dxa"/>
            </w:tcMar>
            <w:vAlign w:val="center"/>
          </w:tcPr>
          <w:p>
            <w:pPr>
              <w:spacing w:after="0"/>
              <w:jc w:val="left"/>
            </w:pPr>
            <w:r>
              <w:rPr>
                <w:rFonts w:ascii="Calibri" w:hAnsi="Calibri"/>
                <w:b/>
                <w:color w:val="0B2545"/>
                <w:sz w:val="17"/>
              </w:rPr>
              <w:t>Values</w:t>
            </w:r>
          </w:p>
        </w:tc>
      </w:tr>
      <w:tr>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identity_mode</w:t>
            </w:r>
          </w:p>
        </w:tc>
        <w:tc>
          <w:tcPr>
            <w:tcW w:type="dxa" w:w="6860"/>
            <w:tcMar>
              <w:top w:w="80" w:type="dxa"/>
              <w:start w:w="120" w:type="dxa"/>
              <w:bottom w:w="80" w:type="dxa"/>
              <w:end w:w="120" w:type="dxa"/>
            </w:tcMar>
            <w:vAlign w:val="center"/>
          </w:tcPr>
          <w:p>
            <w:pPr>
              <w:spacing w:after="0" w:line="259" w:lineRule="auto"/>
            </w:pPr>
            <w:r>
              <w:rPr>
                <w:rFonts w:ascii="Calibri" w:hAnsi="Calibri"/>
                <w:color w:val="101828"/>
                <w:sz w:val="17"/>
              </w:rPr>
              <w:t>initiator, recipient, either</w:t>
            </w:r>
          </w:p>
        </w:tc>
      </w:tr>
      <w:tr>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token_standard</w:t>
            </w:r>
          </w:p>
        </w:tc>
        <w:tc>
          <w:tcPr>
            <w:tcW w:type="dxa" w:w="6860"/>
            <w:shd w:fill="FAFBFC"/>
            <w:tcMar>
              <w:top w:w="80" w:type="dxa"/>
              <w:start w:w="120" w:type="dxa"/>
              <w:bottom w:w="80" w:type="dxa"/>
              <w:end w:w="120" w:type="dxa"/>
            </w:tcMar>
            <w:vAlign w:val="center"/>
          </w:tcPr>
          <w:p>
            <w:pPr>
              <w:spacing w:after="0" w:line="259" w:lineRule="auto"/>
            </w:pPr>
            <w:r>
              <w:rPr>
                <w:rFonts w:ascii="Calibri" w:hAnsi="Calibri"/>
                <w:color w:val="101828"/>
                <w:sz w:val="17"/>
              </w:rPr>
              <w:t>erc721, erc1155, erc2309, custom, unknown</w:t>
            </w:r>
          </w:p>
        </w:tc>
      </w:tr>
      <w:tr>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mint_route</w:t>
            </w:r>
          </w:p>
        </w:tc>
        <w:tc>
          <w:tcPr>
            <w:tcW w:type="dxa" w:w="6860"/>
            <w:tcMar>
              <w:top w:w="80" w:type="dxa"/>
              <w:start w:w="120" w:type="dxa"/>
              <w:bottom w:w="80" w:type="dxa"/>
              <w:end w:w="120" w:type="dxa"/>
            </w:tcMar>
            <w:vAlign w:val="center"/>
          </w:tcPr>
          <w:p>
            <w:pPr>
              <w:spacing w:after="0" w:line="259" w:lineRule="auto"/>
            </w:pPr>
            <w:r>
              <w:rPr>
                <w:rFonts w:ascii="Calibri" w:hAnsi="Calibri"/>
                <w:color w:val="101828"/>
                <w:sz w:val="17"/>
              </w:rPr>
              <w:t>direct, seadrop, launchpad, marketplace, relayer, unknown</w:t>
            </w:r>
          </w:p>
        </w:tc>
      </w:tr>
      <w:tr>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classification</w:t>
            </w:r>
          </w:p>
        </w:tc>
        <w:tc>
          <w:tcPr>
            <w:tcW w:type="dxa" w:w="6860"/>
            <w:shd w:fill="FAFBFC"/>
            <w:tcMar>
              <w:top w:w="80" w:type="dxa"/>
              <w:start w:w="120" w:type="dxa"/>
              <w:bottom w:w="80" w:type="dxa"/>
              <w:end w:w="120" w:type="dxa"/>
            </w:tcMar>
            <w:vAlign w:val="center"/>
          </w:tcPr>
          <w:p>
            <w:pPr>
              <w:spacing w:after="0" w:line="259" w:lineRule="auto"/>
            </w:pPr>
            <w:r>
              <w:rPr>
                <w:rFonts w:ascii="Calibri" w:hAnsi="Calibri"/>
                <w:color w:val="101828"/>
                <w:sz w:val="17"/>
              </w:rPr>
              <w:t>public_paid_mint, public_free_mint, allowlist_mint, token_gated_mint, server_signed_mint, admin_mint, airdrop, bridge_mint, migration_mint, lazy_marketplace_mint, unknown_mint</w:t>
            </w:r>
          </w:p>
        </w:tc>
      </w:tr>
      <w:tr>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finality_status</w:t>
            </w:r>
          </w:p>
        </w:tc>
        <w:tc>
          <w:tcPr>
            <w:tcW w:type="dxa" w:w="6860"/>
            <w:tcMar>
              <w:top w:w="80" w:type="dxa"/>
              <w:start w:w="120" w:type="dxa"/>
              <w:bottom w:w="80" w:type="dxa"/>
              <w:end w:w="120" w:type="dxa"/>
            </w:tcMar>
            <w:vAlign w:val="center"/>
          </w:tcPr>
          <w:p>
            <w:pPr>
              <w:spacing w:after="0" w:line="259" w:lineRule="auto"/>
            </w:pPr>
            <w:r>
              <w:rPr>
                <w:rFonts w:ascii="Calibri" w:hAnsi="Calibri"/>
                <w:color w:val="101828"/>
                <w:sz w:val="17"/>
              </w:rPr>
              <w:t>provisional, safe, finalized, reorged</w:t>
            </w:r>
          </w:p>
        </w:tc>
      </w:tr>
      <w:tr>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opportunity_decision</w:t>
            </w:r>
          </w:p>
        </w:tc>
        <w:tc>
          <w:tcPr>
            <w:tcW w:type="dxa" w:w="6860"/>
            <w:shd w:fill="FAFBFC"/>
            <w:tcMar>
              <w:top w:w="80" w:type="dxa"/>
              <w:start w:w="120" w:type="dxa"/>
              <w:bottom w:w="80" w:type="dxa"/>
              <w:end w:w="120" w:type="dxa"/>
            </w:tcMar>
            <w:vAlign w:val="center"/>
          </w:tcPr>
          <w:p>
            <w:pPr>
              <w:spacing w:after="0" w:line="259" w:lineRule="auto"/>
            </w:pPr>
            <w:r>
              <w:rPr>
                <w:rFonts w:ascii="Calibri" w:hAnsi="Calibri"/>
                <w:color w:val="101828"/>
                <w:sz w:val="17"/>
              </w:rPr>
              <w:t>alert_only, paper_ready, manual_ready, auto_ready, not_copyable, expired, blocked</w:t>
            </w:r>
          </w:p>
        </w:tc>
      </w:tr>
      <w:tr>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execution_mode</w:t>
            </w:r>
          </w:p>
        </w:tc>
        <w:tc>
          <w:tcPr>
            <w:tcW w:type="dxa" w:w="6860"/>
            <w:tcMar>
              <w:top w:w="80" w:type="dxa"/>
              <w:start w:w="120" w:type="dxa"/>
              <w:bottom w:w="80" w:type="dxa"/>
              <w:end w:w="120" w:type="dxa"/>
            </w:tcMar>
            <w:vAlign w:val="center"/>
          </w:tcPr>
          <w:p>
            <w:pPr>
              <w:spacing w:after="0" w:line="259" w:lineRule="auto"/>
            </w:pPr>
            <w:r>
              <w:rPr>
                <w:rFonts w:ascii="Calibri" w:hAnsi="Calibri"/>
                <w:color w:val="101828"/>
                <w:sz w:val="17"/>
              </w:rPr>
              <w:t>alert, paper, manual, auto</w:t>
            </w:r>
          </w:p>
        </w:tc>
      </w:tr>
      <w:tr>
        <w:tc>
          <w:tcPr>
            <w:tcW w:type="dxa" w:w="2500"/>
            <w:shd w:fill="FAFBFC"/>
            <w:tcMar>
              <w:top w:w="80" w:type="dxa"/>
              <w:start w:w="120" w:type="dxa"/>
              <w:bottom w:w="80" w:type="dxa"/>
              <w:end w:w="120" w:type="dxa"/>
            </w:tcMar>
            <w:vAlign w:val="center"/>
          </w:tcPr>
          <w:p>
            <w:pPr>
              <w:spacing w:after="0" w:line="259" w:lineRule="auto"/>
            </w:pPr>
            <w:r>
              <w:rPr>
                <w:rFonts w:ascii="Calibri" w:hAnsi="Calibri"/>
                <w:color w:val="101828"/>
                <w:sz w:val="17"/>
              </w:rPr>
              <w:t>attempt_status</w:t>
            </w:r>
          </w:p>
        </w:tc>
        <w:tc>
          <w:tcPr>
            <w:tcW w:type="dxa" w:w="6860"/>
            <w:shd w:fill="FAFBFC"/>
            <w:tcMar>
              <w:top w:w="80" w:type="dxa"/>
              <w:start w:w="120" w:type="dxa"/>
              <w:bottom w:w="80" w:type="dxa"/>
              <w:end w:w="120" w:type="dxa"/>
            </w:tcMar>
            <w:vAlign w:val="center"/>
          </w:tcPr>
          <w:p>
            <w:pPr>
              <w:spacing w:after="0" w:line="259" w:lineRule="auto"/>
            </w:pPr>
            <w:r>
              <w:rPr>
                <w:rFonts w:ascii="Calibri" w:hAnsi="Calibri"/>
                <w:color w:val="101828"/>
                <w:sz w:val="17"/>
              </w:rPr>
              <w:t>created, quoted, simulated, approved, signed, broadcast, pending, confirmed, failed, replaced, dropped, reorged, cancelled</w:t>
            </w:r>
          </w:p>
        </w:tc>
      </w:tr>
      <w:tr>
        <w:tc>
          <w:tcPr>
            <w:tcW w:type="dxa" w:w="2500"/>
            <w:tcMar>
              <w:top w:w="80" w:type="dxa"/>
              <w:start w:w="120" w:type="dxa"/>
              <w:bottom w:w="80" w:type="dxa"/>
              <w:end w:w="120" w:type="dxa"/>
            </w:tcMar>
            <w:vAlign w:val="center"/>
          </w:tcPr>
          <w:p>
            <w:pPr>
              <w:spacing w:after="0" w:line="259" w:lineRule="auto"/>
            </w:pPr>
            <w:r>
              <w:rPr>
                <w:rFonts w:ascii="Calibri" w:hAnsi="Calibri"/>
                <w:color w:val="101828"/>
                <w:sz w:val="17"/>
              </w:rPr>
              <w:t>severity</w:t>
            </w:r>
          </w:p>
        </w:tc>
        <w:tc>
          <w:tcPr>
            <w:tcW w:type="dxa" w:w="6860"/>
            <w:tcMar>
              <w:top w:w="80" w:type="dxa"/>
              <w:start w:w="120" w:type="dxa"/>
              <w:bottom w:w="80" w:type="dxa"/>
              <w:end w:w="120" w:type="dxa"/>
            </w:tcMar>
            <w:vAlign w:val="center"/>
          </w:tcPr>
          <w:p>
            <w:pPr>
              <w:spacing w:after="0" w:line="259" w:lineRule="auto"/>
            </w:pPr>
            <w:r>
              <w:rPr>
                <w:rFonts w:ascii="Calibri" w:hAnsi="Calibri"/>
                <w:color w:val="101828"/>
                <w:sz w:val="17"/>
              </w:rPr>
              <w:t>info, low, medium, high, critical</w:t>
            </w:r>
          </w:p>
        </w:tc>
      </w:tr>
    </w:tbl>
    <w:p>
      <w:pPr>
        <w:spacing w:after="20"/>
      </w:pPr>
    </w:p>
    <w:p>
      <w:pPr>
        <w:pStyle w:val="Heading2"/>
      </w:pPr>
      <w:r>
        <w:t>Appendix A.1 Suggested audit event shape</w:t>
      </w:r>
    </w:p>
    <w:p>
      <w:pPr>
        <w:pStyle w:val="CodeBlock"/>
        <w:keepLines/>
        <w:shd w:fill="F4F6F9"/>
      </w:pPr>
      <w:r>
        <w:rPr>
          <w:rFonts w:ascii="DejaVu Sans Mono" w:hAnsi="DejaVu Sans Mono"/>
          <w:color w:val="0B2545"/>
          <w:sz w:val="17"/>
        </w:rPr>
        <w:t>{</w:t>
        <w:br/>
        <w:t xml:space="preserve">  "audit_id": "aud_...",</w:t>
        <w:br/>
        <w:t xml:space="preserve">  "timestamp": "2026-08-05T09:00:00Z",</w:t>
        <w:br/>
        <w:t xml:space="preserve">  "actor": {"type": "telegram_user", "id": "123456789"},</w:t>
        <w:br/>
        <w:t xml:space="preserve">  "action": "execution_plan_approved",</w:t>
        <w:br/>
        <w:t xml:space="preserve">  "resource": {"type": "execution_plan", "id": "plan_..."},</w:t>
        <w:br/>
        <w:t xml:space="preserve">  "correlation_id": "corr_...",</w:t>
        <w:br/>
        <w:t xml:space="preserve">  "before": {"status": "simulated"},</w:t>
        <w:br/>
        <w:t xml:space="preserve">  "after": {"status": "approved", "expires_at": "..."},</w:t>
        <w:br/>
        <w:t xml:space="preserve">  "client": {"chat_type": "private", "update_id": 12345}</w:t>
        <w:br/>
        <w:t>}</w:t>
      </w:r>
    </w:p>
    <w:p>
      <w:pPr>
        <w:pStyle w:val="Heading1"/>
      </w:pPr>
      <w:r>
        <w:t>Appendix B  References</w:t>
      </w:r>
    </w:p>
    <w:p>
      <w:pPr>
        <w:spacing w:after="100"/>
      </w:pPr>
      <w:r>
        <w:rPr>
          <w:rFonts w:ascii="Calibri" w:hAnsi="Calibri"/>
          <w:b/>
          <w:color w:val="101828"/>
          <w:sz w:val="20"/>
        </w:rPr>
        <w:t xml:space="preserve">[R1] ERC-721 Non-Fungible Token Standard: </w:t>
      </w:r>
      <w:hyperlink r:id="rId18">
        <w:r>
          <w:rPr>
            <w:color w:val="2E74B5"/>
            <w:u w:val="single"/>
          </w:rPr>
          <w:t>https://eips.ethereum.org/EIPS/eip-721</w:t>
        </w:r>
      </w:hyperlink>
    </w:p>
    <w:p>
      <w:pPr>
        <w:spacing w:after="100"/>
      </w:pPr>
      <w:r>
        <w:rPr>
          <w:rFonts w:ascii="Calibri" w:hAnsi="Calibri"/>
          <w:b/>
          <w:color w:val="101828"/>
          <w:sz w:val="20"/>
        </w:rPr>
        <w:t xml:space="preserve">[R2] ERC-1155 Multi Token Standard: </w:t>
      </w:r>
      <w:hyperlink r:id="rId19">
        <w:r>
          <w:rPr>
            <w:color w:val="2E74B5"/>
            <w:u w:val="single"/>
          </w:rPr>
          <w:t>https://eips.ethereum.org/EIPS/eip-1155</w:t>
        </w:r>
      </w:hyperlink>
    </w:p>
    <w:p>
      <w:pPr>
        <w:spacing w:after="100"/>
      </w:pPr>
      <w:r>
        <w:rPr>
          <w:rFonts w:ascii="Calibri" w:hAnsi="Calibri"/>
          <w:b/>
          <w:color w:val="101828"/>
          <w:sz w:val="20"/>
        </w:rPr>
        <w:t xml:space="preserve">[R3] ERC-2309 Consecutive Transfer Extension: </w:t>
      </w:r>
      <w:hyperlink r:id="rId20">
        <w:r>
          <w:rPr>
            <w:color w:val="2E74B5"/>
            <w:u w:val="single"/>
          </w:rPr>
          <w:t>https://eips.ethereum.org/EIPS/eip-2309</w:t>
        </w:r>
      </w:hyperlink>
    </w:p>
    <w:p>
      <w:pPr>
        <w:spacing w:after="100"/>
      </w:pPr>
      <w:r>
        <w:rPr>
          <w:rFonts w:ascii="Calibri" w:hAnsi="Calibri"/>
          <w:b/>
          <w:color w:val="101828"/>
          <w:sz w:val="20"/>
        </w:rPr>
        <w:t xml:space="preserve">[R4] Ethereum JSON-RPC API: </w:t>
      </w:r>
      <w:hyperlink r:id="rId21">
        <w:r>
          <w:rPr>
            <w:color w:val="2E74B5"/>
            <w:u w:val="single"/>
          </w:rPr>
          <w:t>https://ethereum.org/developers/docs/apis/json-rpc/</w:t>
        </w:r>
      </w:hyperlink>
    </w:p>
    <w:p>
      <w:pPr>
        <w:spacing w:after="100"/>
      </w:pPr>
      <w:r>
        <w:rPr>
          <w:rFonts w:ascii="Calibri" w:hAnsi="Calibri"/>
          <w:b/>
          <w:color w:val="101828"/>
          <w:sz w:val="20"/>
        </w:rPr>
        <w:t xml:space="preserve">[R5] web3.py Events and Logs: </w:t>
      </w:r>
      <w:hyperlink r:id="rId22">
        <w:r>
          <w:rPr>
            <w:color w:val="2E74B5"/>
            <w:u w:val="single"/>
          </w:rPr>
          <w:t>https://web3py.readthedocs.io/en/stable/filters.html</w:t>
        </w:r>
      </w:hyperlink>
    </w:p>
    <w:p>
      <w:pPr>
        <w:spacing w:after="100"/>
      </w:pPr>
      <w:r>
        <w:rPr>
          <w:rFonts w:ascii="Calibri" w:hAnsi="Calibri"/>
          <w:b/>
          <w:color w:val="101828"/>
          <w:sz w:val="20"/>
        </w:rPr>
        <w:t xml:space="preserve">[R6] OpenSea SeaDrop: </w:t>
      </w:r>
      <w:hyperlink r:id="rId23">
        <w:r>
          <w:rPr>
            <w:color w:val="2E74B5"/>
            <w:u w:val="single"/>
          </w:rPr>
          <w:t>https://docs.opensea.io/docs/seadrop</w:t>
        </w:r>
      </w:hyperlink>
    </w:p>
    <w:p>
      <w:pPr>
        <w:spacing w:after="100"/>
      </w:pPr>
      <w:r>
        <w:rPr>
          <w:rFonts w:ascii="Calibri" w:hAnsi="Calibri"/>
          <w:b/>
          <w:color w:val="101828"/>
          <w:sz w:val="20"/>
        </w:rPr>
        <w:t xml:space="preserve">[R7] OpenSea Seaport: </w:t>
      </w:r>
      <w:hyperlink r:id="rId24">
        <w:r>
          <w:rPr>
            <w:color w:val="2E74B5"/>
            <w:u w:val="single"/>
          </w:rPr>
          <w:t>https://docs.opensea.io/docs/seaport</w:t>
        </w:r>
      </w:hyperlink>
    </w:p>
    <w:p>
      <w:pPr>
        <w:spacing w:after="100"/>
      </w:pPr>
      <w:r>
        <w:rPr>
          <w:rFonts w:ascii="Calibri" w:hAnsi="Calibri"/>
          <w:b/>
          <w:color w:val="101828"/>
          <w:sz w:val="20"/>
        </w:rPr>
        <w:t xml:space="preserve">[R8] Telegram Bot API: </w:t>
      </w:r>
      <w:hyperlink r:id="rId25">
        <w:r>
          <w:rPr>
            <w:color w:val="2E74B5"/>
            <w:u w:val="single"/>
          </w:rPr>
          <w:t>https://core.telegram.org/bots/api</w:t>
        </w:r>
      </w:hyperlink>
    </w:p>
    <w:p>
      <w:pPr>
        <w:spacing w:after="100"/>
      </w:pPr>
      <w:r>
        <w:rPr>
          <w:rFonts w:ascii="Calibri" w:hAnsi="Calibri"/>
          <w:b/>
          <w:color w:val="101828"/>
          <w:sz w:val="20"/>
        </w:rPr>
        <w:t xml:space="preserve">[R9] Etherscan V2 Event Logs API: </w:t>
      </w:r>
      <w:hyperlink r:id="rId26">
        <w:r>
          <w:rPr>
            <w:color w:val="2E74B5"/>
            <w:u w:val="single"/>
          </w:rPr>
          <w:t>https://docs.etherscan.io/api-reference/endpoint/getlogs</w:t>
        </w:r>
      </w:hyperlink>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1"/>
              </w:rPr>
              <w:t xml:space="preserve">DEVELOPER HANDOFF: </w:t>
            </w:r>
            <w:r>
              <w:rPr>
                <w:rFonts w:ascii="Calibri" w:hAnsi="Calibri"/>
                <w:color w:val="101828"/>
                <w:sz w:val="21"/>
              </w:rPr>
              <w:t>Before coding begins, record the initial chain, RPC provider, first adapter list, hosting target and owner-defined spend limits as Architecture Decision Records.</w:t>
            </w:r>
          </w:p>
        </w:tc>
      </w:tr>
    </w:tbl>
    <w:p>
      <w:pPr>
        <w:spacing w:after="2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0D5DD"/>
      </w:pBdr>
    </w:pPr>
    <w:r>
      <w:rPr>
        <w:rFonts w:ascii="Calibri" w:hAnsi="Calibri"/>
        <w:b/>
        <w:color w:val="667085"/>
        <w:sz w:val="17"/>
      </w:rPr>
      <w:t>NFT MINT INTELLIGENCE &amp; COPY-MINT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259" w:right="259"/>
    </w:pPr>
    <w:rPr>
      <w:rFonts w:ascii="DejaVu Sans Mono" w:hAnsi="DejaVu Sans Mono"/>
      <w:color w:val="0B2545"/>
      <w:sz w:val="17"/>
    </w:rPr>
  </w:style>
  <w:style w:type="paragraph" w:customStyle="1" w:styleId="FigureCaption">
    <w:name w:val="Figure Caption"/>
    <w:pPr>
      <w:keepNext/>
      <w:spacing w:before="60" w:after="180"/>
      <w:jc w:val="center"/>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eips.ethereum.org/EIPS/eip-721" TargetMode="External"/><Relationship Id="rId19" Type="http://schemas.openxmlformats.org/officeDocument/2006/relationships/hyperlink" Target="https://eips.ethereum.org/EIPS/eip-1155" TargetMode="External"/><Relationship Id="rId20" Type="http://schemas.openxmlformats.org/officeDocument/2006/relationships/hyperlink" Target="https://eips.ethereum.org/EIPS/eip-2309" TargetMode="External"/><Relationship Id="rId21" Type="http://schemas.openxmlformats.org/officeDocument/2006/relationships/hyperlink" Target="https://ethereum.org/developers/docs/apis/json-rpc/" TargetMode="External"/><Relationship Id="rId22" Type="http://schemas.openxmlformats.org/officeDocument/2006/relationships/hyperlink" Target="https://web3py.readthedocs.io/en/stable/filters.html" TargetMode="External"/><Relationship Id="rId23" Type="http://schemas.openxmlformats.org/officeDocument/2006/relationships/hyperlink" Target="https://docs.opensea.io/docs/seadrop" TargetMode="External"/><Relationship Id="rId24" Type="http://schemas.openxmlformats.org/officeDocument/2006/relationships/hyperlink" Target="https://docs.opensea.io/docs/seaport" TargetMode="External"/><Relationship Id="rId25" Type="http://schemas.openxmlformats.org/officeDocument/2006/relationships/hyperlink" Target="https://core.telegram.org/bots/api" TargetMode="External"/><Relationship Id="rId26" Type="http://schemas.openxmlformats.org/officeDocument/2006/relationships/hyperlink" Target="https://docs.etherscan.io/api-reference/endpoint/getl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NFT Mint Intelligence and Copy-Mint Automation System - Technical Specification</dc:title>
  <dc:subject>Developer implementation specification</dc:subject>
  <dc:creator>Project Owner</dc:creator>
  <cp:keywords>NFT, Telegram bot, EVM, mint intelligence, copy mint, Python</cp:keywords>
  <dc:description>Version 1.0</dc:description>
  <cp:lastModifiedBy/>
  <cp:revision>1</cp:revision>
  <dcterms:created xsi:type="dcterms:W3CDTF">2013-12-23T23:15:00Z</dcterms:created>
  <dcterms:modified xsi:type="dcterms:W3CDTF">2013-12-23T23:15:00Z</dcterms:modified>
  <cp:category/>
</cp:coreProperties>
</file>