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02" w:rsidRPr="00EF6C02" w:rsidRDefault="00EF6C02" w:rsidP="00EF6C02">
      <w:pPr>
        <w:pBdr>
          <w:bottom w:val="single" w:sz="6" w:space="2" w:color="AAAAAA"/>
        </w:pBdr>
        <w:shd w:val="clear" w:color="auto" w:fill="FFFFFF"/>
        <w:spacing w:after="144" w:line="288" w:lineRule="atLeast"/>
        <w:outlineLvl w:val="1"/>
        <w:rPr>
          <w:rFonts w:ascii="Arial" w:eastAsia="Times New Roman" w:hAnsi="Arial" w:cs="Arial"/>
          <w:color w:val="000000"/>
          <w:sz w:val="29"/>
          <w:szCs w:val="29"/>
        </w:rPr>
      </w:pPr>
      <w:r w:rsidRPr="00EF6C02">
        <w:rPr>
          <w:rFonts w:ascii="Arial" w:eastAsia="Times New Roman" w:hAnsi="Arial" w:cs="Arial"/>
          <w:color w:val="000000"/>
          <w:sz w:val="29"/>
        </w:rPr>
        <w:t>Kirchhoff's voltage law (KVL</w:t>
      </w:r>
      <w:proofErr w:type="gramStart"/>
      <w:r w:rsidRPr="00EF6C02">
        <w:rPr>
          <w:rFonts w:ascii="Arial" w:eastAsia="Times New Roman" w:hAnsi="Arial" w:cs="Arial"/>
          <w:color w:val="000000"/>
          <w:sz w:val="29"/>
        </w:rPr>
        <w:t>)</w:t>
      </w:r>
      <w:r w:rsidRPr="00EF6C02">
        <w:rPr>
          <w:rFonts w:ascii="Arial" w:eastAsia="Times New Roman" w:hAnsi="Arial" w:cs="Arial"/>
          <w:color w:val="000000"/>
          <w:sz w:val="24"/>
        </w:rPr>
        <w:t>[</w:t>
      </w:r>
      <w:proofErr w:type="gramEnd"/>
      <w:hyperlink r:id="rId4" w:tooltip="Edit section: Kirchhoff's voltage law (KVL)" w:history="1">
        <w:r w:rsidRPr="00EF6C02">
          <w:rPr>
            <w:rFonts w:ascii="Arial" w:eastAsia="Times New Roman" w:hAnsi="Arial" w:cs="Arial"/>
            <w:color w:val="0B0080"/>
            <w:sz w:val="24"/>
          </w:rPr>
          <w:t>edit</w:t>
        </w:r>
      </w:hyperlink>
      <w:r w:rsidRPr="00EF6C02">
        <w:rPr>
          <w:rFonts w:ascii="Arial" w:eastAsia="Times New Roman" w:hAnsi="Arial" w:cs="Arial"/>
          <w:color w:val="000000"/>
          <w:sz w:val="24"/>
        </w:rPr>
        <w:t>]</w:t>
      </w:r>
    </w:p>
    <w:p w:rsidR="00EF6C02" w:rsidRPr="00EF6C02" w:rsidRDefault="00EF6C02" w:rsidP="00EF6C02">
      <w:pPr>
        <w:shd w:val="clear" w:color="auto" w:fill="F9F9F9"/>
        <w:spacing w:after="0" w:line="288" w:lineRule="atLeast"/>
        <w:jc w:val="center"/>
        <w:rPr>
          <w:rFonts w:ascii="Arial" w:eastAsia="Times New Roman" w:hAnsi="Arial" w:cs="Arial"/>
          <w:color w:val="000000"/>
          <w:sz w:val="18"/>
          <w:szCs w:val="18"/>
        </w:rPr>
      </w:pPr>
      <w:r>
        <w:rPr>
          <w:rFonts w:ascii="Arial" w:eastAsia="Times New Roman" w:hAnsi="Arial" w:cs="Arial"/>
          <w:noProof/>
          <w:color w:val="0B0080"/>
          <w:sz w:val="18"/>
          <w:szCs w:val="18"/>
        </w:rPr>
        <w:drawing>
          <wp:inline distT="0" distB="0" distL="0" distR="0">
            <wp:extent cx="1905000" cy="1666875"/>
            <wp:effectExtent l="0" t="0" r="0" b="0"/>
            <wp:docPr id="1" name="Picture 1" descr="http://upload.wikimedia.org/wikipedia/commons/thumb/4/40/Kirchhoff_voltage_law.svg/200px-Kirchhoff_voltage_law.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0/Kirchhoff_voltage_law.svg/200px-Kirchhoff_voltage_law.svg.png">
                      <a:hlinkClick r:id="rId5"/>
                    </pic:cNvPr>
                    <pic:cNvPicPr>
                      <a:picLocks noChangeAspect="1" noChangeArrowheads="1"/>
                    </pic:cNvPicPr>
                  </pic:nvPicPr>
                  <pic:blipFill>
                    <a:blip r:embed="rId6"/>
                    <a:srcRect/>
                    <a:stretch>
                      <a:fillRect/>
                    </a:stretch>
                  </pic:blipFill>
                  <pic:spPr bwMode="auto">
                    <a:xfrm>
                      <a:off x="0" y="0"/>
                      <a:ext cx="1905000" cy="1666875"/>
                    </a:xfrm>
                    <a:prstGeom prst="rect">
                      <a:avLst/>
                    </a:prstGeom>
                    <a:noFill/>
                    <a:ln w="9525">
                      <a:noFill/>
                      <a:miter lim="800000"/>
                      <a:headEnd/>
                      <a:tailEnd/>
                    </a:ln>
                  </pic:spPr>
                </pic:pic>
              </a:graphicData>
            </a:graphic>
          </wp:inline>
        </w:drawing>
      </w:r>
    </w:p>
    <w:p w:rsidR="00EF6C02" w:rsidRPr="00EF6C02" w:rsidRDefault="00EF6C02" w:rsidP="00EF6C02">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B0080"/>
          <w:sz w:val="17"/>
          <w:szCs w:val="17"/>
        </w:rPr>
        <w:drawing>
          <wp:inline distT="0" distB="0" distL="0" distR="0">
            <wp:extent cx="142875" cy="104775"/>
            <wp:effectExtent l="19050" t="0" r="9525" b="0"/>
            <wp:docPr id="2" name="Picture 2" descr="http://bits.wikimedia.org/static-1.22wmf21/skins/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2wmf21/skins/common/images/magnify-clip.png">
                      <a:hlinkClick r:id="rId5" tooltip="&quot;Enlarge&quot;"/>
                    </pic:cNvPr>
                    <pic:cNvPicPr>
                      <a:picLocks noChangeAspect="1" noChangeArrowheads="1"/>
                    </pic:cNvPicPr>
                  </pic:nvPicPr>
                  <pic:blipFill>
                    <a:blip r:embed="rId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EF6C02" w:rsidRPr="00EF6C02" w:rsidRDefault="00EF6C02" w:rsidP="00EF6C02">
      <w:pPr>
        <w:shd w:val="clear" w:color="auto" w:fill="F9F9F9"/>
        <w:spacing w:line="336" w:lineRule="atLeast"/>
        <w:rPr>
          <w:rFonts w:ascii="Arial" w:eastAsia="Times New Roman" w:hAnsi="Arial" w:cs="Arial"/>
          <w:color w:val="000000"/>
          <w:sz w:val="17"/>
          <w:szCs w:val="17"/>
        </w:rPr>
      </w:pPr>
      <w:r w:rsidRPr="00EF6C02">
        <w:rPr>
          <w:rFonts w:ascii="Arial" w:eastAsia="Times New Roman" w:hAnsi="Arial" w:cs="Arial"/>
          <w:color w:val="000000"/>
          <w:sz w:val="17"/>
          <w:szCs w:val="17"/>
        </w:rPr>
        <w:t>The sum of all the voltages around the loop is equal to zero. v</w:t>
      </w:r>
      <w:r w:rsidRPr="00EF6C02">
        <w:rPr>
          <w:rFonts w:ascii="Arial" w:eastAsia="Times New Roman" w:hAnsi="Arial" w:cs="Arial"/>
          <w:color w:val="000000"/>
          <w:sz w:val="17"/>
          <w:szCs w:val="17"/>
          <w:vertAlign w:val="subscript"/>
        </w:rPr>
        <w:t>1</w:t>
      </w:r>
      <w:r w:rsidRPr="00EF6C02">
        <w:rPr>
          <w:rFonts w:ascii="Arial" w:eastAsia="Times New Roman" w:hAnsi="Arial" w:cs="Arial"/>
          <w:color w:val="000000"/>
          <w:sz w:val="17"/>
        </w:rPr>
        <w:t> </w:t>
      </w:r>
      <w:r w:rsidRPr="00EF6C02">
        <w:rPr>
          <w:rFonts w:ascii="Arial" w:eastAsia="Times New Roman" w:hAnsi="Arial" w:cs="Arial"/>
          <w:color w:val="000000"/>
          <w:sz w:val="17"/>
          <w:szCs w:val="17"/>
        </w:rPr>
        <w:t>+ v</w:t>
      </w:r>
      <w:r w:rsidRPr="00EF6C02">
        <w:rPr>
          <w:rFonts w:ascii="Arial" w:eastAsia="Times New Roman" w:hAnsi="Arial" w:cs="Arial"/>
          <w:color w:val="000000"/>
          <w:sz w:val="17"/>
          <w:szCs w:val="17"/>
          <w:vertAlign w:val="subscript"/>
        </w:rPr>
        <w:t>2</w:t>
      </w:r>
      <w:r w:rsidRPr="00EF6C02">
        <w:rPr>
          <w:rFonts w:ascii="Arial" w:eastAsia="Times New Roman" w:hAnsi="Arial" w:cs="Arial"/>
          <w:color w:val="000000"/>
          <w:sz w:val="17"/>
        </w:rPr>
        <w:t> </w:t>
      </w:r>
      <w:r w:rsidRPr="00EF6C02">
        <w:rPr>
          <w:rFonts w:ascii="Arial" w:eastAsia="Times New Roman" w:hAnsi="Arial" w:cs="Arial"/>
          <w:color w:val="000000"/>
          <w:sz w:val="17"/>
          <w:szCs w:val="17"/>
        </w:rPr>
        <w:t>+ v</w:t>
      </w:r>
      <w:r w:rsidRPr="00EF6C02">
        <w:rPr>
          <w:rFonts w:ascii="Arial" w:eastAsia="Times New Roman" w:hAnsi="Arial" w:cs="Arial"/>
          <w:color w:val="000000"/>
          <w:sz w:val="17"/>
          <w:szCs w:val="17"/>
          <w:vertAlign w:val="subscript"/>
        </w:rPr>
        <w:t>3</w:t>
      </w:r>
      <w:r w:rsidRPr="00EF6C02">
        <w:rPr>
          <w:rFonts w:ascii="Arial" w:eastAsia="Times New Roman" w:hAnsi="Arial" w:cs="Arial"/>
          <w:color w:val="000000"/>
          <w:sz w:val="17"/>
        </w:rPr>
        <w:t> </w:t>
      </w:r>
      <w:r w:rsidRPr="00EF6C02">
        <w:rPr>
          <w:rFonts w:ascii="Arial" w:eastAsia="Times New Roman" w:hAnsi="Arial" w:cs="Arial"/>
          <w:color w:val="000000"/>
          <w:sz w:val="17"/>
          <w:szCs w:val="17"/>
        </w:rPr>
        <w:t>- v</w:t>
      </w:r>
      <w:r w:rsidRPr="00EF6C02">
        <w:rPr>
          <w:rFonts w:ascii="Arial" w:eastAsia="Times New Roman" w:hAnsi="Arial" w:cs="Arial"/>
          <w:color w:val="000000"/>
          <w:sz w:val="17"/>
          <w:szCs w:val="17"/>
          <w:vertAlign w:val="subscript"/>
        </w:rPr>
        <w:t>4</w:t>
      </w:r>
      <w:r w:rsidRPr="00EF6C02">
        <w:rPr>
          <w:rFonts w:ascii="Arial" w:eastAsia="Times New Roman" w:hAnsi="Arial" w:cs="Arial"/>
          <w:color w:val="000000"/>
          <w:sz w:val="17"/>
        </w:rPr>
        <w:t> </w:t>
      </w:r>
      <w:r w:rsidRPr="00EF6C02">
        <w:rPr>
          <w:rFonts w:ascii="Arial" w:eastAsia="Times New Roman" w:hAnsi="Arial" w:cs="Arial"/>
          <w:color w:val="000000"/>
          <w:sz w:val="17"/>
          <w:szCs w:val="17"/>
        </w:rPr>
        <w:t>= 0</w:t>
      </w:r>
    </w:p>
    <w:p w:rsidR="00EF6C02" w:rsidRPr="00EF6C02" w:rsidRDefault="00EF6C02" w:rsidP="00EF6C02">
      <w:pPr>
        <w:shd w:val="clear" w:color="auto" w:fill="FFFFFF"/>
        <w:spacing w:before="96" w:after="120" w:line="288" w:lineRule="atLeast"/>
        <w:rPr>
          <w:rFonts w:ascii="Arial" w:eastAsia="Times New Roman" w:hAnsi="Arial" w:cs="Arial"/>
          <w:color w:val="000000"/>
          <w:sz w:val="20"/>
          <w:szCs w:val="20"/>
        </w:rPr>
      </w:pPr>
      <w:r w:rsidRPr="00EF6C02">
        <w:rPr>
          <w:rFonts w:ascii="Arial" w:eastAsia="Times New Roman" w:hAnsi="Arial" w:cs="Arial"/>
          <w:color w:val="000000"/>
          <w:sz w:val="20"/>
          <w:szCs w:val="20"/>
        </w:rPr>
        <w:t>This law is also called</w:t>
      </w:r>
      <w:r w:rsidRPr="00EF6C02">
        <w:rPr>
          <w:rFonts w:ascii="Arial" w:eastAsia="Times New Roman" w:hAnsi="Arial" w:cs="Arial"/>
          <w:color w:val="000000"/>
          <w:sz w:val="20"/>
        </w:rPr>
        <w:t> </w:t>
      </w:r>
      <w:r w:rsidRPr="00EF6C02">
        <w:rPr>
          <w:rFonts w:ascii="Arial" w:eastAsia="Times New Roman" w:hAnsi="Arial" w:cs="Arial"/>
          <w:b/>
          <w:bCs/>
          <w:color w:val="000000"/>
          <w:sz w:val="20"/>
          <w:szCs w:val="20"/>
        </w:rPr>
        <w:t>Kirchhoff's second law</w:t>
      </w:r>
      <w:r w:rsidRPr="00EF6C02">
        <w:rPr>
          <w:rFonts w:ascii="Arial" w:eastAsia="Times New Roman" w:hAnsi="Arial" w:cs="Arial"/>
          <w:color w:val="000000"/>
          <w:sz w:val="20"/>
          <w:szCs w:val="20"/>
        </w:rPr>
        <w:t>,</w:t>
      </w:r>
      <w:r w:rsidRPr="00EF6C02">
        <w:rPr>
          <w:rFonts w:ascii="Arial" w:eastAsia="Times New Roman" w:hAnsi="Arial" w:cs="Arial"/>
          <w:color w:val="000000"/>
          <w:sz w:val="20"/>
        </w:rPr>
        <w:t> </w:t>
      </w:r>
      <w:r w:rsidRPr="00EF6C02">
        <w:rPr>
          <w:rFonts w:ascii="Arial" w:eastAsia="Times New Roman" w:hAnsi="Arial" w:cs="Arial"/>
          <w:b/>
          <w:bCs/>
          <w:color w:val="000000"/>
          <w:sz w:val="20"/>
          <w:szCs w:val="20"/>
        </w:rPr>
        <w:t>Kirchhoff's loop (or mesh) rule</w:t>
      </w:r>
      <w:r w:rsidRPr="00EF6C02">
        <w:rPr>
          <w:rFonts w:ascii="Arial" w:eastAsia="Times New Roman" w:hAnsi="Arial" w:cs="Arial"/>
          <w:color w:val="000000"/>
          <w:sz w:val="20"/>
          <w:szCs w:val="20"/>
        </w:rPr>
        <w:t xml:space="preserve">, </w:t>
      </w:r>
      <w:proofErr w:type="spellStart"/>
      <w:r w:rsidRPr="00EF6C02">
        <w:rPr>
          <w:rFonts w:ascii="Arial" w:eastAsia="Times New Roman" w:hAnsi="Arial" w:cs="Arial"/>
          <w:color w:val="000000"/>
          <w:sz w:val="20"/>
          <w:szCs w:val="20"/>
        </w:rPr>
        <w:t>and</w:t>
      </w:r>
      <w:r w:rsidRPr="00EF6C02">
        <w:rPr>
          <w:rFonts w:ascii="Arial" w:eastAsia="Times New Roman" w:hAnsi="Arial" w:cs="Arial"/>
          <w:b/>
          <w:bCs/>
          <w:color w:val="000000"/>
          <w:sz w:val="20"/>
          <w:szCs w:val="20"/>
        </w:rPr>
        <w:t>Kirchhoff's</w:t>
      </w:r>
      <w:proofErr w:type="spellEnd"/>
      <w:r w:rsidRPr="00EF6C02">
        <w:rPr>
          <w:rFonts w:ascii="Arial" w:eastAsia="Times New Roman" w:hAnsi="Arial" w:cs="Arial"/>
          <w:b/>
          <w:bCs/>
          <w:color w:val="000000"/>
          <w:sz w:val="20"/>
          <w:szCs w:val="20"/>
        </w:rPr>
        <w:t xml:space="preserve"> second rule</w:t>
      </w:r>
      <w:r w:rsidRPr="00EF6C02">
        <w:rPr>
          <w:rFonts w:ascii="Arial" w:eastAsia="Times New Roman" w:hAnsi="Arial" w:cs="Arial"/>
          <w:color w:val="000000"/>
          <w:sz w:val="20"/>
          <w:szCs w:val="20"/>
        </w:rPr>
        <w:t>.</w:t>
      </w:r>
    </w:p>
    <w:p w:rsidR="00EF6C02" w:rsidRPr="00EF6C02" w:rsidRDefault="00EF6C02" w:rsidP="00EF6C02">
      <w:pPr>
        <w:shd w:val="clear" w:color="auto" w:fill="FFFFFF"/>
        <w:spacing w:before="96" w:after="120" w:line="288" w:lineRule="atLeast"/>
        <w:rPr>
          <w:rFonts w:ascii="Arial" w:eastAsia="Times New Roman" w:hAnsi="Arial" w:cs="Arial"/>
          <w:color w:val="000000"/>
          <w:sz w:val="20"/>
          <w:szCs w:val="20"/>
        </w:rPr>
      </w:pPr>
      <w:r w:rsidRPr="00EF6C02">
        <w:rPr>
          <w:rFonts w:ascii="Arial" w:eastAsia="Times New Roman" w:hAnsi="Arial" w:cs="Arial"/>
          <w:color w:val="000000"/>
          <w:sz w:val="20"/>
          <w:szCs w:val="20"/>
        </w:rPr>
        <w:t>Similarly to KCL, it can be stated as:</w:t>
      </w:r>
    </w:p>
    <w:p w:rsidR="00EF6C02" w:rsidRPr="00EF6C02" w:rsidRDefault="00EF6C02" w:rsidP="00EF6C02">
      <w:pPr>
        <w:shd w:val="clear" w:color="auto" w:fill="FFFFFF"/>
        <w:spacing w:after="24" w:line="360" w:lineRule="atLeast"/>
        <w:ind w:left="72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800100" cy="466725"/>
            <wp:effectExtent l="19050" t="0" r="0" b="0"/>
            <wp:docPr id="3" name="Picture 3" descr="\sum_{k=1}^n V_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m_{k=1}^n V_k = 0"/>
                    <pic:cNvPicPr>
                      <a:picLocks noChangeAspect="1" noChangeArrowheads="1"/>
                    </pic:cNvPicPr>
                  </pic:nvPicPr>
                  <pic:blipFill>
                    <a:blip r:embed="rId8"/>
                    <a:srcRect/>
                    <a:stretch>
                      <a:fillRect/>
                    </a:stretch>
                  </pic:blipFill>
                  <pic:spPr bwMode="auto">
                    <a:xfrm>
                      <a:off x="0" y="0"/>
                      <a:ext cx="800100" cy="466725"/>
                    </a:xfrm>
                    <a:prstGeom prst="rect">
                      <a:avLst/>
                    </a:prstGeom>
                    <a:noFill/>
                    <a:ln w="9525">
                      <a:noFill/>
                      <a:miter lim="800000"/>
                      <a:headEnd/>
                      <a:tailEnd/>
                    </a:ln>
                  </pic:spPr>
                </pic:pic>
              </a:graphicData>
            </a:graphic>
          </wp:inline>
        </w:drawing>
      </w:r>
    </w:p>
    <w:p w:rsidR="00EF6C02" w:rsidRPr="00EF6C02" w:rsidRDefault="00EF6C02" w:rsidP="00EF6C02">
      <w:pPr>
        <w:shd w:val="clear" w:color="auto" w:fill="FFFFFF"/>
        <w:spacing w:before="96" w:after="120" w:line="288" w:lineRule="atLeast"/>
        <w:ind w:left="384"/>
        <w:rPr>
          <w:rFonts w:ascii="Arial" w:eastAsia="Times New Roman" w:hAnsi="Arial" w:cs="Arial"/>
          <w:color w:val="000000"/>
          <w:sz w:val="20"/>
          <w:szCs w:val="20"/>
        </w:rPr>
      </w:pPr>
      <w:r w:rsidRPr="00EF6C02">
        <w:rPr>
          <w:rFonts w:ascii="Arial" w:eastAsia="Times New Roman" w:hAnsi="Arial" w:cs="Arial"/>
          <w:color w:val="000000"/>
          <w:sz w:val="20"/>
          <w:szCs w:val="20"/>
        </w:rPr>
        <w:t>Here,</w:t>
      </w:r>
      <w:r w:rsidRPr="00EF6C02">
        <w:rPr>
          <w:rFonts w:ascii="Arial" w:eastAsia="Times New Roman" w:hAnsi="Arial" w:cs="Arial"/>
          <w:color w:val="000000"/>
          <w:sz w:val="20"/>
        </w:rPr>
        <w:t> </w:t>
      </w:r>
      <w:r w:rsidRPr="00EF6C02">
        <w:rPr>
          <w:rFonts w:ascii="Arial" w:eastAsia="Times New Roman" w:hAnsi="Arial" w:cs="Arial"/>
          <w:i/>
          <w:iCs/>
          <w:color w:val="000000"/>
          <w:sz w:val="20"/>
          <w:szCs w:val="20"/>
        </w:rPr>
        <w:t>n</w:t>
      </w:r>
      <w:r w:rsidRPr="00EF6C02">
        <w:rPr>
          <w:rFonts w:ascii="Arial" w:eastAsia="Times New Roman" w:hAnsi="Arial" w:cs="Arial"/>
          <w:color w:val="000000"/>
          <w:sz w:val="20"/>
        </w:rPr>
        <w:t> </w:t>
      </w:r>
      <w:r w:rsidRPr="00EF6C02">
        <w:rPr>
          <w:rFonts w:ascii="Arial" w:eastAsia="Times New Roman" w:hAnsi="Arial" w:cs="Arial"/>
          <w:color w:val="000000"/>
          <w:sz w:val="20"/>
          <w:szCs w:val="20"/>
        </w:rPr>
        <w:t>is the total number of voltages measured. The voltages may also be complex:</w:t>
      </w:r>
    </w:p>
    <w:p w:rsidR="00EF6C02" w:rsidRPr="00EF6C02" w:rsidRDefault="00EF6C02" w:rsidP="00EF6C02">
      <w:pPr>
        <w:shd w:val="clear" w:color="auto" w:fill="FFFFFF"/>
        <w:spacing w:after="24" w:line="360" w:lineRule="atLeast"/>
        <w:ind w:left="72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800100" cy="466725"/>
            <wp:effectExtent l="19050" t="0" r="0" b="0"/>
            <wp:docPr id="4" name="Picture 4" descr="\sum_{k=1}^n \tilde{V}_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_{k=1}^n \tilde{V}_k = 0"/>
                    <pic:cNvPicPr>
                      <a:picLocks noChangeAspect="1" noChangeArrowheads="1"/>
                    </pic:cNvPicPr>
                  </pic:nvPicPr>
                  <pic:blipFill>
                    <a:blip r:embed="rId9"/>
                    <a:srcRect/>
                    <a:stretch>
                      <a:fillRect/>
                    </a:stretch>
                  </pic:blipFill>
                  <pic:spPr bwMode="auto">
                    <a:xfrm>
                      <a:off x="0" y="0"/>
                      <a:ext cx="800100" cy="466725"/>
                    </a:xfrm>
                    <a:prstGeom prst="rect">
                      <a:avLst/>
                    </a:prstGeom>
                    <a:noFill/>
                    <a:ln w="9525">
                      <a:noFill/>
                      <a:miter lim="800000"/>
                      <a:headEnd/>
                      <a:tailEnd/>
                    </a:ln>
                  </pic:spPr>
                </pic:pic>
              </a:graphicData>
            </a:graphic>
          </wp:inline>
        </w:drawing>
      </w:r>
    </w:p>
    <w:p w:rsidR="00EF6C02" w:rsidRPr="00EF6C02" w:rsidRDefault="00EF6C02" w:rsidP="00EF6C02">
      <w:pPr>
        <w:shd w:val="clear" w:color="auto" w:fill="FFFFFF"/>
        <w:spacing w:before="96" w:after="120" w:line="288" w:lineRule="atLeast"/>
        <w:ind w:left="768"/>
        <w:rPr>
          <w:rFonts w:ascii="Arial" w:eastAsia="Times New Roman" w:hAnsi="Arial" w:cs="Arial"/>
          <w:color w:val="000000"/>
          <w:sz w:val="20"/>
          <w:szCs w:val="20"/>
        </w:rPr>
      </w:pPr>
      <w:r w:rsidRPr="00EF6C02">
        <w:rPr>
          <w:rFonts w:ascii="Arial" w:eastAsia="Times New Roman" w:hAnsi="Arial" w:cs="Arial"/>
          <w:color w:val="000000"/>
          <w:sz w:val="20"/>
          <w:szCs w:val="20"/>
        </w:rPr>
        <w:t>This law is based on one of the Maxwell equations, namely the</w:t>
      </w:r>
      <w:r w:rsidRPr="00EF6C02">
        <w:rPr>
          <w:rFonts w:ascii="Arial" w:eastAsia="Times New Roman" w:hAnsi="Arial" w:cs="Arial"/>
          <w:color w:val="000000"/>
          <w:sz w:val="20"/>
        </w:rPr>
        <w:t> </w:t>
      </w:r>
      <w:hyperlink r:id="rId10" w:anchor="Maxwell.E2.80.93Faraday_equation" w:tooltip="Faraday's law of induction" w:history="1">
        <w:r w:rsidRPr="00EF6C02">
          <w:rPr>
            <w:rFonts w:ascii="Arial" w:eastAsia="Times New Roman" w:hAnsi="Arial" w:cs="Arial"/>
            <w:color w:val="0B0080"/>
            <w:sz w:val="20"/>
          </w:rPr>
          <w:t>Maxwell-Faraday law of induction</w:t>
        </w:r>
      </w:hyperlink>
      <w:r w:rsidRPr="00EF6C02">
        <w:rPr>
          <w:rFonts w:ascii="Arial" w:eastAsia="Times New Roman" w:hAnsi="Arial" w:cs="Arial"/>
          <w:color w:val="000000"/>
          <w:sz w:val="20"/>
          <w:szCs w:val="20"/>
        </w:rPr>
        <w:t>, which states that the voltage drop around any closed loop is equal to the rate-of-change of the flux threading the loop. The amount of flux depends on the area of the loop and on the magnetic field strength. KVL states the loop voltage is zero. The Maxwell equations tell us that the loop voltage will be</w:t>
      </w:r>
      <w:r w:rsidRPr="00EF6C02">
        <w:rPr>
          <w:rFonts w:ascii="Arial" w:eastAsia="Times New Roman" w:hAnsi="Arial" w:cs="Arial"/>
          <w:color w:val="000000"/>
          <w:sz w:val="20"/>
        </w:rPr>
        <w:t> </w:t>
      </w:r>
      <w:r w:rsidRPr="00EF6C02">
        <w:rPr>
          <w:rFonts w:ascii="Arial" w:eastAsia="Times New Roman" w:hAnsi="Arial" w:cs="Arial"/>
          <w:i/>
          <w:iCs/>
          <w:color w:val="000000"/>
          <w:sz w:val="20"/>
          <w:szCs w:val="20"/>
        </w:rPr>
        <w:t>small</w:t>
      </w:r>
      <w:r w:rsidRPr="00EF6C02">
        <w:rPr>
          <w:rFonts w:ascii="Arial" w:eastAsia="Times New Roman" w:hAnsi="Arial" w:cs="Arial"/>
          <w:color w:val="000000"/>
          <w:sz w:val="20"/>
        </w:rPr>
        <w:t> </w:t>
      </w:r>
      <w:r w:rsidRPr="00EF6C02">
        <w:rPr>
          <w:rFonts w:ascii="Arial" w:eastAsia="Times New Roman" w:hAnsi="Arial" w:cs="Arial"/>
          <w:color w:val="000000"/>
          <w:sz w:val="20"/>
          <w:szCs w:val="20"/>
        </w:rPr>
        <w:t>if the area of the loop is small, the magnetic field is weak, and/or the magnetic field is slowly changing.</w:t>
      </w:r>
    </w:p>
    <w:p w:rsidR="00EF6C02" w:rsidRPr="00EF6C02" w:rsidRDefault="00EF6C02" w:rsidP="00EF6C02">
      <w:pPr>
        <w:shd w:val="clear" w:color="auto" w:fill="FFFFFF"/>
        <w:spacing w:before="96" w:after="120" w:line="288" w:lineRule="atLeast"/>
        <w:ind w:left="768"/>
        <w:rPr>
          <w:rFonts w:ascii="Arial" w:eastAsia="Times New Roman" w:hAnsi="Arial" w:cs="Arial"/>
          <w:color w:val="000000"/>
          <w:sz w:val="20"/>
          <w:szCs w:val="20"/>
        </w:rPr>
      </w:pPr>
      <w:r w:rsidRPr="00EF6C02">
        <w:rPr>
          <w:rFonts w:ascii="Arial" w:eastAsia="Times New Roman" w:hAnsi="Arial" w:cs="Arial"/>
          <w:color w:val="000000"/>
          <w:sz w:val="20"/>
          <w:szCs w:val="20"/>
        </w:rPr>
        <w:t>Routine engineering techniques -- such as the use of coaxial cable and twisted pairs -- can be used to minimize stray magnetic fields and minimize the area of vulnerable loops. Utilization of these techniques creates an</w:t>
      </w:r>
      <w:r w:rsidRPr="00EF6C02">
        <w:rPr>
          <w:rFonts w:ascii="Arial" w:eastAsia="Times New Roman" w:hAnsi="Arial" w:cs="Arial"/>
          <w:color w:val="000000"/>
          <w:sz w:val="20"/>
        </w:rPr>
        <w:t> </w:t>
      </w:r>
      <w:r w:rsidRPr="00EF6C02">
        <w:rPr>
          <w:rFonts w:ascii="Arial" w:eastAsia="Times New Roman" w:hAnsi="Arial" w:cs="Arial"/>
          <w:i/>
          <w:iCs/>
          <w:color w:val="000000"/>
          <w:sz w:val="20"/>
          <w:szCs w:val="20"/>
        </w:rPr>
        <w:t>arrangement,</w:t>
      </w:r>
      <w:r w:rsidRPr="00EF6C02">
        <w:rPr>
          <w:rFonts w:ascii="Arial" w:eastAsia="Times New Roman" w:hAnsi="Arial" w:cs="Arial"/>
          <w:color w:val="000000"/>
          <w:sz w:val="20"/>
        </w:rPr>
        <w:t> </w:t>
      </w:r>
      <w:r w:rsidRPr="00EF6C02">
        <w:rPr>
          <w:rFonts w:ascii="Arial" w:eastAsia="Times New Roman" w:hAnsi="Arial" w:cs="Arial"/>
          <w:color w:val="000000"/>
          <w:sz w:val="20"/>
          <w:szCs w:val="20"/>
        </w:rPr>
        <w:t>whereby KVL becomes a useful approximation for situations where its application was imprecise.</w:t>
      </w:r>
    </w:p>
    <w:p w:rsidR="00223B3E" w:rsidRDefault="00EF6C02"/>
    <w:sectPr w:rsidR="00223B3E" w:rsidSect="00E73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6C02"/>
    <w:rsid w:val="009528EA"/>
    <w:rsid w:val="00D27642"/>
    <w:rsid w:val="00E73984"/>
    <w:rsid w:val="00EF6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984"/>
  </w:style>
  <w:style w:type="paragraph" w:styleId="Heading2">
    <w:name w:val="heading 2"/>
    <w:basedOn w:val="Normal"/>
    <w:link w:val="Heading2Char"/>
    <w:uiPriority w:val="9"/>
    <w:qFormat/>
    <w:rsid w:val="00EF6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C02"/>
    <w:rPr>
      <w:rFonts w:ascii="Times New Roman" w:eastAsia="Times New Roman" w:hAnsi="Times New Roman" w:cs="Times New Roman"/>
      <w:b/>
      <w:bCs/>
      <w:sz w:val="36"/>
      <w:szCs w:val="36"/>
    </w:rPr>
  </w:style>
  <w:style w:type="character" w:customStyle="1" w:styleId="mw-headline">
    <w:name w:val="mw-headline"/>
    <w:basedOn w:val="DefaultParagraphFont"/>
    <w:rsid w:val="00EF6C02"/>
  </w:style>
  <w:style w:type="character" w:customStyle="1" w:styleId="mw-editsection">
    <w:name w:val="mw-editsection"/>
    <w:basedOn w:val="DefaultParagraphFont"/>
    <w:rsid w:val="00EF6C02"/>
  </w:style>
  <w:style w:type="character" w:customStyle="1" w:styleId="mw-editsection-bracket">
    <w:name w:val="mw-editsection-bracket"/>
    <w:basedOn w:val="DefaultParagraphFont"/>
    <w:rsid w:val="00EF6C02"/>
  </w:style>
  <w:style w:type="character" w:styleId="Hyperlink">
    <w:name w:val="Hyperlink"/>
    <w:basedOn w:val="DefaultParagraphFont"/>
    <w:uiPriority w:val="99"/>
    <w:semiHidden/>
    <w:unhideWhenUsed/>
    <w:rsid w:val="00EF6C02"/>
    <w:rPr>
      <w:color w:val="0000FF"/>
      <w:u w:val="single"/>
    </w:rPr>
  </w:style>
  <w:style w:type="character" w:customStyle="1" w:styleId="apple-converted-space">
    <w:name w:val="apple-converted-space"/>
    <w:basedOn w:val="DefaultParagraphFont"/>
    <w:rsid w:val="00EF6C02"/>
  </w:style>
  <w:style w:type="paragraph" w:styleId="NormalWeb">
    <w:name w:val="Normal (Web)"/>
    <w:basedOn w:val="Normal"/>
    <w:uiPriority w:val="99"/>
    <w:semiHidden/>
    <w:unhideWhenUsed/>
    <w:rsid w:val="00EF6C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6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C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1450456">
      <w:bodyDiv w:val="1"/>
      <w:marLeft w:val="0"/>
      <w:marRight w:val="0"/>
      <w:marTop w:val="0"/>
      <w:marBottom w:val="0"/>
      <w:divBdr>
        <w:top w:val="none" w:sz="0" w:space="0" w:color="auto"/>
        <w:left w:val="none" w:sz="0" w:space="0" w:color="auto"/>
        <w:bottom w:val="none" w:sz="0" w:space="0" w:color="auto"/>
        <w:right w:val="none" w:sz="0" w:space="0" w:color="auto"/>
      </w:divBdr>
      <w:divsChild>
        <w:div w:id="1010377491">
          <w:marLeft w:val="336"/>
          <w:marRight w:val="0"/>
          <w:marTop w:val="120"/>
          <w:marBottom w:val="312"/>
          <w:divBdr>
            <w:top w:val="none" w:sz="0" w:space="0" w:color="auto"/>
            <w:left w:val="none" w:sz="0" w:space="0" w:color="auto"/>
            <w:bottom w:val="none" w:sz="0" w:space="0" w:color="auto"/>
            <w:right w:val="none" w:sz="0" w:space="0" w:color="auto"/>
          </w:divBdr>
          <w:divsChild>
            <w:div w:id="1558659478">
              <w:marLeft w:val="0"/>
              <w:marRight w:val="0"/>
              <w:marTop w:val="0"/>
              <w:marBottom w:val="0"/>
              <w:divBdr>
                <w:top w:val="single" w:sz="6" w:space="0" w:color="CCCCCC"/>
                <w:left w:val="single" w:sz="6" w:space="0" w:color="CCCCCC"/>
                <w:bottom w:val="single" w:sz="6" w:space="0" w:color="CCCCCC"/>
                <w:right w:val="single" w:sz="6" w:space="0" w:color="CCCCCC"/>
              </w:divBdr>
              <w:divsChild>
                <w:div w:id="41682988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en.wikipedia.org/wiki/File:Kirchhoff_voltage_law.svg" TargetMode="External"/><Relationship Id="rId10" Type="http://schemas.openxmlformats.org/officeDocument/2006/relationships/hyperlink" Target="http://en.wikipedia.org/wiki/Faraday%27s_law_of_induction" TargetMode="External"/><Relationship Id="rId4" Type="http://schemas.openxmlformats.org/officeDocument/2006/relationships/hyperlink" Target="http://en.wikipedia.org/w/index.php?title=Kirchhoff%27s_circuit_laws&amp;action=edit&amp;section=4"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nayab</dc:creator>
  <cp:lastModifiedBy>nayab</cp:lastModifiedBy>
  <cp:revision>1</cp:revision>
  <dcterms:created xsi:type="dcterms:W3CDTF">2013-10-23T06:29:00Z</dcterms:created>
  <dcterms:modified xsi:type="dcterms:W3CDTF">2013-10-23T06:29:00Z</dcterms:modified>
</cp:coreProperties>
</file>