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6"/>
          <w:szCs w:val="36"/>
          <w:u w:val="single"/>
          <w:lang w:val="en-GB"/>
        </w:rPr>
      </w:pPr>
      <w:r>
        <w:rPr>
          <w:rFonts w:eastAsia="ＭＳ ゴシック" w:cs="" w:cstheme="majorBidi" w:eastAsiaTheme="majorEastAsia"/>
          <w:b/>
          <w:bCs/>
          <w:sz w:val="36"/>
          <w:szCs w:val="36"/>
          <w:lang w:val="en-GB"/>
        </w:rPr>
        <w:t xml:space="preserve">         </w:t>
      </w:r>
      <w:r>
        <w:rPr>
          <w:rFonts w:eastAsia="ＭＳ ゴシック" w:cs="" w:cstheme="majorBidi" w:eastAsiaTheme="majorEastAsia"/>
          <w:b/>
          <w:bCs/>
          <w:sz w:val="36"/>
          <w:szCs w:val="36"/>
          <w:u w:val="single"/>
          <w:lang w:val="en-GB"/>
        </w:rPr>
        <w:t>Fundamentals of Software Project Management</w:t>
      </w:r>
    </w:p>
    <w:p>
      <w:pPr>
        <w:pStyle w:val="Normal"/>
        <w:rPr>
          <w:rFonts w:ascii="Calibri" w:hAnsi="Calibri" w:eastAsia="ＭＳ ゴシック" w:cs="" w:asciiTheme="majorHAnsi" w:cstheme="majorBidi" w:eastAsiaTheme="majorEastAsia" w:hAnsiTheme="majorHAnsi"/>
          <w:b/>
          <w:bCs/>
          <w:sz w:val="32"/>
          <w:szCs w:val="32"/>
          <w:u w:val="single"/>
          <w:lang w:val="en-GB"/>
        </w:rPr>
      </w:pPr>
      <w:r>
        <w:rPr>
          <w:rFonts w:eastAsia="ＭＳ ゴシック" w:cs="" w:cstheme="majorBidi" w:eastAsiaTheme="majorEastAsia"/>
          <w:b/>
          <w:bCs/>
          <w:sz w:val="32"/>
          <w:szCs w:val="32"/>
          <w:lang w:val="en-GB"/>
        </w:rPr>
        <w:t xml:space="preserve">                                         </w:t>
      </w:r>
      <w:r>
        <w:rPr>
          <w:rFonts w:eastAsia="ＭＳ ゴシック" w:cs="" w:cstheme="majorBidi" w:eastAsiaTheme="majorEastAsia"/>
          <w:b/>
          <w:bCs/>
          <w:sz w:val="32"/>
          <w:szCs w:val="32"/>
          <w:u w:val="single"/>
          <w:lang w:val="en-GB"/>
        </w:rPr>
        <w:t>Risk Analysis Report</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spacing w:lineRule="auto" w:line="720"/>
        <w:rPr>
          <w:rFonts w:ascii="Calibri" w:hAnsi="Calibri" w:eastAsia="ＭＳ ゴシック" w:cs="" w:asciiTheme="majorHAnsi" w:cstheme="majorBidi" w:eastAsiaTheme="majorEastAsia" w:hAnsiTheme="majorHAnsi"/>
          <w:sz w:val="36"/>
          <w:szCs w:val="36"/>
          <w:lang w:val="en-GB"/>
        </w:rPr>
      </w:pPr>
      <w:r>
        <w:rPr>
          <w:rFonts w:eastAsia="ＭＳ ゴシック" w:cs="" w:cstheme="majorBidi" w:eastAsiaTheme="majorEastAsia"/>
          <w:sz w:val="24"/>
          <w:szCs w:val="24"/>
          <w:lang w:val="en-GB"/>
        </w:rPr>
        <w:br/>
        <w:br/>
      </w:r>
      <w:r>
        <w:rPr>
          <w:rFonts w:eastAsia="ＭＳ ゴシック" w:cs="" w:cstheme="majorBidi" w:eastAsiaTheme="majorEastAsia"/>
          <w:b/>
          <w:bCs/>
          <w:sz w:val="36"/>
          <w:szCs w:val="36"/>
          <w:lang w:val="en-GB"/>
        </w:rPr>
        <w:t>Name:</w:t>
      </w:r>
      <w:r>
        <w:rPr>
          <w:rFonts w:eastAsia="ＭＳ ゴシック" w:cs="" w:cstheme="majorBidi" w:eastAsiaTheme="majorEastAsia"/>
          <w:sz w:val="36"/>
          <w:szCs w:val="36"/>
          <w:lang w:val="en-GB"/>
        </w:rPr>
        <w:t xml:space="preserve"> Waleed Asif</w:t>
      </w:r>
    </w:p>
    <w:p>
      <w:pPr>
        <w:pStyle w:val="Normal"/>
        <w:spacing w:lineRule="auto" w:line="720"/>
        <w:rPr>
          <w:rFonts w:ascii="Calibri" w:hAnsi="Calibri" w:eastAsia="ＭＳ ゴシック" w:cs="" w:asciiTheme="majorHAnsi" w:cstheme="majorBidi" w:eastAsiaTheme="majorEastAsia" w:hAnsiTheme="majorHAnsi"/>
          <w:sz w:val="36"/>
          <w:szCs w:val="36"/>
          <w:lang w:val="en-GB"/>
        </w:rPr>
      </w:pPr>
      <w:r>
        <w:rPr>
          <w:rFonts w:eastAsia="ＭＳ ゴシック" w:cs="" w:cstheme="majorBidi" w:eastAsiaTheme="majorEastAsia"/>
          <w:b/>
          <w:bCs/>
          <w:sz w:val="36"/>
          <w:szCs w:val="36"/>
          <w:lang w:val="en-GB"/>
        </w:rPr>
        <w:t>Roll No.:</w:t>
      </w:r>
      <w:r>
        <w:rPr>
          <w:rFonts w:eastAsia="ＭＳ ゴシック" w:cs="" w:cstheme="majorBidi" w:eastAsiaTheme="majorEastAsia"/>
          <w:sz w:val="36"/>
          <w:szCs w:val="36"/>
          <w:lang w:val="en-GB"/>
        </w:rPr>
        <w:t xml:space="preserve"> 21i-0537</w:t>
      </w:r>
    </w:p>
    <w:p>
      <w:pPr>
        <w:pStyle w:val="Normal"/>
        <w:spacing w:lineRule="auto" w:line="720"/>
        <w:rPr>
          <w:rFonts w:ascii="Calibri" w:hAnsi="Calibri" w:eastAsia="ＭＳ ゴシック" w:cs="" w:asciiTheme="majorHAnsi" w:cstheme="majorBidi" w:eastAsiaTheme="majorEastAsia" w:hAnsiTheme="majorHAnsi"/>
          <w:sz w:val="36"/>
          <w:szCs w:val="36"/>
          <w:lang w:val="en-GB"/>
        </w:rPr>
      </w:pPr>
      <w:r>
        <w:rPr>
          <w:rFonts w:eastAsia="ＭＳ ゴシック" w:cs="" w:cstheme="majorBidi" w:eastAsiaTheme="majorEastAsia"/>
          <w:b/>
          <w:bCs/>
          <w:sz w:val="36"/>
          <w:szCs w:val="36"/>
          <w:lang w:val="en-GB"/>
        </w:rPr>
        <w:t>Section:</w:t>
      </w:r>
      <w:r>
        <w:rPr>
          <w:rFonts w:eastAsia="ＭＳ ゴシック" w:cs="" w:cstheme="majorBidi" w:eastAsiaTheme="majorEastAsia"/>
          <w:sz w:val="36"/>
          <w:szCs w:val="36"/>
          <w:lang w:val="en-GB"/>
        </w:rPr>
        <w:t xml:space="preserve"> BSCS-C</w:t>
      </w:r>
    </w:p>
    <w:p>
      <w:pPr>
        <w:pStyle w:val="Normal"/>
        <w:spacing w:lineRule="auto" w:line="720"/>
        <w:rPr>
          <w:rFonts w:ascii="Calibri" w:hAnsi="Calibri" w:eastAsia="ＭＳ ゴシック" w:cs="" w:asciiTheme="majorHAnsi" w:cstheme="majorBidi" w:eastAsiaTheme="majorEastAsia" w:hAnsiTheme="majorHAnsi"/>
          <w:sz w:val="36"/>
          <w:szCs w:val="36"/>
          <w:lang w:val="en-GB"/>
        </w:rPr>
      </w:pPr>
      <w:r>
        <w:rPr>
          <w:rFonts w:eastAsia="ＭＳ ゴシック" w:cs="" w:cstheme="majorBidi" w:eastAsiaTheme="majorEastAsia"/>
          <w:b/>
          <w:bCs/>
          <w:sz w:val="36"/>
          <w:szCs w:val="36"/>
          <w:lang w:val="en-GB"/>
        </w:rPr>
        <w:t>Submission Date:</w:t>
      </w:r>
      <w:r>
        <w:rPr>
          <w:rFonts w:eastAsia="ＭＳ ゴシック" w:cs="" w:cstheme="majorBidi" w:eastAsiaTheme="majorEastAsia"/>
          <w:sz w:val="36"/>
          <w:szCs w:val="36"/>
          <w:lang w:val="en-GB"/>
        </w:rPr>
        <w:t xml:space="preserve"> 13 May 2025</w:t>
      </w:r>
    </w:p>
    <w:p>
      <w:pPr>
        <w:pStyle w:val="Normal"/>
        <w:spacing w:lineRule="auto" w:line="720"/>
        <w:rPr>
          <w:rFonts w:ascii="Calibri" w:hAnsi="Calibri" w:eastAsia="ＭＳ ゴシック" w:cs="" w:asciiTheme="majorHAnsi" w:cstheme="majorBidi" w:eastAsiaTheme="majorEastAsia" w:hAnsiTheme="majorHAnsi"/>
          <w:sz w:val="36"/>
          <w:szCs w:val="36"/>
          <w:lang w:val="en-GB"/>
        </w:rPr>
      </w:pPr>
      <w:r>
        <w:rPr>
          <w:rFonts w:eastAsia="ＭＳ ゴシック" w:cs="" w:cstheme="majorBidi" w:eastAsiaTheme="majorEastAsia"/>
          <w:b/>
          <w:bCs/>
          <w:sz w:val="36"/>
          <w:szCs w:val="36"/>
          <w:lang w:val="en-GB"/>
        </w:rPr>
        <w:t>Submitted to:</w:t>
      </w:r>
      <w:r>
        <w:rPr>
          <w:rFonts w:eastAsia="ＭＳ ゴシック" w:cs="" w:cstheme="majorBidi" w:eastAsiaTheme="majorEastAsia"/>
          <w:sz w:val="36"/>
          <w:szCs w:val="36"/>
          <w:lang w:val="en-GB"/>
        </w:rPr>
        <w:t xml:space="preserve"> Ma’am Hina Ayaz</w:t>
      </w:r>
    </w:p>
    <w:p>
      <w:pPr>
        <w:pStyle w:val="Normal"/>
        <w:spacing w:lineRule="auto" w:line="720"/>
        <w:rPr>
          <w:rFonts w:ascii="Calibri" w:hAnsi="Calibri" w:eastAsia="ＭＳ ゴシック" w:cs="" w:asciiTheme="majorHAnsi" w:cstheme="majorBidi" w:eastAsiaTheme="majorEastAsia" w:hAnsiTheme="majorHAnsi"/>
          <w:sz w:val="28"/>
          <w:szCs w:val="28"/>
          <w:lang w:val="en-GB"/>
        </w:rPr>
      </w:pPr>
      <w:r>
        <w:rPr>
          <w:rFonts w:eastAsia="ＭＳ ゴシック" w:cs="" w:cstheme="majorBidi" w:eastAsiaTheme="majorEastAsia"/>
          <w:b/>
          <w:bCs/>
          <w:sz w:val="32"/>
          <w:szCs w:val="32"/>
          <w:lang w:val="en-GB"/>
        </w:rPr>
        <w:t>Project Title:</w:t>
      </w:r>
      <w:r>
        <w:rPr>
          <w:rFonts w:eastAsia="ＭＳ ゴシック" w:cs="" w:cstheme="majorBidi" w:eastAsiaTheme="majorEastAsia"/>
          <w:sz w:val="24"/>
          <w:szCs w:val="24"/>
          <w:lang w:val="en-GB"/>
        </w:rPr>
        <w:t xml:space="preserve"> </w:t>
      </w:r>
      <w:r>
        <w:rPr>
          <w:rFonts w:eastAsia="ＭＳ ゴシック" w:cs="" w:cstheme="majorBidi" w:eastAsiaTheme="majorEastAsia"/>
          <w:sz w:val="28"/>
          <w:szCs w:val="28"/>
          <w:lang w:val="en-GB"/>
        </w:rPr>
        <w:t>Vodafone GLAN Technology Project</w:t>
      </w:r>
    </w:p>
    <w:p>
      <w:pPr>
        <w:pStyle w:val="Normal"/>
        <w:spacing w:lineRule="auto" w:line="720"/>
        <w:rPr>
          <w:rFonts w:ascii="Calibri" w:hAnsi="Calibri" w:eastAsia="ＭＳ ゴシック" w:cs="" w:asciiTheme="majorHAnsi" w:cstheme="majorBidi" w:eastAsiaTheme="majorEastAsia" w:hAnsiTheme="majorHAnsi"/>
          <w:b/>
          <w:bCs/>
          <w:sz w:val="32"/>
          <w:szCs w:val="32"/>
          <w:u w:val="single"/>
          <w:lang w:val="en-GB"/>
        </w:rPr>
      </w:pPr>
      <w:r>
        <w:rPr>
          <w:rFonts w:eastAsia="ＭＳ ゴシック" w:cs="" w:cstheme="majorBidi" w:eastAsiaTheme="majorEastAsia"/>
          <w:b/>
          <w:bCs/>
          <w:sz w:val="32"/>
          <w:szCs w:val="32"/>
          <w:u w:val="single"/>
          <w:lang w:val="en-GB"/>
        </w:rPr>
        <w:t>TABLE OF CONTENTS:</w:t>
      </w:r>
    </w:p>
    <w:p>
      <w:pPr>
        <w:pStyle w:val="Normal"/>
        <w:spacing w:lineRule="auto" w:line="720"/>
        <w:rPr>
          <w:rFonts w:ascii="Calibri" w:hAnsi="Calibri" w:eastAsia="ＭＳ ゴシック" w:cs="" w:asciiTheme="majorHAnsi" w:cstheme="majorBidi" w:eastAsiaTheme="majorEastAsia" w:hAnsiTheme="majorHAnsi"/>
          <w:sz w:val="28"/>
          <w:szCs w:val="28"/>
          <w:lang w:val="en-GB"/>
        </w:rPr>
      </w:pPr>
      <w:r>
        <w:rPr>
          <w:rFonts w:eastAsia="ＭＳ ゴシック" w:cs="" w:cstheme="majorBidi" w:eastAsiaTheme="majorEastAsia"/>
          <w:sz w:val="28"/>
          <w:szCs w:val="28"/>
          <w:lang w:val="en-GB"/>
        </w:rPr>
        <w:t>Scope and Objectives of the Vodafone GLAN Technology Project .......... 3</w:t>
        <w:br/>
        <w:t>Primary Risks Identified and Their Categorization ................................. 4</w:t>
        <w:br/>
        <w:t>Application of PMI Standards to Risk Mitigation .................................... 5</w:t>
        <w:br/>
        <w:t>Monitoring and Controlling Risks During Execution ............................... 6</w:t>
        <w:br/>
        <w:t>Evaluation of Risk-Adjusted Project Performance .................................. 7</w:t>
        <w:br/>
        <w:t>Risk Management Strategies I Would Adopt ......................................... 8</w:t>
        <w:br/>
        <w:t>What Could Have Been Done Differently ................................................ 9</w:t>
        <w:br/>
        <w:t>Proactive or Reactive Risk Identification ................................................ 9</w:t>
        <w:br/>
        <w:t>Balancing Proactive and Reactive Responses ......................................... 10</w:t>
      </w:r>
      <w:r>
        <w:rPr>
          <w:rFonts w:eastAsia="ＭＳ ゴシック" w:cs="" w:cstheme="majorBidi" w:eastAsiaTheme="majorEastAsia"/>
          <w:sz w:val="28"/>
          <w:szCs w:val="28"/>
          <w:lang w:val="en-GB"/>
        </w:rPr>
        <w:softHyphen/>
      </w:r>
      <w:r>
        <w:rPr>
          <w:rFonts w:eastAsia="ＭＳ ゴシック" w:cs="" w:cstheme="majorBidi" w:eastAsiaTheme="majorEastAsia"/>
          <w:sz w:val="28"/>
          <w:szCs w:val="28"/>
          <w:lang w:val="en-GB"/>
        </w:rPr>
        <w:br/>
        <w:t>When is Proactive Risk Management Most Critical? ............................. 10</w:t>
      </w:r>
    </w:p>
    <w:p>
      <w:pPr>
        <w:pStyle w:val="ListParagraph"/>
        <w:numPr>
          <w:ilvl w:val="0"/>
          <w:numId w:val="15"/>
        </w:numPr>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Scope and Objectives of the Vodafone GLAN Technology Project:</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Introduction of the project:</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 xml:space="preserve">The Vodafone GLAN project was introduced to transform the organization’s internal networking infrastructure globally according to future needs. </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Scope of project:</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This project's scope included replacing existing legacy systems with a fully managed Global Local Area Network (GLAN) across 42 geographically different locations.</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Current progress: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 xml:space="preserve"> </w:t>
      </w:r>
      <w:r>
        <w:rPr>
          <w:rFonts w:eastAsia="ＭＳ ゴシック" w:cs="" w:cstheme="majorBidi" w:eastAsiaTheme="majorEastAsia"/>
          <w:sz w:val="24"/>
          <w:szCs w:val="24"/>
          <w:lang w:val="en-GB"/>
        </w:rPr>
        <w:t>Vodafone currently operates in 28 countries on five continents. The GLAN project involves cross-border technical coordination, vendor collaboration, and site-level implementation.</w:t>
      </w:r>
    </w:p>
    <w:p>
      <w:pPr>
        <w:pStyle w:val="Normal"/>
        <w:rPr>
          <w:rFonts w:ascii="Calibri" w:hAnsi="Calibri" w:eastAsia="ＭＳ ゴシック" w:cs="" w:asciiTheme="majorHAnsi" w:cstheme="majorBidi" w:eastAsiaTheme="majorEastAsia" w:hAnsiTheme="majorHAnsi"/>
          <w:b/>
          <w:bCs/>
          <w:sz w:val="28"/>
          <w:szCs w:val="28"/>
          <w:lang w:val="en-GB"/>
        </w:rPr>
      </w:pPr>
      <w:r>
        <w:rPr>
          <w:rFonts w:eastAsia="ＭＳ ゴシック" w:cs="" w:cstheme="majorBidi" w:eastAsiaTheme="majorEastAsia"/>
          <w:b/>
          <w:bCs/>
          <w:sz w:val="28"/>
          <w:szCs w:val="28"/>
          <w:lang w:val="en-GB"/>
        </w:rPr>
        <w:t>Objectives of the GLAN project:</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 primary objectives of the GLAN project were:</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 xml:space="preserve">             </w:t>
      </w:r>
      <w:r>
        <w:rPr>
          <w:rFonts w:eastAsia="ＭＳ ゴシック" w:cs="" w:cstheme="majorBidi" w:eastAsiaTheme="majorEastAsia"/>
          <w:b/>
          <w:bCs/>
          <w:sz w:val="24"/>
          <w:szCs w:val="24"/>
          <w:lang w:val="en-GB"/>
        </w:rPr>
        <w:t>Modernization of the infrastructure:</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One objective of the GLAN project was to modernize the existing network infrastructure to increase its scalability and performance for future needs.</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Ensuring Minimal Disruption:</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 other objective was to ensure minimal disruption to ongoing business operations and service delivery during the transition.</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Enhance efficiency and security:</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Another objective of the GLAN project was to enhance the internal communications network's overall efficiency, security, and manageability.</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Enabling centralized control and networking:</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Another objective was to enable centralized control and uniform networking standards across all Vodafone locations in 28 countries worldwide.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Complexity Factors:</w:t>
      </w:r>
      <w:r>
        <w:rPr>
          <w:rFonts w:eastAsia="ＭＳ ゴシック" w:cs="" w:cstheme="majorBidi" w:eastAsiaTheme="majorEastAsia"/>
          <w:sz w:val="24"/>
          <w:szCs w:val="24"/>
          <w:lang w:val="en-GB"/>
        </w:rPr>
        <w:br/>
        <w:t>The project was complex not only because of its global scope but also due to the following factors:</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Delayed Project Contract Finalization:</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Delayed project contract finalization was one reason for the project’s complexity. It was also a cause of delayed early planning and all the other phases.</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Changes in requirements:</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Frequent changes in project requirements also made stabilizing the project scope difficult, causing ripple effects in timelines and resource allocation.</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Technical intricacy:</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 technical intricacy of migrating networks without interrupting service, especially across multiple vendors and infrastructures, has also made the project complex.</w:t>
      </w:r>
    </w:p>
    <w:p>
      <w:pPr>
        <w:pStyle w:val="Normal"/>
        <w:ind w:left="720"/>
        <w:rPr>
          <w:rFonts w:ascii="Calibri" w:hAnsi="Calibri" w:eastAsia="ＭＳ ゴシック" w:cs="" w:asciiTheme="majorHAnsi" w:cstheme="majorBidi" w:eastAsiaTheme="majorEastAsia" w:hAnsiTheme="majorHAnsi"/>
          <w:b/>
          <w:bCs/>
          <w:sz w:val="28"/>
          <w:szCs w:val="28"/>
          <w:lang w:val="en-GB"/>
        </w:rPr>
      </w:pPr>
      <w:r>
        <w:rPr>
          <w:rFonts w:eastAsia="ＭＳ ゴシック" w:cs="" w:cstheme="majorBidi" w:eastAsiaTheme="majorEastAsia"/>
          <w:b/>
          <w:bCs/>
          <w:sz w:val="28"/>
          <w:szCs w:val="28"/>
          <w:lang w:val="en-GB"/>
        </w:rPr>
        <w:t>Organizational challenges:</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Some of Vodafone's organizational challenges included aligning teams with differing workflows, tools, and expectations, which made the project more complex. Due to this, a well-structured and disciplined risk management approach was needed to avoid delays, budget overruns, and system failures.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2. Primary Risks Identified and Their Categorization</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Due to its complexity and size, Vodafone’s GLAN project was at risk initially.</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 xml:space="preserve">These risks were systematically identified and categorized into </w:t>
      </w:r>
      <w:r>
        <w:rPr>
          <w:rFonts w:eastAsia="ＭＳ ゴシック" w:cs="" w:cstheme="majorBidi" w:eastAsiaTheme="majorEastAsia"/>
          <w:b/>
          <w:bCs/>
          <w:sz w:val="24"/>
          <w:szCs w:val="24"/>
          <w:lang w:val="en-GB"/>
        </w:rPr>
        <w:t xml:space="preserve">four primary groups, </w:t>
      </w:r>
      <w:r>
        <w:rPr>
          <w:rFonts w:eastAsia="ＭＳ ゴシック" w:cs="" w:cstheme="majorBidi" w:eastAsiaTheme="majorEastAsia"/>
          <w:sz w:val="24"/>
          <w:szCs w:val="24"/>
          <w:lang w:val="en-GB"/>
        </w:rPr>
        <w:t xml:space="preserve">which are: </w:t>
      </w:r>
    </w:p>
    <w:p>
      <w:pPr>
        <w:pStyle w:val="ListParagraph"/>
        <w:numPr>
          <w:ilvl w:val="0"/>
          <w:numId w:val="14"/>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Technical</w:t>
      </w:r>
    </w:p>
    <w:p>
      <w:pPr>
        <w:pStyle w:val="ListParagraph"/>
        <w:numPr>
          <w:ilvl w:val="0"/>
          <w:numId w:val="14"/>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Operational</w:t>
      </w:r>
    </w:p>
    <w:p>
      <w:pPr>
        <w:pStyle w:val="ListParagraph"/>
        <w:numPr>
          <w:ilvl w:val="0"/>
          <w:numId w:val="14"/>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Organizational</w:t>
      </w:r>
    </w:p>
    <w:p>
      <w:pPr>
        <w:pStyle w:val="ListParagraph"/>
        <w:numPr>
          <w:ilvl w:val="0"/>
          <w:numId w:val="14"/>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External</w:t>
      </w:r>
    </w:p>
    <w:p>
      <w:pPr>
        <w:pStyle w:val="Normal"/>
        <w:rPr>
          <w:rFonts w:ascii="Calibri" w:hAnsi="Calibri" w:eastAsia="ＭＳ ゴシック" w:cs="" w:asciiTheme="majorHAnsi" w:cstheme="majorBidi" w:eastAsiaTheme="majorEastAsia" w:hAnsiTheme="majorHAnsi"/>
          <w:b/>
          <w:bCs/>
          <w:sz w:val="28"/>
          <w:szCs w:val="28"/>
          <w:lang w:val="en-GB"/>
        </w:rPr>
      </w:pPr>
      <w:r>
        <w:rPr>
          <w:rFonts w:eastAsia="ＭＳ ゴシック" w:cs="" w:cstheme="majorBidi" w:eastAsiaTheme="majorEastAsia"/>
          <w:b/>
          <w:bCs/>
          <w:sz w:val="28"/>
          <w:szCs w:val="28"/>
          <w:lang w:val="en-GB"/>
        </w:rPr>
      </w:r>
    </w:p>
    <w:p>
      <w:pPr>
        <w:pStyle w:val="Normal"/>
        <w:rPr>
          <w:rFonts w:ascii="Calibri" w:hAnsi="Calibri" w:eastAsia="ＭＳ ゴシック" w:cs="" w:asciiTheme="majorHAnsi" w:cstheme="majorBidi" w:eastAsiaTheme="majorEastAsia" w:hAnsiTheme="majorHAnsi"/>
          <w:b/>
          <w:bCs/>
          <w:sz w:val="28"/>
          <w:szCs w:val="28"/>
          <w:lang w:val="en-GB"/>
        </w:rPr>
      </w:pPr>
      <w:r>
        <w:rPr>
          <w:rFonts w:eastAsia="ＭＳ ゴシック" w:cs="" w:cstheme="majorBidi" w:eastAsiaTheme="majorEastAsia"/>
          <w:b/>
          <w:bCs/>
          <w:sz w:val="28"/>
          <w:szCs w:val="28"/>
          <w:lang w:val="en-GB"/>
        </w:rPr>
        <w:t>Key Risks and Categorization:</w:t>
      </w:r>
    </w:p>
    <w:p>
      <w:pPr>
        <w:pStyle w:val="Normal"/>
        <w:numPr>
          <w:ilvl w:val="0"/>
          <w:numId w:val="7"/>
        </w:numPr>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Delayed Contract Finalization</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Category of risk:</w:t>
      </w:r>
      <w:r>
        <w:rPr>
          <w:rFonts w:eastAsia="ＭＳ ゴシック" w:cs="" w:cstheme="majorBidi" w:eastAsiaTheme="majorEastAsia"/>
          <w:sz w:val="24"/>
          <w:szCs w:val="24"/>
          <w:lang w:val="en-GB"/>
        </w:rPr>
        <w:t xml:space="preserve"> Organizational risk</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Justification:</w:t>
      </w:r>
      <w:r>
        <w:rPr>
          <w:rFonts w:eastAsia="ＭＳ ゴシック" w:cs="" w:cstheme="majorBidi" w:eastAsiaTheme="majorEastAsia"/>
          <w:sz w:val="24"/>
          <w:szCs w:val="24"/>
          <w:lang w:val="en-GB"/>
        </w:rPr>
        <w:t xml:space="preserve"> This delay was caused by internal administrative bottlenecks. This postponed the formal start of the project and prevented timely resource allocation and planning activities.</w:t>
      </w:r>
    </w:p>
    <w:p>
      <w:pPr>
        <w:pStyle w:val="Normal"/>
        <w:numPr>
          <w:ilvl w:val="0"/>
          <w:numId w:val="7"/>
        </w:numPr>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Frequent Changes in Project Requirements</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Category of risk:</w:t>
      </w:r>
      <w:r>
        <w:rPr>
          <w:rFonts w:eastAsia="ＭＳ ゴシック" w:cs="" w:cstheme="majorBidi" w:eastAsiaTheme="majorEastAsia"/>
          <w:sz w:val="24"/>
          <w:szCs w:val="24"/>
          <w:lang w:val="en-GB"/>
        </w:rPr>
        <w:t xml:space="preserve"> Operational risk</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Justification:</w:t>
      </w:r>
      <w:r>
        <w:rPr>
          <w:rFonts w:eastAsia="ＭＳ ゴシック" w:cs="" w:cstheme="majorBidi" w:eastAsiaTheme="majorEastAsia"/>
          <w:sz w:val="24"/>
          <w:szCs w:val="24"/>
          <w:lang w:val="en-GB"/>
        </w:rPr>
        <w:t xml:space="preserve"> Continuous changes to project scope, technical requirements, and stakeholder expectations created planning instability. This disrupted baseline schedules and required the team to reassess their approach frequently.</w:t>
      </w:r>
    </w:p>
    <w:p>
      <w:pPr>
        <w:pStyle w:val="Normal"/>
        <w:numPr>
          <w:ilvl w:val="0"/>
          <w:numId w:val="7"/>
        </w:numPr>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Vendor and Stakeholder Misalignment</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Category of risk:</w:t>
      </w:r>
      <w:r>
        <w:rPr>
          <w:rFonts w:eastAsia="ＭＳ ゴシック" w:cs="" w:cstheme="majorBidi" w:eastAsiaTheme="majorEastAsia"/>
          <w:sz w:val="24"/>
          <w:szCs w:val="24"/>
          <w:lang w:val="en-GB"/>
        </w:rPr>
        <w:t xml:space="preserve"> External risk</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Justification:</w:t>
      </w:r>
      <w:r>
        <w:rPr>
          <w:rFonts w:eastAsia="ＭＳ ゴシック" w:cs="" w:cstheme="majorBidi" w:eastAsiaTheme="majorEastAsia"/>
          <w:sz w:val="24"/>
          <w:szCs w:val="24"/>
          <w:lang w:val="en-GB"/>
        </w:rPr>
        <w:t xml:space="preserve"> Collaborating with multiple external vendors operating under different standards and practices created challenges in coordination, especially across time zones and cultural expectations.</w:t>
      </w:r>
    </w:p>
    <w:p>
      <w:pPr>
        <w:pStyle w:val="Normal"/>
        <w:numPr>
          <w:ilvl w:val="0"/>
          <w:numId w:val="7"/>
        </w:numPr>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Integration Challenges Across Locations</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Category of risk:</w:t>
      </w:r>
      <w:r>
        <w:rPr>
          <w:rFonts w:eastAsia="ＭＳ ゴシック" w:cs="" w:cstheme="majorBidi" w:eastAsiaTheme="majorEastAsia"/>
          <w:sz w:val="24"/>
          <w:szCs w:val="24"/>
          <w:lang w:val="en-GB"/>
        </w:rPr>
        <w:t xml:space="preserve"> Technical risk</w:t>
      </w:r>
    </w:p>
    <w:p>
      <w:pPr>
        <w:pStyle w:val="Normal"/>
        <w:ind w:left="144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Justification:</w:t>
      </w:r>
      <w:r>
        <w:rPr>
          <w:rFonts w:eastAsia="ＭＳ ゴシック" w:cs="" w:cstheme="majorBidi" w:eastAsiaTheme="majorEastAsia"/>
          <w:sz w:val="24"/>
          <w:szCs w:val="24"/>
          <w:lang w:val="en-GB"/>
        </w:rPr>
        <w:t xml:space="preserve"> Migrating and harmonizing legacy infrastructure in 42 locations, each with varying configurations and service histories, presented substantial integration challenges that required site-specific technical solutions.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These classifications helped Vodafone to prioritize risks based on nature, origin, and potential impact, making their risk management more focused and effective.</w:t>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3. Application of PMI Standards to Risk Mitigation</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 followed the risk management standards proposed by the Project Management Institute (PMI). These standards provide a structured framework for identifying, analyzing, and responding to risks, ensuring consistency and discipline in project governance.</w:t>
      </w:r>
    </w:p>
    <w:p>
      <w:pPr>
        <w:pStyle w:val="Normal"/>
        <w:rPr>
          <w:rFonts w:ascii="Calibri" w:hAnsi="Calibri" w:eastAsia="ＭＳ ゴシック" w:cs="" w:asciiTheme="majorHAnsi" w:cstheme="majorBidi" w:eastAsiaTheme="majorEastAsia" w:hAnsiTheme="majorHAnsi"/>
          <w:b/>
          <w:bCs/>
          <w:sz w:val="28"/>
          <w:szCs w:val="28"/>
          <w:lang w:val="en-GB"/>
        </w:rPr>
      </w:pPr>
      <w:r>
        <w:rPr>
          <w:rFonts w:eastAsia="ＭＳ ゴシック" w:cs="" w:cstheme="majorBidi" w:eastAsiaTheme="majorEastAsia"/>
          <w:b/>
          <w:bCs/>
          <w:sz w:val="28"/>
          <w:szCs w:val="28"/>
          <w:lang w:val="en-GB"/>
        </w:rPr>
        <w:t>PMI-Based Risk Management Activities:</w:t>
      </w:r>
    </w:p>
    <w:p>
      <w:pPr>
        <w:pStyle w:val="Normal"/>
        <w:numPr>
          <w:ilvl w:val="0"/>
          <w:numId w:val="8"/>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Risk Identification:</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 arranged the stakeholder workshops earlier to avoid any mishap, and one reason for this was that they could identify any risks at the beginning. These collaborative sessions involved cross-functional teams to capture diverse perspectives and experiences, ensuring comprehensive risk coverage.</w:t>
      </w:r>
    </w:p>
    <w:p>
      <w:pPr>
        <w:pStyle w:val="Normal"/>
        <w:numPr>
          <w:ilvl w:val="0"/>
          <w:numId w:val="8"/>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Risk Register:</w:t>
      </w:r>
      <w:r>
        <w:rPr>
          <w:rFonts w:eastAsia="ＭＳ ゴシック" w:cs="" w:cstheme="majorBidi" w:eastAsiaTheme="majorEastAsia"/>
          <w:sz w:val="24"/>
          <w:szCs w:val="24"/>
          <w:lang w:val="en-GB"/>
        </w:rPr>
        <w:br/>
        <w:t>A dynamic risk register was maintained and regularly updated. It served as a living document, tracking each risk’s status, mitigation actions, and responsible owners, thereby promoting accountability.</w:t>
      </w:r>
    </w:p>
    <w:p>
      <w:pPr>
        <w:pStyle w:val="Normal"/>
        <w:numPr>
          <w:ilvl w:val="0"/>
          <w:numId w:val="8"/>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Risk Response Planning:</w:t>
      </w:r>
      <w:r>
        <w:rPr>
          <w:rFonts w:eastAsia="ＭＳ ゴシック" w:cs="" w:cstheme="majorBidi" w:eastAsiaTheme="majorEastAsia"/>
          <w:sz w:val="24"/>
          <w:szCs w:val="24"/>
          <w:lang w:val="en-GB"/>
        </w:rPr>
        <w:br/>
        <w:t>Both preventive and corrective actions were developed. For example, fallback procedures were created in case of site-level deployment failures, and backup connectivity plans were made for critical locations to prevent service disruption.</w:t>
      </w:r>
    </w:p>
    <w:p>
      <w:pPr>
        <w:pStyle w:val="Normal"/>
        <w:numPr>
          <w:ilvl w:val="0"/>
          <w:numId w:val="8"/>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Change Control Process:</w:t>
      </w:r>
      <w:r>
        <w:rPr>
          <w:rFonts w:eastAsia="ＭＳ ゴシック" w:cs="" w:cstheme="majorBidi" w:eastAsiaTheme="majorEastAsia"/>
          <w:sz w:val="24"/>
          <w:szCs w:val="24"/>
          <w:lang w:val="en-GB"/>
        </w:rPr>
        <w:br/>
        <w:t>Vodafone implemented a robust change control system to manage evolving requirements. Every change request was evaluated, reviewed, and approved through a formal process, which consequently helped minimize the risk of scope creep.</w:t>
      </w:r>
    </w:p>
    <w:p>
      <w:pPr>
        <w:pStyle w:val="Normal"/>
        <w:numPr>
          <w:ilvl w:val="0"/>
          <w:numId w:val="8"/>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Qualitative Risk Analysis:</w:t>
      </w:r>
      <w:r>
        <w:rPr>
          <w:rFonts w:eastAsia="ＭＳ ゴシック" w:cs="" w:cstheme="majorBidi" w:eastAsiaTheme="majorEastAsia"/>
          <w:sz w:val="24"/>
          <w:szCs w:val="24"/>
          <w:lang w:val="en-GB"/>
        </w:rPr>
        <w:br/>
        <w:t>A risk matrix assessed and prioritized risks based on their likelihood and impact. This matrix guided the team in focusing on high-risk areas that could significantly affect project outcomes.</w:t>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4. Monitoring and Controlling Risks During Execution</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 didn’t just plan for risks; they frequently identified and monitored them throughout their execution to ensure their strategies worked.</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Monitoring Mechanisms:</w:t>
      </w:r>
    </w:p>
    <w:p>
      <w:pPr>
        <w:pStyle w:val="Normal"/>
        <w:numPr>
          <w:ilvl w:val="0"/>
          <w:numId w:val="9"/>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Regular Risk Reviews and identification:</w:t>
      </w:r>
      <w:r>
        <w:rPr>
          <w:rFonts w:eastAsia="ＭＳ ゴシック" w:cs="" w:cstheme="majorBidi" w:eastAsiaTheme="majorEastAsia"/>
          <w:sz w:val="24"/>
          <w:szCs w:val="24"/>
          <w:lang w:val="en-GB"/>
        </w:rPr>
        <w:br/>
        <w:t>The project team conducted risk review sessions once every 2 weeks to revisit risk assumptions, discuss new threats, and evaluate the effectiveness of mitigation strategies.</w:t>
      </w:r>
    </w:p>
    <w:p>
      <w:pPr>
        <w:pStyle w:val="Normal"/>
        <w:numPr>
          <w:ilvl w:val="0"/>
          <w:numId w:val="9"/>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Performance Metrics and KPIs:</w:t>
      </w:r>
      <w:r>
        <w:rPr>
          <w:rFonts w:eastAsia="ＭＳ ゴシック" w:cs="" w:cstheme="majorBidi" w:eastAsiaTheme="majorEastAsia"/>
          <w:sz w:val="24"/>
          <w:szCs w:val="24"/>
          <w:lang w:val="en-GB"/>
        </w:rPr>
        <w:br/>
        <w:t>some of the Key indicators, such as the percentage of sites migrated on the first attempt, downtime incidents, and implementation delays, were tracked to evaluate the impact of risks and the success of mitigation actions.</w:t>
      </w:r>
    </w:p>
    <w:p>
      <w:pPr>
        <w:pStyle w:val="Normal"/>
        <w:numPr>
          <w:ilvl w:val="0"/>
          <w:numId w:val="9"/>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Lessons Learned Workshops:</w:t>
      </w:r>
      <w:r>
        <w:rPr>
          <w:rFonts w:eastAsia="ＭＳ ゴシック" w:cs="" w:cstheme="majorBidi" w:eastAsiaTheme="majorEastAsia"/>
          <w:sz w:val="24"/>
          <w:szCs w:val="24"/>
          <w:lang w:val="en-GB"/>
        </w:rPr>
        <w:br/>
        <w:t>Held regularly, these workshops captured real-time feedback from teams. They served as feedback loops, enabling the project team to adjust their approach in response to new insights.</w:t>
      </w:r>
    </w:p>
    <w:p>
      <w:pPr>
        <w:pStyle w:val="Normal"/>
        <w:numPr>
          <w:ilvl w:val="0"/>
          <w:numId w:val="9"/>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Proper Documentation:</w:t>
      </w:r>
      <w:r>
        <w:rPr>
          <w:rFonts w:eastAsia="ＭＳ ゴシック" w:cs="" w:cstheme="majorBidi" w:eastAsiaTheme="majorEastAsia"/>
          <w:sz w:val="24"/>
          <w:szCs w:val="24"/>
          <w:lang w:val="en-GB"/>
        </w:rPr>
        <w:br/>
        <w:t>Vodafone aligned all project documentation with both internal processes and external vendor requirements. This reduced miscommunication and made execution smoother and more predictable.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Through these efforts, Vodafone ensured that risk management was not static but a living, responsive process, integrated into the overall execution lifecycle.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5. Evaluation of Risk-Adjusted Project Performance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Despite initial setbacks, Vodafone’s GLAN project was completed with outstanding results. It also demonstrated the effectiveness of its risk management strategies.</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Performance Outcomes:</w:t>
      </w:r>
    </w:p>
    <w:p>
      <w:pPr>
        <w:pStyle w:val="Normal"/>
        <w:numPr>
          <w:ilvl w:val="0"/>
          <w:numId w:val="10"/>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Execution Success Rate:</w:t>
      </w:r>
      <w:r>
        <w:rPr>
          <w:rFonts w:eastAsia="ＭＳ ゴシック" w:cs="" w:cstheme="majorBidi" w:eastAsiaTheme="majorEastAsia"/>
          <w:sz w:val="24"/>
          <w:szCs w:val="24"/>
          <w:lang w:val="en-GB"/>
        </w:rPr>
        <w:br/>
        <w:t xml:space="preserve">Almost </w:t>
      </w:r>
      <w:r>
        <w:rPr>
          <w:rFonts w:eastAsia="ＭＳ ゴシック" w:cs="" w:cstheme="majorBidi" w:eastAsiaTheme="majorEastAsia"/>
          <w:b/>
          <w:bCs/>
          <w:sz w:val="24"/>
          <w:szCs w:val="24"/>
          <w:lang w:val="en-GB"/>
        </w:rPr>
        <w:t>90%</w:t>
      </w:r>
      <w:r>
        <w:rPr>
          <w:rFonts w:eastAsia="ＭＳ ゴシック" w:cs="" w:cstheme="majorBidi" w:eastAsiaTheme="majorEastAsia"/>
          <w:sz w:val="24"/>
          <w:szCs w:val="24"/>
          <w:lang w:val="en-GB"/>
        </w:rPr>
        <w:t xml:space="preserve"> of sites migrated successfully on the first attempt, with all remaining sites completed on the second. This high success rate reflects strong planning, fallback strategies, and agile corrections.</w:t>
      </w:r>
    </w:p>
    <w:p>
      <w:pPr>
        <w:pStyle w:val="Normal"/>
        <w:numPr>
          <w:ilvl w:val="0"/>
          <w:numId w:val="10"/>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Timeline Adherence:</w:t>
      </w:r>
      <w:r>
        <w:rPr>
          <w:rFonts w:eastAsia="ＭＳ ゴシック" w:cs="" w:cstheme="majorBidi" w:eastAsiaTheme="majorEastAsia"/>
          <w:sz w:val="24"/>
          <w:szCs w:val="24"/>
          <w:lang w:val="en-GB"/>
        </w:rPr>
        <w:br/>
        <w:t>Even though the project started late, it was delivered on time, and some of the phases were finished before the deadline, which is a very big achievement in large-scale IT transformations.</w:t>
      </w:r>
    </w:p>
    <w:p>
      <w:pPr>
        <w:pStyle w:val="Normal"/>
        <w:numPr>
          <w:ilvl w:val="0"/>
          <w:numId w:val="10"/>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Continuity of Service:</w:t>
      </w:r>
      <w:r>
        <w:rPr>
          <w:rFonts w:eastAsia="ＭＳ ゴシック" w:cs="" w:cstheme="majorBidi" w:eastAsiaTheme="majorEastAsia"/>
          <w:sz w:val="24"/>
          <w:szCs w:val="24"/>
          <w:lang w:val="en-GB"/>
        </w:rPr>
        <w:br/>
        <w:t>Vodafone successfully maintained operational continuity throughout the migration process. It demonstrated that their risk mitigation was highly effective.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Due to disciplined and proactive risk management, the project transformed its initial risks into manageable challenges. As a result, a high-value and efficient network infrastructure was delivered, which could fulfil all future needs.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6. Risk Management Strategies I Would Adopt?</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If I were leading a similar technology transformation project, I would adopt the following two risk management strategies from Vodafone’s playbook:</w:t>
      </w:r>
    </w:p>
    <w:p>
      <w:pPr>
        <w:pStyle w:val="Normal"/>
        <w:numPr>
          <w:ilvl w:val="0"/>
          <w:numId w:val="11"/>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Robust Change Control Process:</w:t>
      </w:r>
      <w:r>
        <w:rPr>
          <w:rFonts w:eastAsia="ＭＳ ゴシック" w:cs="" w:cstheme="majorBidi" w:eastAsiaTheme="majorEastAsia"/>
          <w:sz w:val="24"/>
          <w:szCs w:val="24"/>
          <w:lang w:val="en-GB"/>
        </w:rPr>
        <w:br/>
        <w:t>A strong change control board is essential in projects where the scope is prone to changes. It clarifies, prevents confusion, and ensures that all new requests are evaluated against available resources and timelines.</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 xml:space="preserve">              </w:t>
      </w:r>
      <w:r>
        <w:rPr>
          <w:rFonts w:eastAsia="ＭＳ ゴシック" w:cs="" w:cstheme="majorBidi" w:eastAsiaTheme="majorEastAsia"/>
          <w:b/>
          <w:bCs/>
          <w:sz w:val="24"/>
          <w:szCs w:val="24"/>
          <w:lang w:val="en-GB"/>
        </w:rPr>
        <w:t>Reason:</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sz w:val="24"/>
          <w:szCs w:val="24"/>
          <w:lang w:val="en-GB"/>
        </w:rPr>
        <w:t>It helps avoid unplanned work, reduces pressure on development teams, and ensures stakeholder alignment.</w:t>
      </w:r>
    </w:p>
    <w:p>
      <w:pPr>
        <w:pStyle w:val="Normal"/>
        <w:numPr>
          <w:ilvl w:val="0"/>
          <w:numId w:val="11"/>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Frequent Lessons Learned Workshops:</w:t>
      </w:r>
      <w:r>
        <w:rPr>
          <w:rFonts w:eastAsia="ＭＳ ゴシック" w:cs="" w:cstheme="majorBidi" w:eastAsiaTheme="majorEastAsia"/>
          <w:sz w:val="24"/>
          <w:szCs w:val="24"/>
          <w:lang w:val="en-GB"/>
        </w:rPr>
        <w:br/>
        <w:t>These workshops allow for continuous improvement and real-time learning. Regular auditing and monitoring help teams identify whether their strategies work and how to course-correct quickly.</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Reason:</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Projects rarely go exactly as planned. Learning loops embedded into the process make the team more resilient and responsive.</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These strategies would ensure greater stability and agility in large-scale, multi-stakeholder projects.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7. What Could Have Been Done Differently?</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Vodafone’s risk management was highly effective, but a few enhancements could have made it even stronger:</w:t>
      </w:r>
    </w:p>
    <w:p>
      <w:pPr>
        <w:pStyle w:val="Normal"/>
        <w:numPr>
          <w:ilvl w:val="0"/>
          <w:numId w:val="12"/>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Earlier Stakeholder Alignment:</w:t>
      </w:r>
      <w:r>
        <w:rPr>
          <w:rFonts w:eastAsia="ＭＳ ゴシック" w:cs="" w:cstheme="majorBidi" w:eastAsiaTheme="majorEastAsia"/>
          <w:sz w:val="24"/>
          <w:szCs w:val="24"/>
          <w:lang w:val="en-GB"/>
        </w:rPr>
        <w:br/>
        <w:t>If Vodafone had aligned internal and external stakeholders early on, the initial contract delays might not have happened. Engaging stakeholders from the pre-initiation phase can build consensus and speed up decision-making.</w:t>
      </w:r>
    </w:p>
    <w:p>
      <w:pPr>
        <w:pStyle w:val="Normal"/>
        <w:numPr>
          <w:ilvl w:val="0"/>
          <w:numId w:val="12"/>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Automation in Risk Monitoring:</w:t>
      </w:r>
      <w:r>
        <w:rPr>
          <w:rFonts w:eastAsia="ＭＳ ゴシック" w:cs="" w:cstheme="majorBidi" w:eastAsiaTheme="majorEastAsia"/>
          <w:sz w:val="24"/>
          <w:szCs w:val="24"/>
          <w:lang w:val="en-GB"/>
        </w:rPr>
        <w:br/>
        <w:t>Utilizing automated dashboards and analytics tools for real-time risk tracking could have provided quicker insights and faster response times, while manual tracking may miss early warning signs that automation could flag.</w:t>
      </w:r>
    </w:p>
    <w:p>
      <w:pPr>
        <w:pStyle w:val="Normal"/>
        <w:numPr>
          <w:ilvl w:val="0"/>
          <w:numId w:val="12"/>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Dedicated Risk Owner:</w:t>
      </w:r>
      <w:r>
        <w:rPr>
          <w:rFonts w:eastAsia="ＭＳ ゴシック" w:cs="" w:cstheme="majorBidi" w:eastAsiaTheme="majorEastAsia"/>
          <w:sz w:val="24"/>
          <w:szCs w:val="24"/>
          <w:lang w:val="en-GB"/>
        </w:rPr>
        <w:br/>
        <w:t>Assigning a specific risk manager or officer per region/site might have improved ownership and consistency across distributed teams, especially given the project's international scope.</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Implementing these strategies could further elevate risk visibility and responsiveness in similar future projects.</w:t>
      </w:r>
    </w:p>
    <w:p>
      <w:pPr>
        <w:pStyle w:val="Normal"/>
        <w:rPr>
          <w:rFonts w:ascii="Calibri" w:hAnsi="Calibri" w:eastAsia="ＭＳ ゴシック" w:cs="" w:asciiTheme="majorHAnsi" w:cstheme="majorBidi" w:eastAsiaTheme="majorEastAsia" w:hAnsiTheme="majorHAnsi"/>
          <w:sz w:val="32"/>
          <w:szCs w:val="32"/>
          <w:lang w:val="en-GB"/>
        </w:rPr>
      </w:pPr>
      <w:r>
        <w:rPr>
          <w:rFonts w:eastAsia="ＭＳ ゴシック" w:cs="" w:cstheme="majorBidi" w:eastAsiaTheme="majorEastAsia"/>
          <w:sz w:val="32"/>
          <w:szCs w:val="32"/>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8. Proactive or Reactive Risk Identification</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 clearly adopted a proactive approach to risk identification. This is evident through several activities:</w:t>
      </w:r>
    </w:p>
    <w:p>
      <w:pPr>
        <w:pStyle w:val="Normal"/>
        <w:numPr>
          <w:ilvl w:val="0"/>
          <w:numId w:val="13"/>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Early Stakeholder Workshops:</w:t>
      </w:r>
      <w:r>
        <w:rPr>
          <w:rFonts w:eastAsia="ＭＳ ゴシック" w:cs="" w:cstheme="majorBidi" w:eastAsiaTheme="majorEastAsia"/>
          <w:sz w:val="24"/>
          <w:szCs w:val="24"/>
          <w:lang w:val="en-GB"/>
        </w:rPr>
        <w:br/>
        <w:t>These sessions were conducted initially to uncover potential risks, align goals, and set expectations.</w:t>
      </w:r>
    </w:p>
    <w:p>
      <w:pPr>
        <w:pStyle w:val="Normal"/>
        <w:numPr>
          <w:ilvl w:val="0"/>
          <w:numId w:val="13"/>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Predefined Fallback Procedures:</w:t>
      </w:r>
      <w:r>
        <w:rPr>
          <w:rFonts w:eastAsia="ＭＳ ゴシック" w:cs="" w:cstheme="majorBidi" w:eastAsiaTheme="majorEastAsia"/>
          <w:sz w:val="24"/>
          <w:szCs w:val="24"/>
          <w:lang w:val="en-GB"/>
        </w:rPr>
        <w:br/>
        <w:t>Vodafone had pre-developed contingency plans in place before any failures occurred, demonstrating anticipation rather than reaction.</w:t>
      </w:r>
    </w:p>
    <w:p>
      <w:pPr>
        <w:pStyle w:val="Normal"/>
        <w:numPr>
          <w:ilvl w:val="0"/>
          <w:numId w:val="13"/>
        </w:numPr>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b/>
          <w:bCs/>
          <w:sz w:val="24"/>
          <w:szCs w:val="24"/>
          <w:lang w:val="en-GB"/>
        </w:rPr>
        <w:t>Dynamic Risk Register and Matrix:</w:t>
      </w:r>
      <w:r>
        <w:rPr>
          <w:rFonts w:eastAsia="ＭＳ ゴシック" w:cs="" w:cstheme="majorBidi" w:eastAsiaTheme="majorEastAsia"/>
          <w:sz w:val="24"/>
          <w:szCs w:val="24"/>
          <w:lang w:val="en-GB"/>
        </w:rPr>
        <w:br/>
        <w:t>The Dynamic Risk Register and Matrix were some of the tools that helped identify the risks earlier, which helps Vodafone avoid any delays or mishaps.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9. Proactive and Reactive Responses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Vodafone effectively balanced proactive and reactive risk responses, tailoring its actions based on the situation:</w:t>
      </w:r>
    </w:p>
    <w:p>
      <w:pPr>
        <w:pStyle w:val="Normal"/>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Proactive responses Vs. Reactive Responses:</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28"/>
        <w:gridCol w:w="4427"/>
      </w:tblGrid>
      <w:tr>
        <w:trPr/>
        <w:tc>
          <w:tcPr>
            <w:tcW w:w="4428"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kern w:val="0"/>
                <w:sz w:val="24"/>
                <w:szCs w:val="24"/>
                <w:lang w:val="en-GB" w:eastAsia="en-US" w:bidi="ar-SA"/>
              </w:rPr>
              <w:t>Proactive Responses</w:t>
            </w:r>
          </w:p>
        </w:tc>
        <w:tc>
          <w:tcPr>
            <w:tcW w:w="4427"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kern w:val="0"/>
                <w:sz w:val="24"/>
                <w:szCs w:val="24"/>
                <w:lang w:val="en-GB" w:eastAsia="en-US" w:bidi="ar-SA"/>
              </w:rPr>
              <w:t>Reactive Responses</w:t>
            </w:r>
          </w:p>
        </w:tc>
      </w:tr>
      <w:tr>
        <w:trPr/>
        <w:tc>
          <w:tcPr>
            <w:tcW w:w="4428"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Risk matrix and stakeholder workshops</w:t>
            </w:r>
          </w:p>
        </w:tc>
        <w:tc>
          <w:tcPr>
            <w:tcW w:w="4427"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Adjusting to late contract finalization</w:t>
            </w:r>
          </w:p>
        </w:tc>
      </w:tr>
      <w:tr>
        <w:trPr/>
        <w:tc>
          <w:tcPr>
            <w:tcW w:w="4428"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Change control system to prevent scope creep</w:t>
            </w:r>
          </w:p>
        </w:tc>
        <w:tc>
          <w:tcPr>
            <w:tcW w:w="4427" w:type="dxa"/>
            <w:tcBorders/>
            <w:vAlign w:val="center"/>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Responding to evolving requirements mid-project</w:t>
            </w:r>
          </w:p>
        </w:tc>
      </w:tr>
      <w:tr>
        <w:trPr/>
        <w:tc>
          <w:tcPr>
            <w:tcW w:w="4428" w:type="dxa"/>
            <w:tcBorders/>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Fallback procedures and backup plans</w:t>
            </w:r>
          </w:p>
        </w:tc>
        <w:tc>
          <w:tcPr>
            <w:tcW w:w="4427" w:type="dxa"/>
            <w:tcBorders/>
            <w:vAlign w:val="center"/>
          </w:tcPr>
          <w:p>
            <w:pPr>
              <w:pStyle w:val="Normal"/>
              <w:widowControl/>
              <w:spacing w:lineRule="auto" w:line="240" w:before="0" w:after="0"/>
              <w:jc w:val="left"/>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kern w:val="0"/>
                <w:sz w:val="24"/>
                <w:szCs w:val="24"/>
                <w:lang w:val="en-GB" w:eastAsia="en-US" w:bidi="ar-SA"/>
              </w:rPr>
              <w:t>Handling site-level failures during implementation</w:t>
            </w:r>
          </w:p>
        </w:tc>
      </w:tr>
    </w:tbl>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bl>
      <w:tblPr>
        <w:tblW w:w="16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81"/>
        <w:gridCol w:w="80"/>
      </w:tblGrid>
      <w:tr>
        <w:trPr>
          <w:tblHeader w:val="true"/>
        </w:trPr>
        <w:tc>
          <w:tcPr>
            <w:tcW w:w="81"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c>
          <w:tcPr>
            <w:tcW w:w="80"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r>
      <w:tr>
        <w:trPr/>
        <w:tc>
          <w:tcPr>
            <w:tcW w:w="81"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c>
          <w:tcPr>
            <w:tcW w:w="80"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r>
      <w:tr>
        <w:trPr/>
        <w:tc>
          <w:tcPr>
            <w:tcW w:w="81"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c>
          <w:tcPr>
            <w:tcW w:w="80"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r>
      <w:tr>
        <w:trPr/>
        <w:tc>
          <w:tcPr>
            <w:tcW w:w="81"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c>
          <w:tcPr>
            <w:tcW w:w="80" w:type="dxa"/>
            <w:tcBorders/>
            <w:vAlign w:val="center"/>
          </w:tcPr>
          <w:p>
            <w:pPr>
              <w:pStyle w:val="Normal"/>
              <w:spacing w:before="0" w:after="20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r>
          </w:p>
        </w:tc>
      </w:tr>
    </w:tbl>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These strategies ensured both preparedness and flexibility. Proactive planning allowed the team to prevent many risks; moreover, reactive measures ensured they could still handle unanticipated issues without major setbacks.</w:t>
      </w:r>
    </w:p>
    <w:p>
      <w:pPr>
        <w:pStyle w:val="Normal"/>
        <w:rPr>
          <w:rFonts w:ascii="Calibri" w:hAnsi="Calibri" w:eastAsia="ＭＳ ゴシック" w:cs="" w:asciiTheme="majorHAnsi" w:cstheme="majorBidi" w:eastAsiaTheme="majorEastAsia" w:hAnsiTheme="majorHAnsi"/>
          <w:b/>
          <w:bCs/>
          <w:sz w:val="32"/>
          <w:szCs w:val="32"/>
          <w:lang w:val="en-GB"/>
        </w:rPr>
      </w:pPr>
      <w:r>
        <w:rPr>
          <w:rFonts w:eastAsia="ＭＳ ゴシック" w:cs="" w:cstheme="majorBidi" w:eastAsiaTheme="majorEastAsia"/>
          <w:b/>
          <w:bCs/>
          <w:sz w:val="32"/>
          <w:szCs w:val="32"/>
          <w:lang w:val="en-GB"/>
        </w:rPr>
        <w:t>10. When is Proactive Risk Management Most Critical?</w:t>
      </w:r>
    </w:p>
    <w:p>
      <w:pPr>
        <w:pStyle w:val="Normal"/>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Proactive risk management is most critical in the following:</w:t>
      </w:r>
    </w:p>
    <w:p>
      <w:pPr>
        <w:pStyle w:val="Normal"/>
        <w:ind w:firstLine="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Large-scale projects:</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Proactive risk management is most critical in Large-scale, geographically distributed projects like the GLAN transformation, where coordination across multiple regions introduces significant uncertainty.</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High-stakes IT infrastructures:</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Proactive risk management is also critical in High-stakes IT infrastructure upgrades, where even small failures can disrupt services or cause data breaches.</w:t>
      </w:r>
    </w:p>
    <w:p>
      <w:pPr>
        <w:pStyle w:val="Normal"/>
        <w:ind w:left="720"/>
        <w:rPr>
          <w:rFonts w:ascii="Calibri" w:hAnsi="Calibri" w:eastAsia="ＭＳ ゴシック" w:cs="" w:asciiTheme="majorHAnsi" w:cstheme="majorBidi" w:eastAsiaTheme="majorEastAsia" w:hAnsiTheme="majorHAnsi"/>
          <w:b/>
          <w:bCs/>
          <w:sz w:val="24"/>
          <w:szCs w:val="24"/>
          <w:lang w:val="en-GB"/>
        </w:rPr>
      </w:pPr>
      <w:r>
        <w:rPr>
          <w:rFonts w:eastAsia="ＭＳ ゴシック" w:cs="" w:cstheme="majorBidi" w:eastAsiaTheme="majorEastAsia"/>
          <w:b/>
          <w:bCs/>
          <w:sz w:val="24"/>
          <w:szCs w:val="24"/>
          <w:lang w:val="en-GB"/>
        </w:rPr>
        <w:t>Projects with evolving requirements:</w:t>
      </w:r>
    </w:p>
    <w:p>
      <w:pPr>
        <w:pStyle w:val="Normal"/>
        <w:ind w:left="720"/>
        <w:rPr>
          <w:rFonts w:ascii="Calibri" w:hAnsi="Calibri" w:eastAsia="ＭＳ ゴシック" w:cs="" w:asciiTheme="majorHAnsi" w:cstheme="majorBidi" w:eastAsiaTheme="majorEastAsia" w:hAnsiTheme="majorHAnsi"/>
          <w:sz w:val="24"/>
          <w:szCs w:val="24"/>
          <w:lang w:val="en-GB"/>
        </w:rPr>
      </w:pPr>
      <w:r>
        <w:rPr>
          <w:rFonts w:eastAsia="ＭＳ ゴシック" w:cs="" w:cstheme="majorBidi" w:eastAsiaTheme="majorEastAsia"/>
          <w:sz w:val="24"/>
          <w:szCs w:val="24"/>
          <w:lang w:val="en-GB"/>
        </w:rPr>
        <w:t>Proactive risk management is also critical in Projects with evolving requirements, where anticipating scope changes and planning accordingly becomes essential.</w:t>
      </w:r>
    </w:p>
    <w:p>
      <w:pPr>
        <w:pStyle w:val="Normal"/>
        <w:spacing w:before="0" w:after="200"/>
        <w:rPr>
          <w:sz w:val="24"/>
          <w:szCs w:val="24"/>
        </w:rPr>
      </w:pPr>
      <w:r>
        <w:rPr>
          <w:sz w:val="24"/>
          <w:szCs w:val="24"/>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9"/>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u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u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u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u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u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u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Application>LibreOffice/24.8.7.2$Linux_X86_64 LibreOffice_project/f4f281f562fb585d46b0af5755dfe1eb6adc047f</Application>
  <AppVersion>15.0000</AppVersion>
  <Pages>13</Pages>
  <Words>1753</Words>
  <Characters>11470</Characters>
  <CharactersWithSpaces>13154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2025-05-13T22:17:35Z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8cbd5bf2-96e8-452e-b1a4-e5f2c706d0f0</vt:lpwstr>
  </property>
</Properties>
</file>