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t xml:space="preserve"/>
      </w:r>
    </w:p>
    <w:p>
      <w:pPr>
        <w:bidi/>
        <w:spacing w:before="0" w:after="60"/>
        <w:jc w:val="center"/>
      </w:pPr>
      <w:r>
        <w:rPr>
          <w:rFonts w:ascii="Arial" w:cs="Arial" w:eastAsia="Arial" w:hAnsi="Arial"/>
          <w:color w:val="6B7280"/>
          <w:sz w:val="26"/>
          <w:szCs w:val="26"/>
        </w:rPr>
        <w:t xml:space="preserve">وثيقة متطلبات المنتج (PRD)</w:t>
      </w:r>
    </w:p>
    <w:p>
      <w:pPr>
        <w:bidi/>
        <w:spacing w:before="0" w:after="40"/>
        <w:jc w:val="center"/>
      </w:pPr>
      <w:r>
        <w:rPr>
          <w:rFonts w:ascii="Arial" w:cs="Arial" w:eastAsia="Arial" w:hAnsi="Arial"/>
          <w:b/>
          <w:bCs/>
          <w:color w:val="1A1A2E"/>
          <w:sz w:val="96"/>
          <w:szCs w:val="96"/>
        </w:rPr>
        <w:t xml:space="preserve">FocusIn</w:t>
      </w:r>
    </w:p>
    <w:p>
      <w:pPr>
        <w:bidi/>
        <w:spacing w:before="0" w:after="60"/>
        <w:jc w:val="center"/>
      </w:pPr>
      <w:r>
        <w:rPr>
          <w:rFonts w:ascii="Arial" w:cs="Arial" w:eastAsia="Arial" w:hAnsi="Arial"/>
          <w:b/>
          <w:bCs/>
          <w:color w:val="1A7A5E"/>
          <w:sz w:val="34"/>
          <w:szCs w:val="34"/>
        </w:rPr>
        <w:t xml:space="preserve">منصة إدارة الأداء الاستراتيجي</w:t>
      </w:r>
    </w:p>
    <w:p>
      <w:pPr>
        <w:pBdr>
          <w:top w:val="single" w:color="0D6E4F" w:sz="6" w:space="6"/>
        </w:pBdr>
        <w:bidi/>
        <w:spacing w:before="60" w:after="60"/>
        <w:jc w:val="center"/>
      </w:pPr>
      <w:r>
        <w:rPr>
          <w:rFonts w:ascii="Arial" w:cs="Arial" w:eastAsia="Arial" w:hAnsi="Arial"/>
          <w:color w:val="6B7280"/>
          <w:sz w:val="22"/>
          <w:szCs w:val="22"/>
        </w:rPr>
        <w:t xml:space="preserve">الإصدار 1.0  |  مارس 2026</w:t>
      </w:r>
    </w:p>
    <w:p>
      <w:pPr>
        <w:spacing w:before="800" w:after="0"/>
      </w:pPr>
      <w:r>
        <w:t xml:space="preserve"/>
      </w:r>
    </w:p>
    <w:p>
      <w:pPr>
        <w:jc w:val="center"/>
      </w:pPr>
      <w:r>
        <w:rPr>
          <w:rFonts w:ascii="Arial" w:cs="Arial" w:eastAsia="Arial" w:hAnsi="Arial"/>
          <w:color w:val="6B7280"/>
          <w:sz w:val="20"/>
          <w:szCs w:val="20"/>
        </w:rPr>
        <w:t xml:space="preserve">سري — للاستخدام الداخلي</w:t>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١. نظرة عامة على المنتج</w:t>
      </w:r>
    </w:p>
    <w:p>
      <w:pPr>
        <w:pStyle w:val="Heading2"/>
        <w:bidi/>
        <w:spacing w:before="280" w:after="100"/>
      </w:pPr>
      <w:r>
        <w:rPr>
          <w:rFonts w:ascii="Arial" w:cs="Arial" w:eastAsia="Arial" w:hAnsi="Arial"/>
          <w:b/>
          <w:bCs/>
          <w:color w:val="1A7A5E"/>
          <w:sz w:val="26"/>
          <w:szCs w:val="26"/>
        </w:rPr>
        <w:t xml:space="preserve">١.١  ما هو FocusIn؟</w:t>
      </w:r>
    </w:p>
    <w:p>
      <w:pPr>
        <w:bidi/>
        <w:spacing w:before="60" w:after="60"/>
        <w:jc w:val="right"/>
      </w:pPr>
      <w:r>
        <w:rPr>
          <w:rFonts w:ascii="Arial" w:cs="Arial" w:eastAsia="Arial" w:hAnsi="Arial"/>
          <w:color w:val="374151"/>
          <w:sz w:val="21"/>
          <w:szCs w:val="21"/>
        </w:rPr>
        <w:t xml:space="preserve">FocusIn منصة ويب متكاملة لإدارة الأداء الاستراتيجي، تُتيح للمؤسسات توثيق رؤيتها وأهدافها ومبادراتها وربطها مباشرةً بمؤشرات الأداء الرئيسية (KPIs)، مع لوحات تحكم تفاعلية لكل مستوى من مستويات المنظمة — من الإدارة العليا حتى رؤساء الأقسام.</w:t>
      </w:r>
    </w:p>
    <w:p>
      <w:pPr>
        <w:bidi/>
        <w:spacing w:before="60" w:after="60"/>
        <w:jc w:val="right"/>
      </w:pPr>
      <w:r>
        <w:rPr>
          <w:rFonts w:ascii="Arial" w:cs="Arial" w:eastAsia="Arial" w:hAnsi="Arial"/>
          <w:color w:val="374151"/>
          <w:sz w:val="21"/>
          <w:szCs w:val="21"/>
        </w:rPr>
        <w:t xml:space="preserve">تهدف المنصة إلى تحويل المؤسسات من أساليب إدارة الأداء اليدوية والمتفرقة (Excel وتقارير ورقية) إلى نظام رقمي موحد وآلي يدعم اتخاذ القرار المبني على البيانات، مع دعم كامل للغة العربية ومعايير تقارير الجهات الحكومية السعودية.</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١.٢  المشكلة التي تحلّها</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الفئة</w:t>
            </w:r>
          </w:p>
        </w:tc>
        <w:tc>
          <w:tcPr>
            <w:tcW w:type="dxa" w:w="6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المشكلة</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الإدارة التنفيذية</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غياب رؤية موحدة وفورية لمستوى تحقيق الأهداف الاستراتيجية</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مديرو الأقسام</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صعوبة ربط عمل الفريق بالأهداف العليا، وتأخر معرفة الانحرافات</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محللو البيانات</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تشتت البيانات في ملفات Excel منفصلة وعدم وجود API موحد</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فريق تقنية المعلومات</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الحلول الموجودة معقدة ومكلفة وتستلزم أشهراً من التنفيذ</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١.٣  الجمهور المستهدف</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الفئة</w:t>
            </w:r>
          </w:p>
        </w:tc>
        <w:tc>
          <w:tcPr>
            <w:tcW w:type="dxa" w:w="6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الوصف</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مدير الاستراتيجية</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يُعرّف الرؤية والمحاور والأهداف ويتابع تحقيقها على المستوى المؤسسي</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مدير القسم</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يتابع مؤشرات أداء فريقه ويربطها بالأهداف الاستراتيجية</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محلل البيانات</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يستخرج البيانات ويبني تقارير متقدمة ويتكامل مع أدوات BI</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الراعي التنفيذي (CEO/مجلس)</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يطّلع على الأداء المؤسسي الكلي باختصار وفورية</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مسؤول النظام</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يدير المستخدمين والصلاحيات والفترات الاستراتيجية وسجل التدقيق</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١.٤  نموذج العمل</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مصدر الإيراد</w:t>
            </w:r>
          </w:p>
        </w:tc>
        <w:tc>
          <w:tcPr>
            <w:tcW w:type="dxa" w:w="4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الآلية</w:t>
            </w:r>
          </w:p>
        </w:tc>
        <w:tc>
          <w:tcPr>
            <w:tcW w:type="dxa" w:w="2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التفاصيل</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اشتراكات المؤسسات</w:t>
            </w:r>
          </w:p>
        </w:tc>
        <w:tc>
          <w:tcPr>
            <w:tcW w:type="dxa" w:w="4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باقات شهرية / سنوية بثلاثة مستويات</w:t>
            </w:r>
          </w:p>
        </w:tc>
        <w:tc>
          <w:tcPr>
            <w:tcW w:type="dxa" w:w="2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Starter / Growth / Enterprise — تفاصيل الأسعار في القسم ١٤</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خدمات التنفيذ</w:t>
            </w:r>
          </w:p>
        </w:tc>
        <w:tc>
          <w:tcPr>
            <w:tcW w:type="dxa" w:w="4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إعداد الخريطة الاستراتيجية الأولية</w:t>
            </w:r>
          </w:p>
        </w:tc>
        <w:tc>
          <w:tcPr>
            <w:tcW w:type="dxa" w:w="2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رسوم لمرة واحدة للمؤسسات الكبيرة</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الدعم المتميز</w:t>
            </w:r>
          </w:p>
        </w:tc>
        <w:tc>
          <w:tcPr>
            <w:tcW w:type="dxa" w:w="4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مدير حساب مخصص + SLA مكتوب</w:t>
            </w:r>
          </w:p>
        </w:tc>
        <w:tc>
          <w:tcPr>
            <w:tcW w:type="dxa" w:w="2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متاح في باقة Enterprise فقط</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٢. أهداف المنتج ومؤشرات النجاح</w:t>
      </w:r>
    </w:p>
    <w:p>
      <w:pPr>
        <w:pStyle w:val="Heading2"/>
        <w:bidi/>
        <w:spacing w:before="280" w:after="100"/>
      </w:pPr>
      <w:r>
        <w:rPr>
          <w:rFonts w:ascii="Arial" w:cs="Arial" w:eastAsia="Arial" w:hAnsi="Arial"/>
          <w:b/>
          <w:bCs/>
          <w:color w:val="1A7A5E"/>
          <w:sz w:val="26"/>
          <w:szCs w:val="26"/>
        </w:rPr>
        <w:t xml:space="preserve">٢.١  أهداف الأعمال</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بناء المرجع الرقمي الأول لإدارة الأداء الاستراتيجي في السوق السعودي والخليجي</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تحقيق إيرادات مستدامة عبر نموذج اشتراك متدرج يناسب المؤسسات الصغيرة والكبيرة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تمكين مديري الاستراتيجية من رقمنة خططهم وتوزيعها على الأقسام في أقل من ساعتين</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أن يكون FocusIn البديل الاقتصادي الأذكى أمام الحلول المعقدة كـ SAP Strategy Management</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٢.٢  مؤشرات النجاح (KPIs)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rPr>
          <w:tblHeader/>
        </w:trPr>
        <w:tc>
          <w:tcPr>
            <w:tcW w:type="dxa" w:w="4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المؤشر</w:t>
            </w:r>
          </w:p>
        </w:tc>
        <w:tc>
          <w:tcPr>
            <w:tcW w:type="dxa" w:w="3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الهدف</w:t>
            </w:r>
          </w:p>
        </w:tc>
        <w:tc>
          <w:tcPr>
            <w:tcW w:type="dxa" w:w="20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التردد</w:t>
            </w:r>
          </w:p>
        </w:tc>
      </w:tr>
      <w:tr>
        <w:tc>
          <w:tcPr>
            <w:tcW w:type="dxa" w:w="4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وقت إعداد خريطة استراتيجية كاملة</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أقل من ساعتين</w:t>
            </w:r>
          </w:p>
        </w:tc>
        <w:tc>
          <w:tcPr>
            <w:tcW w:type="dxa" w:w="2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قياس عند الإعداد</w:t>
            </w:r>
          </w:p>
        </w:tc>
      </w:tr>
      <w:tr>
        <w:tc>
          <w:tcPr>
            <w:tcW w:type="dxa" w:w="4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معدل الاحتفاظ بالمؤسسات النشطة</w:t>
            </w:r>
          </w:p>
        </w:tc>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أكثر من 85%</w:t>
            </w:r>
          </w:p>
        </w:tc>
        <w:tc>
          <w:tcPr>
            <w:tcW w:type="dxa" w:w="2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شهري</w:t>
            </w:r>
          </w:p>
        </w:tc>
      </w:tr>
      <w:tr>
        <w:tc>
          <w:tcPr>
            <w:tcW w:type="dxa" w:w="4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متوسط تقييم المنصة</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4.5 نجوم فأكثر</w:t>
            </w:r>
          </w:p>
        </w:tc>
        <w:tc>
          <w:tcPr>
            <w:tcW w:type="dxa" w:w="2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ربع سنوي</w:t>
            </w:r>
          </w:p>
        </w:tc>
      </w:tr>
      <w:tr>
        <w:tc>
          <w:tcPr>
            <w:tcW w:type="dxa" w:w="4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وقت توليد تقرير تنفيذي</w:t>
            </w:r>
          </w:p>
        </w:tc>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أقل من 30 ثانية</w:t>
            </w:r>
          </w:p>
        </w:tc>
        <w:tc>
          <w:tcPr>
            <w:tcW w:type="dxa" w:w="2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قياس مستمر</w:t>
            </w:r>
          </w:p>
        </w:tc>
      </w:tr>
      <w:tr>
        <w:tc>
          <w:tcPr>
            <w:tcW w:type="dxa" w:w="4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نمو إجمالي الإيرادات (اشتراكات)</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نمو شهري مستمر</w:t>
            </w:r>
          </w:p>
        </w:tc>
        <w:tc>
          <w:tcPr>
            <w:tcW w:type="dxa" w:w="2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شهري</w:t>
            </w:r>
          </w:p>
        </w:tc>
      </w:tr>
      <w:tr>
        <w:tc>
          <w:tcPr>
            <w:tcW w:type="dxa" w:w="4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عدد مؤشرات الأداء المُحدَّثة أسبوعياً</w:t>
            </w:r>
          </w:p>
        </w:tc>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أكثر من 70% من KPIs النشطة</w:t>
            </w:r>
          </w:p>
        </w:tc>
        <w:tc>
          <w:tcPr>
            <w:tcW w:type="dxa" w:w="2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أسبوعي</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٣. قصص المستخدم</w:t>
      </w:r>
    </w:p>
    <w:p>
      <w:pPr>
        <w:pStyle w:val="Heading2"/>
        <w:bidi/>
        <w:spacing w:before="280" w:after="100"/>
      </w:pPr>
      <w:r>
        <w:rPr>
          <w:rFonts w:ascii="Arial" w:cs="Arial" w:eastAsia="Arial" w:hAnsi="Arial"/>
          <w:b/>
          <w:bCs/>
          <w:color w:val="1A7A5E"/>
          <w:sz w:val="26"/>
          <w:szCs w:val="26"/>
        </w:rPr>
        <w:t xml:space="preserve">٣.١  قصص مدير الاستراتيجية</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rPr>
          <w:tblHeader/>
        </w:trPr>
        <w:tc>
          <w:tcPr>
            <w:tcW w:type="dxa" w:w="1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المعرّف</w:t>
            </w:r>
          </w:p>
        </w:tc>
        <w:tc>
          <w:tcPr>
            <w:tcW w:type="dxa" w:w="62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قصة المستخدم</w:t>
            </w:r>
          </w:p>
        </w:tc>
        <w:tc>
          <w:tcPr>
            <w:tcW w:type="dxa" w:w="1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الأهمية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S-01</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استراتيجية، أريد تعريف رؤية المنظمة ورسالتها ومحاورها الاستراتيجية حتى يتوافق كل قسم مع الأهداف العليا.</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S-02</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استراتيجية، أريد ربط الأهداف الاستراتيجية بمؤشرات الأداء (KPIs) وتتبع تقدمها آلياً حتى أتمكن من تقديم تقارير للجنة التنفيذية بثقة.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S-03</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استراتيجية، أريد تصدير بطاقة أداء ربع سنوية (PDF/Excel) لتوزيعها على أصحاب المصلحة.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S-04</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استراتيجية، حين تحتاج الأهداف لمراجعة في منتصف الفترة، أريد إصدار التغيير مع سبب وطابع زمني حتى تُظهر التقارير الأهداف الأصلية والمعدَّلة دون كتابة فوق البيانات القديمة.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S-05</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استراتيجية، أريد إنشاء مبادرات استراتيجية ومتابعة تقدمها والميزانية المخصصة لها.</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S-06</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استراتيجية، أريد خريطة استراتيجية مرئية تُظهر كيف تُسهم كل وحدة في تحقيق الرؤية.</w:t>
            </w:r>
          </w:p>
        </w:tc>
        <w:tc>
          <w:tcPr>
            <w:tcW w:type="dxa" w:w="16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٣.٢  قصص مدير القسم</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rPr>
          <w:tblHeader/>
        </w:trPr>
        <w:tc>
          <w:tcPr>
            <w:tcW w:type="dxa" w:w="1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المعرّف</w:t>
            </w:r>
          </w:p>
        </w:tc>
        <w:tc>
          <w:tcPr>
            <w:tcW w:type="dxa" w:w="62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قصة المستخدم</w:t>
            </w:r>
          </w:p>
        </w:tc>
        <w:tc>
          <w:tcPr>
            <w:tcW w:type="dxa" w:w="1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الأهمية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D-01</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قسم، أريد رؤية كيف تُسهم مؤشرات فريقي في رؤية الشركة حتى أفهم أثرنا الاستراتيجي.</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D-02</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قسم، أحتاج تقديم تحديثات مؤشرات الأداء الشهرية بسهولة، يدوياً أو عبر تكامل API مع الأنظمة الموجودة.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D-03</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قسم، أريد تنبيهات فورية عند انحراف أي مؤشر أداء عن هدفه حتى أتخذ إجراءً تصحيحياً قبل نهاية الفترة.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D-04</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قسم، إذا أُعيد هيكلة قسمي في منتصف الفترة، أريد نقل مؤشرات الأداء للهيكل الجديد دون فقدان سجل التقدم.</w:t>
            </w:r>
          </w:p>
        </w:tc>
        <w:tc>
          <w:tcPr>
            <w:tcW w:type="dxa" w:w="16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D-05</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قسم، أريد عرضاً مرئياً واضحاً لجميع مؤشراتي (على المسار / في خطر / منحرف) على شاشة واحدة.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٣.٣  قصص محلل البيانات</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rPr>
          <w:tblHeader/>
        </w:trPr>
        <w:tc>
          <w:tcPr>
            <w:tcW w:type="dxa" w:w="1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المعرّف</w:t>
            </w:r>
          </w:p>
        </w:tc>
        <w:tc>
          <w:tcPr>
            <w:tcW w:type="dxa" w:w="62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قصة المستخدم</w:t>
            </w:r>
          </w:p>
        </w:tc>
        <w:tc>
          <w:tcPr>
            <w:tcW w:type="dxa" w:w="1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الأهمية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A-01</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محلل بيانات، أريد الوصول إلى مجموعات بيانات مؤشرات الأداء الخام والاتجاهات حتى أبني تقارير ولوحات بيانات إضافية.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A-02</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محلل بيانات، أحتاج نقاط نهاية API وواجهة استعلام بسيطة للتكامل مع Power BI وTableau.</w:t>
            </w:r>
          </w:p>
        </w:tc>
        <w:tc>
          <w:tcPr>
            <w:tcW w:type="dxa" w:w="16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A-03</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محلل بيانات، أريد تصدير البيانات بتنسيق CSV أو Excel للتحليل خارج المنصة.</w:t>
            </w:r>
          </w:p>
        </w:tc>
        <w:tc>
          <w:tcPr>
            <w:tcW w:type="dxa" w:w="16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٣.٤  قصص الراعي التنفيذي</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rPr>
          <w:tblHeader/>
        </w:trPr>
        <w:tc>
          <w:tcPr>
            <w:tcW w:type="dxa" w:w="1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المعرّف</w:t>
            </w:r>
          </w:p>
        </w:tc>
        <w:tc>
          <w:tcPr>
            <w:tcW w:type="dxa" w:w="62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قصة المستخدم</w:t>
            </w:r>
          </w:p>
        </w:tc>
        <w:tc>
          <w:tcPr>
            <w:tcW w:type="dxa" w:w="1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الأهمية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E-01</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راعياً تنفيذياً، أريد لوحة بيانات عالية المستوى تُظهر صحة المنظمة بنظرة واحدة دون الدخول في التفاصيل.</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E-02</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راعياً تنفيذياً، أحتاج وصولاً عبر الهاتف المحمول إلى المؤشرات الرئيسية وتقارير الأداء.</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E-03</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راعياً تنفيذياً، أريد تلقي إشعارات فورية عند وصول أي مؤشر لمستوى حرج (أقل من 50% من الهدف).</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٣.٥  قصص مسؤول النظام</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rPr>
          <w:tblHeader/>
        </w:trPr>
        <w:tc>
          <w:tcPr>
            <w:tcW w:type="dxa" w:w="1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المعرّف</w:t>
            </w:r>
          </w:p>
        </w:tc>
        <w:tc>
          <w:tcPr>
            <w:tcW w:type="dxa" w:w="62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قصة المستخدم</w:t>
            </w:r>
          </w:p>
        </w:tc>
        <w:tc>
          <w:tcPr>
            <w:tcW w:type="dxa" w:w="1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الأهمية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ADM-01</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مسؤول نظام، أريد إنشاء وإدارة حسابات المستخدمين وتعيين الأدوار وتعطيل المستخدمين للحفاظ على صحة التحكم في الوصول.</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ADM-02</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مسؤول نظام، أريد تكوين الفترات الاستراتيجية للمنظمة وقفل الفترات المكتملة حتى تظل البيانات التاريخية غير قابلة للتعديل.</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ADM-03</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مسؤول نظام، أريد عرض سجل تدقيق كامل لجميع التغييرات على مؤشرات الأداء والأهداف والاستراتيجيات.</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ADM-04</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مسؤول نظام، أريد استيراد هيكل تنظيمي موجود (CSV/Excel) لملء الأقسام مسبقاً بدلاً من إدخاله يدوياً.</w:t>
            </w:r>
          </w:p>
        </w:tc>
        <w:tc>
          <w:tcPr>
            <w:tcW w:type="dxa" w:w="16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ADM-05</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مسؤول نظام، أريد إدارة التسلسل الهرمي للأقسام دون التأثير على بيانات مؤشرات الأداء التاريخية.</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٣.٦  قصص الإشعارات والتنبيهات</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226"/>
        <w:gridCol w:w="1600"/>
      </w:tblGrid>
      <w:tr>
        <w:trPr>
          <w:tblHeader/>
        </w:trPr>
        <w:tc>
          <w:tcPr>
            <w:tcW w:type="dxa" w:w="1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المعرّف</w:t>
            </w:r>
          </w:p>
        </w:tc>
        <w:tc>
          <w:tcPr>
            <w:tcW w:type="dxa" w:w="62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قصة المستخدم</w:t>
            </w:r>
          </w:p>
        </w:tc>
        <w:tc>
          <w:tcPr>
            <w:tcW w:type="dxa" w:w="1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20"/>
                <w:szCs w:val="20"/>
              </w:rPr>
              <w:t xml:space="preserve">الأهمية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N-01</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قسم، أريد تنبيهاً داخل التطبيق وعبر البريد الإلكتروني عند انخفاض أي مؤشر عن عتبة قابلة للتخصيص (مثلاً أقل من 70% من الهدف).</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N-02</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مدير استراتيجية، أريد ملخصاً أسبوعياً يُلخص المؤشرات على المسار والمعرّضة للخطر والمنحرفة عبر جميع الأقسام.</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N-03</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راعياً تنفيذياً، أريد إشعارات فورية على الهاتف المحمول عند وصول أي مؤشر لمستوى حرج (أقل من 50%).</w:t>
            </w:r>
          </w:p>
        </w:tc>
        <w:tc>
          <w:tcPr>
            <w:tcW w:type="dxa" w:w="16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N-04</w:t>
            </w:r>
          </w:p>
        </w:tc>
        <w:tc>
          <w:tcPr>
            <w:tcW w:type="dxa" w:w="6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بصفتي أي مستخدم، أريد تأجيل تنبيه أو رفضه مع تعليق إلزامي حتى تكون هناك مساءلة خلف التنبيهات المتجاهلة.</w:t>
            </w:r>
          </w:p>
        </w:tc>
        <w:tc>
          <w:tcPr>
            <w:tcW w:type="dxa" w:w="16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٤. المتطلبات الوظيفية</w:t>
      </w:r>
    </w:p>
    <w:p>
      <w:pPr>
        <w:pStyle w:val="Heading2"/>
        <w:bidi/>
        <w:spacing w:before="280" w:after="100"/>
      </w:pPr>
      <w:r>
        <w:rPr>
          <w:rFonts w:ascii="Arial" w:cs="Arial" w:eastAsia="Arial" w:hAnsi="Arial"/>
          <w:b/>
          <w:bCs/>
          <w:color w:val="1A7A5E"/>
          <w:sz w:val="26"/>
          <w:szCs w:val="26"/>
        </w:rPr>
        <w:t xml:space="preserve">٤.١  نظام المصادقة والتحكم في الوصول</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AUTH-01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تسجيل مستخدم جديد مع تعيين الدور (مدير استراتيجية / مدير قسم / محلل / راعٍ تنفيذي / مسؤول)</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AUTH-02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تسجيل دخول بالبريد الإلكتروني وكلمة المرور مع استمرارية الجلسة 30 دقيقة خاملة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AUTH-03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إعادة تعيين كلمة المرور عبر رابط البريد الإلكتروني (صالح 15 دقيقة)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AUTH-04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RBAC كامل — كل مستخدم يرى فقط البيانات المرتبطة بدوره وقسمه</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AUTH-05</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سجل تدقيق لكل عملية تعديل (من فعل ماذا ومتى)</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AUTH-06</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دعم SSO/SAML للمؤسسات الكبيرة (Enterprise فقط)</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AUTH-07</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تسجيل خروج يدوي من الحساب</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٤.٢  لوحة تحكم مدير الاستراتيجية</w:t>
      </w:r>
    </w:p>
    <w:p>
      <w:pPr>
        <w:bidi/>
        <w:spacing w:before="200" w:after="80"/>
      </w:pPr>
      <w:r>
        <w:rPr>
          <w:rFonts w:ascii="Arial" w:cs="Arial" w:eastAsia="Arial" w:hAnsi="Arial"/>
          <w:b/>
          <w:bCs/>
          <w:color w:val="1A1A2E"/>
          <w:sz w:val="22"/>
          <w:szCs w:val="22"/>
        </w:rPr>
        <w:t xml:space="preserve">الخريطة الاستراتيجية</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STR-01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تعريف رؤية المنظمة ورسالتها والقيم الجوهرية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STR-02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إضافة المحاور الاستراتيجية (Pillars) وربطها بالرؤية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STR-03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إضافة الأهداف الاستراتيجية (Objectives) وربطها بالمحاور</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STR-04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تصور الخريطة الاستراتيجية تفاعلياً مع إمكانية التوسع والطي</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STR-05</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تعديل أي عنصر في الخريطة مع حفظ سجل التغييرات والسبب</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STR-06</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تحديد الفترة الزمنية للاستراتيجية (سنة / 3 سنوات / 5 سنوات)</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STR-07</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إمكانية نسخ خريطة استراتيجية سابقة كنقطة انطلاق</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80" w:after="0"/>
      </w:pPr>
      <w:r>
        <w:t xml:space="preserve"/>
      </w:r>
    </w:p>
    <w:p>
      <w:pPr>
        <w:bidi/>
        <w:spacing w:before="200" w:after="80"/>
      </w:pPr>
      <w:r>
        <w:rPr>
          <w:rFonts w:ascii="Arial" w:cs="Arial" w:eastAsia="Arial" w:hAnsi="Arial"/>
          <w:b/>
          <w:bCs/>
          <w:color w:val="1A1A2E"/>
          <w:sz w:val="22"/>
          <w:szCs w:val="22"/>
        </w:rPr>
        <w:t xml:space="preserve">بطاقة الأداء المتوازن (BSC)</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BSC-01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إدارة الأهداف عبر المنظورات الأربعة: المالي، العملاء، العمليات الداخلية، التعلم والنمو</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BSC-02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ربط كل هدف في BSC بمحور استراتيجي ومؤشر أداء واحد أو أكثر</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BSC-03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عرض ملخص BSC بصري مع نسب التحقيق لكل منظور</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BSC-04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تصدير BSC كتقرير PDF أو Excel</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bl>
    <w:p>
      <w:pPr>
        <w:spacing w:before="80" w:after="0"/>
      </w:pPr>
      <w:r>
        <w:t xml:space="preserve"/>
      </w:r>
    </w:p>
    <w:p>
      <w:pPr>
        <w:bidi/>
        <w:spacing w:before="200" w:after="80"/>
      </w:pPr>
      <w:r>
        <w:rPr>
          <w:rFonts w:ascii="Arial" w:cs="Arial" w:eastAsia="Arial" w:hAnsi="Arial"/>
          <w:b/>
          <w:bCs/>
          <w:color w:val="1A1A2E"/>
          <w:sz w:val="22"/>
          <w:szCs w:val="22"/>
        </w:rPr>
        <w:t xml:space="preserve">إدارة مؤشرات الأداء (KPIs)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KPI-01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إضافة مؤشر أداء (اسم، وصف، وحدة القياس، القيمة الأساسية، الهدف، التردد)</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KPI-02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ربط المؤشر بهدف استراتيجي وقسم ومالك</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KPI-03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رفع القراءة الفعلية للمؤشر يدوياً أو عبر API</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KPI-04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حساب نسبة التحقيق وتصنيف الحالة تلقائياً (على المسار / في خطر / منحرف)</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KPI-05</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عرض الاتجاه التاريخي للمؤشر في رسم بياني</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KPI-06</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أرشفة مؤشر (لا يظهر في القوائم النشطة لكن يبقى في التقارير التاريخية)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KPI-07</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تكوين عتبة التنبيه لكل مؤشر (أصفر / أحمر)</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bl>
    <w:p>
      <w:pPr>
        <w:spacing w:before="80" w:after="0"/>
      </w:pPr>
      <w:r>
        <w:t xml:space="preserve"/>
      </w:r>
    </w:p>
    <w:p>
      <w:pPr>
        <w:bidi/>
        <w:spacing w:before="200" w:after="80"/>
      </w:pPr>
      <w:r>
        <w:rPr>
          <w:rFonts w:ascii="Arial" w:cs="Arial" w:eastAsia="Arial" w:hAnsi="Arial"/>
          <w:b/>
          <w:bCs/>
          <w:color w:val="1A1A2E"/>
          <w:sz w:val="22"/>
          <w:szCs w:val="22"/>
        </w:rPr>
        <w:t xml:space="preserve">إدارة المبادرات</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INI-01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إنشاء مبادرة استراتيجية (اسم، وصف، مالك، تاريخ البدء والانتهاء، الميزانية)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INI-02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ربط المبادرة بأهداف استراتيجية واحدة أو أكثر</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INI-03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تتبع التقدم بنسبة مئوية وشريط تقدم مرئي</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INI-04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مراقبة الميزانية: المخصصة مقابل المُنفَقة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INI-05</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تغيير حالة المبادرة (مخطط / نشط / مكتمل / متوقف)</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INI-06</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إضافة ملاحظات تقدم دورية مع تاريخ ومحرر</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٤.٣  لوحة تحكم مدير القسم</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DEPT-01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عرض KPIs الخاصة بالقسم مع نسبة التحقيق والحالة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DEPT-02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رفع القراءة الفعلية الشهرية لكل مؤشر</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DEPT-03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عرض مساهمة القسم في الأهداف الاستراتيجية العليا بصرياً</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DEPT-04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طلب مراجعة هدف أو مؤشر من مدير الاستراتيجية</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DEPT-05</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عرض سجل تاريخي لجميع القراءات السابقة</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٤.٤  لوحة تحكم الراعي التنفيذي</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EXEC-01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ملخص الأداء المؤسسي الكلي: نسبة تحقيق الاستراتيجية الكلية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EXEC-02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بطاقات إحصائية: مؤشرات على المسار / في خطر / منحرفة / عدد المبادرات</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EXEC-03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الوصول للوحة عبر الهاتف المحمول بتصميم متجاوب</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EXEC-04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تصدير تقرير تنفيذي سريع بنقرة واحدة (PDF)</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٤.٥  لوحة تحكم مسؤول النظام</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إدارة المستخدمين: إضافة / تعديل / تعطيل وتعيين الأدوار والأقسام</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إدارة الفترات الاستراتيجية وقفل الفترات المكتملة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سجل تدقيق كامل قابل للبحث والفلترة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استيراد الهيكل التنظيمي من CSV</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ADM-05</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تكوين إعدادات المنصة (اسم المنظمة، الشعار، العلامة التجارية)</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ADM-06</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إدارة باقات الاشتراك وتجديدها وإلغائها</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٤.٦  التقارير والتصدير</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826"/>
        <w:gridCol w:w="1800"/>
      </w:tblGrid>
      <w:tr>
        <w:trPr>
          <w:tblHeader/>
        </w:trPr>
        <w:tc>
          <w:tcPr>
            <w:tcW w:type="dxa" w:w="1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المعرّف</w:t>
            </w:r>
          </w:p>
        </w:tc>
        <w:tc>
          <w:tcPr>
            <w:tcW w:type="dxa" w:w="58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المتطلب</w:t>
            </w:r>
          </w:p>
        </w:tc>
        <w:tc>
          <w:tcPr>
            <w:tcW w:type="dxa" w:w="1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center"/>
            </w:pPr>
            <w:r>
              <w:rPr>
                <w:rFonts w:ascii="Arial" w:cs="Arial" w:eastAsia="Arial" w:hAnsi="Arial"/>
                <w:b/>
                <w:bCs/>
                <w:color w:val="FFFFFF"/>
                <w:sz w:val="19"/>
                <w:szCs w:val="19"/>
              </w:rPr>
              <w:t xml:space="preserve">الأولوية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RPT-01</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تقرير BSC ربع سنوي كامل (PDF/Excel)</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RPT-02</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تقرير أداء KPI لفترة زمنية محددة مع الرسوم البيانية</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RPT-03</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تقرير تنفيذي سريع (صفحة واحدة) للمجلس التنفيذي</w:t>
            </w:r>
          </w:p>
        </w:tc>
        <w:tc>
          <w:tcPr>
            <w:tcW w:type="dxa" w:w="1800"/>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bidi/>
              <w:jc w:val="center"/>
            </w:pPr>
            <w:r>
              <w:rPr>
                <w:rFonts w:ascii="Arial" w:cs="Arial" w:eastAsia="Arial" w:hAnsi="Arial"/>
                <w:b/>
                <w:bCs/>
                <w:color w:val="0A4D36"/>
                <w:sz w:val="20"/>
                <w:szCs w:val="20"/>
              </w:rPr>
              <w:t xml:space="preserve">عالية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RPT-04</w:t>
            </w:r>
          </w:p>
        </w:tc>
        <w:tc>
          <w:tcPr>
            <w:tcW w:type="dxa" w:w="5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تصدير بيانات KPI الخام (CSV) للتكامل مع BI</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r>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center"/>
            </w:pPr>
            <w:r>
              <w:rPr>
                <w:rFonts w:ascii="Arial" w:cs="Arial" w:eastAsia="Arial" w:hAnsi="Arial"/>
                <w:b/>
                <w:bCs/>
                <w:color w:val="1A7A5E"/>
                <w:sz w:val="19"/>
                <w:szCs w:val="19"/>
              </w:rPr>
              <w:t xml:space="preserve">RPT-05</w:t>
            </w:r>
          </w:p>
        </w:tc>
        <w:tc>
          <w:tcPr>
            <w:tcW w:type="dxa" w:w="5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جدولة إرسال التقارير تلقائياً بالبريد الإلكتروني</w:t>
            </w:r>
          </w:p>
        </w:tc>
        <w:tc>
          <w:tcPr>
            <w:tcW w:type="dxa" w:w="1800"/>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bidi/>
              <w:jc w:val="center"/>
            </w:pPr>
            <w:r>
              <w:rPr>
                <w:rFonts w:ascii="Arial" w:cs="Arial" w:eastAsia="Arial" w:hAnsi="Arial"/>
                <w:b/>
                <w:bCs/>
                <w:color w:val="B8860B"/>
                <w:sz w:val="20"/>
                <w:szCs w:val="20"/>
              </w:rPr>
              <w:t xml:space="preserve">متوسطة</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٥. سير العمل الرئيسية</w:t>
      </w:r>
    </w:p>
    <w:p>
      <w:pPr>
        <w:pStyle w:val="Heading2"/>
        <w:bidi/>
        <w:spacing w:before="280" w:after="100"/>
      </w:pPr>
      <w:r>
        <w:rPr>
          <w:rFonts w:ascii="Arial" w:cs="Arial" w:eastAsia="Arial" w:hAnsi="Arial"/>
          <w:b/>
          <w:bCs/>
          <w:color w:val="1A7A5E"/>
          <w:sz w:val="26"/>
          <w:szCs w:val="26"/>
        </w:rPr>
        <w:t xml:space="preserve">٥.١  رحلة إنشاء خريطة استراتيجية جديدة</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الخطوة</w:t>
            </w:r>
          </w:p>
        </w:tc>
        <w:tc>
          <w:tcPr>
            <w:tcW w:type="dxa" w:w="62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الإجراء</w:t>
            </w:r>
          </w:p>
        </w:tc>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الحالة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مسؤول النظام يُنشئ فترة استراتيجية جديدة (اسم، تاريخ البدء والانتهاء)</w:t>
            </w:r>
          </w:p>
        </w:tc>
        <w:tc>
          <w:tcPr>
            <w:tcW w:type="dxa" w:w="2200"/>
            <w:tcBorders>
              <w:top w:val="single" w:color="D1D5DB" w:sz="1"/>
              <w:left w:val="single" w:color="D1D5DB" w:sz="1"/>
              <w:bottom w:val="single" w:color="D1D5DB" w:sz="1"/>
              <w:right w:val="single" w:color="D1D5DB" w:sz="1"/>
            </w:tcBorders>
            <w:shd w:fill="FFF8E1" w:val="clear"/>
            <w:tcMar>
              <w:top w:type="dxa" w:w="80"/>
              <w:left w:type="dxa" w:w="150"/>
              <w:bottom w:type="dxa" w:w="80"/>
              <w:right w:type="dxa" w:w="150"/>
            </w:tcMar>
          </w:tcPr>
          <w:p>
            <w:pPr>
              <w:jc w:val="center"/>
            </w:pPr>
            <w:r>
              <w:rPr>
                <w:rFonts w:ascii="Arial" w:cs="Arial" w:eastAsia="Arial" w:hAnsi="Arial"/>
                <w:b/>
                <w:bCs/>
                <w:color w:val="B8860B"/>
                <w:sz w:val="18"/>
                <w:szCs w:val="18"/>
              </w:rPr>
              <w:t xml:space="preserve">مسودة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الاستراتيجية يُدخل الرؤية والرسالة والقيم الجوهرية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إضافة المحاور الاستراتيجية وربطها بالرؤية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إضافة الأهداف الاستراتيجية تحت كل محور</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إضافة مؤشرات الأداء KPI لكل هدف مع القيم الأساسية والمستهدفة</w:t>
            </w:r>
          </w:p>
        </w:tc>
        <w:tc>
          <w:tcPr>
            <w:tcW w:type="dxa" w:w="2200"/>
            <w:tcBorders>
              <w:top w:val="single" w:color="D1D5DB" w:sz="1"/>
              <w:left w:val="single" w:color="D1D5DB" w:sz="1"/>
              <w:bottom w:val="single" w:color="D1D5DB" w:sz="1"/>
              <w:right w:val="single" w:color="D1D5DB" w:sz="1"/>
            </w:tcBorders>
            <w:shd w:fill="FFF8E1" w:val="clear"/>
            <w:tcMar>
              <w:top w:type="dxa" w:w="80"/>
              <w:left w:type="dxa" w:w="150"/>
              <w:bottom w:type="dxa" w:w="80"/>
              <w:right w:type="dxa" w:w="150"/>
            </w:tcMar>
          </w:tcPr>
          <w:p>
            <w:pPr>
              <w:jc w:val="center"/>
            </w:pPr>
            <w:r>
              <w:rPr>
                <w:rFonts w:ascii="Arial" w:cs="Arial" w:eastAsia="Arial" w:hAnsi="Arial"/>
                <w:b/>
                <w:bCs/>
                <w:color w:val="B8860B"/>
                <w:sz w:val="18"/>
                <w:szCs w:val="18"/>
              </w:rPr>
              <w:t xml:space="preserve">نشطة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توزيع مسؤولية كل KPI على مدير القسم المعني</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مراجعة الخريطة الاستراتيجية بالكامل والموافقة النهائية</w:t>
            </w:r>
          </w:p>
        </w:tc>
        <w:tc>
          <w:tcPr>
            <w:tcW w:type="dxa" w:w="2200"/>
            <w:tcBorders>
              <w:top w:val="single" w:color="D1D5DB" w:sz="1"/>
              <w:left w:val="single" w:color="D1D5DB" w:sz="1"/>
              <w:bottom w:val="single" w:color="D1D5DB" w:sz="1"/>
              <w:right w:val="single" w:color="D1D5DB" w:sz="1"/>
            </w:tcBorders>
            <w:shd w:fill="FFF8E1" w:val="clear"/>
            <w:tcMar>
              <w:top w:type="dxa" w:w="80"/>
              <w:left w:type="dxa" w:w="150"/>
              <w:bottom w:type="dxa" w:w="80"/>
              <w:right w:type="dxa" w:w="150"/>
            </w:tcMar>
          </w:tcPr>
          <w:p>
            <w:pPr>
              <w:jc w:val="center"/>
            </w:pPr>
            <w:r>
              <w:rPr>
                <w:rFonts w:ascii="Arial" w:cs="Arial" w:eastAsia="Arial" w:hAnsi="Arial"/>
                <w:b/>
                <w:bCs/>
                <w:color w:val="B8860B"/>
                <w:sz w:val="18"/>
                <w:szCs w:val="18"/>
              </w:rPr>
              <w:t xml:space="preserve">معتمدة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إشعار تلقائي لجميع مديري الأقسام بإطلاق الفترة الاستراتيجية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٥.٢  رحلة رفع تحديث KPI (الدورة الشهرية)</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الخطوة</w:t>
            </w:r>
          </w:p>
        </w:tc>
        <w:tc>
          <w:tcPr>
            <w:tcW w:type="dxa" w:w="62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الإجراء</w:t>
            </w:r>
          </w:p>
        </w:tc>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الحالة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القسم يتلقى إشعاراً تلقائياً في بداية كل شهر لرفع قراءاته</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القسم يفتح KPI المعني ويُدخل القيمة الفعلية للشهر</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النظام يحسب نسبة التحقيق ويُحدّث الحالة تلقائياً (على المسار / في خطر / منحرف)</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إذا انحرف المؤشر عن العتبة ← يُرسل تنبيه فوري لمدير القسم ومدير الاستراتيجية</w:t>
            </w:r>
          </w:p>
        </w:tc>
        <w:tc>
          <w:tcPr>
            <w:tcW w:type="dxa" w:w="2200"/>
            <w:tcBorders>
              <w:top w:val="single" w:color="D1D5DB" w:sz="1"/>
              <w:left w:val="single" w:color="D1D5DB" w:sz="1"/>
              <w:bottom w:val="single" w:color="D1D5DB" w:sz="1"/>
              <w:right w:val="single" w:color="D1D5DB" w:sz="1"/>
            </w:tcBorders>
            <w:shd w:fill="FFF8E1" w:val="clear"/>
            <w:tcMar>
              <w:top w:type="dxa" w:w="80"/>
              <w:left w:type="dxa" w:w="150"/>
              <w:bottom w:type="dxa" w:w="80"/>
              <w:right w:type="dxa" w:w="150"/>
            </w:tcMar>
          </w:tcPr>
          <w:p>
            <w:pPr>
              <w:jc w:val="center"/>
            </w:pPr>
            <w:r>
              <w:rPr>
                <w:rFonts w:ascii="Arial" w:cs="Arial" w:eastAsia="Arial" w:hAnsi="Arial"/>
                <w:b/>
                <w:bCs/>
                <w:color w:val="B8860B"/>
                <w:sz w:val="18"/>
                <w:szCs w:val="18"/>
              </w:rPr>
              <w:t xml:space="preserve">تنبيه</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القسم يضيف تعليقاً تفسيرياً للانحراف إذا وُجد</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المؤشر يُحدَّث في لوحات التحكم فوراً ويظهر في التقارير</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٥.٣  رحلة توليد التقرير التنفيذي</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الخطوة</w:t>
            </w:r>
          </w:p>
        </w:tc>
        <w:tc>
          <w:tcPr>
            <w:tcW w:type="dxa" w:w="62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الإجراء</w:t>
            </w:r>
          </w:p>
        </w:tc>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الحالة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الاستراتيجية يختار نوع التقرير (BSC / KPI / تنفيذي سريع) والفترة الزمنية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النظام يجمع البيانات من جميع الأقسام ويحسب النسب الإجمالية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معاينة التقرير داخل المنصة قبل التصدير</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تصدير التقرير بتنسيق PDF أو Excel بنقرة واحدة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خيار جدولة إرسال التقرير تلقائياً عبر البريد الإلكتروني</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٥.٤  رحلة مراجعة هدف في منتصف الفترة</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الخطوة</w:t>
            </w:r>
          </w:p>
        </w:tc>
        <w:tc>
          <w:tcPr>
            <w:tcW w:type="dxa" w:w="62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الإجراء</w:t>
            </w:r>
          </w:p>
        </w:tc>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الحالة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الاستراتيجية يفتح الهدف ويضغط 'طلب مراجعة'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يُدخل الهدف المعدَّل والسبب والتاريخ ← النظام يحفظ النسخة الأصلية</w:t>
            </w:r>
          </w:p>
        </w:tc>
        <w:tc>
          <w:tcPr>
            <w:tcW w:type="dxa" w:w="2200"/>
            <w:tcBorders>
              <w:top w:val="single" w:color="D1D5DB" w:sz="1"/>
              <w:left w:val="single" w:color="D1D5DB" w:sz="1"/>
              <w:bottom w:val="single" w:color="D1D5DB" w:sz="1"/>
              <w:right w:val="single" w:color="D1D5DB" w:sz="1"/>
            </w:tcBorders>
            <w:shd w:fill="FFF8E1" w:val="clear"/>
            <w:tcMar>
              <w:top w:type="dxa" w:w="80"/>
              <w:left w:type="dxa" w:w="150"/>
              <w:bottom w:type="dxa" w:w="80"/>
              <w:right w:type="dxa" w:w="150"/>
            </w:tcMar>
          </w:tcPr>
          <w:p>
            <w:pPr>
              <w:jc w:val="center"/>
            </w:pPr>
            <w:r>
              <w:rPr>
                <w:rFonts w:ascii="Arial" w:cs="Arial" w:eastAsia="Arial" w:hAnsi="Arial"/>
                <w:b/>
                <w:bCs/>
                <w:color w:val="B8860B"/>
                <w:sz w:val="18"/>
                <w:szCs w:val="18"/>
              </w:rPr>
              <w:t xml:space="preserve">قيد المراجعة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إشعار يُرسل لمسؤول النظام للموافقة على التغيير</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مسؤول النظام يوافق ← يُحدَّث الهدف مع الاحتفاظ بالسجل التاريخي</w:t>
            </w:r>
          </w:p>
        </w:tc>
        <w:tc>
          <w:tcPr>
            <w:tcW w:type="dxa" w:w="2200"/>
            <w:tcBorders>
              <w:top w:val="single" w:color="D1D5DB" w:sz="1"/>
              <w:left w:val="single" w:color="D1D5DB" w:sz="1"/>
              <w:bottom w:val="single" w:color="D1D5DB" w:sz="1"/>
              <w:right w:val="single" w:color="D1D5DB" w:sz="1"/>
            </w:tcBorders>
            <w:shd w:fill="FFF8E1" w:val="clear"/>
            <w:tcMar>
              <w:top w:type="dxa" w:w="80"/>
              <w:left w:type="dxa" w:w="150"/>
              <w:bottom w:type="dxa" w:w="80"/>
              <w:right w:type="dxa" w:w="150"/>
            </w:tcMar>
          </w:tcPr>
          <w:p>
            <w:pPr>
              <w:jc w:val="center"/>
            </w:pPr>
            <w:r>
              <w:rPr>
                <w:rFonts w:ascii="Arial" w:cs="Arial" w:eastAsia="Arial" w:hAnsi="Arial"/>
                <w:b/>
                <w:bCs/>
                <w:color w:val="B8860B"/>
                <w:sz w:val="18"/>
                <w:szCs w:val="18"/>
              </w:rPr>
              <w:t xml:space="preserve">معتمدة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إشعار لجميع مديري الأقسام المتأثرين بالتغيير</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التقارير تُظهر الأهداف الأصلية والمعدَّلة بشفافية</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٥.٥  رحلة النزاع وسحب الإشعار</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tblHeader/>
        </w:trPr>
        <w:tc>
          <w:tcPr>
            <w:tcW w:type="dxa" w:w="6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الخطوة</w:t>
            </w:r>
          </w:p>
        </w:tc>
        <w:tc>
          <w:tcPr>
            <w:tcW w:type="dxa" w:w="62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الإجراء</w:t>
            </w:r>
          </w:p>
        </w:tc>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الحالة</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القسم يتلقى تنبيه انحراف KPI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يضغط 'تأجيل' أو 'رفض' التنبيه ← حقل تعليق إلزامي</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التعليق يُحفظ في سجل التدقيق مع اسم المستخدم والتوقيت</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الاستراتيجية يرى التنبيهات المؤجَّلة والمرفوضة في لوحة التحكم</w:t>
            </w:r>
          </w:p>
        </w:tc>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jc w:val="center"/>
            </w:pPr>
            <w:r>
              <w:rPr>
                <w:rFonts w:ascii="Arial" w:cs="Arial" w:eastAsia="Arial" w:hAnsi="Arial"/>
                <w:b w:val="false"/>
                <w:bCs w:val="false"/>
                <w:color w:val="6B7280"/>
                <w:sz w:val="18"/>
                <w:szCs w:val="18"/>
              </w:rPr>
              <w:t xml:space="preserve">—</w:t>
            </w:r>
          </w:p>
        </w:tc>
      </w:tr>
      <w:tr>
        <w:tc>
          <w:tcPr>
            <w:tcW w:type="dxa" w:w="600"/>
            <w:tcBorders>
              <w:top w:val="single" w:color="D1D5DB" w:sz="1"/>
              <w:left w:val="single" w:color="D1D5DB" w:sz="1"/>
              <w:bottom w:val="single" w:color="D1D5DB" w:sz="1"/>
              <w:right w:val="single" w:color="D1D5DB" w:sz="1"/>
            </w:tcBorders>
            <w:shd w:fill="1A7A5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62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في حال عدم المعالجة خلال 72 ساعة ← تصعيد تلقائي للراعي التنفيذي</w:t>
            </w:r>
          </w:p>
        </w:tc>
        <w:tc>
          <w:tcPr>
            <w:tcW w:type="dxa" w:w="2200"/>
            <w:tcBorders>
              <w:top w:val="single" w:color="D1D5DB" w:sz="1"/>
              <w:left w:val="single" w:color="D1D5DB" w:sz="1"/>
              <w:bottom w:val="single" w:color="D1D5DB" w:sz="1"/>
              <w:right w:val="single" w:color="D1D5DB" w:sz="1"/>
            </w:tcBorders>
            <w:shd w:fill="FFF8E1" w:val="clear"/>
            <w:tcMar>
              <w:top w:type="dxa" w:w="80"/>
              <w:left w:type="dxa" w:w="150"/>
              <w:bottom w:type="dxa" w:w="80"/>
              <w:right w:type="dxa" w:w="150"/>
            </w:tcMar>
          </w:tcPr>
          <w:p>
            <w:pPr>
              <w:jc w:val="center"/>
            </w:pPr>
            <w:r>
              <w:rPr>
                <w:rFonts w:ascii="Arial" w:cs="Arial" w:eastAsia="Arial" w:hAnsi="Arial"/>
                <w:b/>
                <w:bCs/>
                <w:color w:val="B8860B"/>
                <w:sz w:val="18"/>
                <w:szCs w:val="18"/>
              </w:rPr>
              <w:t xml:space="preserve">تصعيد</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٦. نماذج البيانات</w:t>
      </w:r>
    </w:p>
    <w:p>
      <w:pPr>
        <w:pStyle w:val="Heading2"/>
        <w:bidi/>
        <w:spacing w:before="280" w:after="100"/>
      </w:pPr>
      <w:r>
        <w:rPr>
          <w:rFonts w:ascii="Arial" w:cs="Arial" w:eastAsia="Arial" w:hAnsi="Arial"/>
          <w:b/>
          <w:bCs/>
          <w:color w:val="1A7A5E"/>
          <w:sz w:val="26"/>
          <w:szCs w:val="26"/>
        </w:rPr>
        <w:t xml:space="preserve">٦.١  المستخدم (User)</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name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الاسم الكامل</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البريد الإلكتروني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passwordHash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كلمة المرور مشفرة (bcrypt)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role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ADMIN | STRATEGY_MANAGER | DEPT_HEAD | ANALYST | EXECUTIVE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departmentId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Department</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القسم المرتبط به (null للمسؤول)</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isActive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boolean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حالة الحساب (مفعّل / معطّل)</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createdAt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الإنشاء</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lastLogin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آخر تسجيل دخول</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٦.٢  الاستراتيجية (Strategy)</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name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اسم الاستراتيجية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vision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text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الرؤية المؤسسية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mission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text</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الرسالة المؤسسية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startDate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بدء الفترة الاستراتيجية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endDate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date</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نهاية الفترة الاستراتيجية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DRAFT | ACTIVE | LOCKED | ARCHIVED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createdBy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User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مدير الاستراتيجية المنشئ</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createdAt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الإنشاء</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٦.٣  الهدف الاستراتيجي (Objective)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strategyId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Strategy</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الاستراتيجية المرتبطة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pillar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المحور الاستراتيجي</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bscPerspective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FINANCIAL | CUSTOMER | INTERNAL | LEARNING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title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عنوان الهدف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description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text</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وصف تفصيلي للهدف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weight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الوزن النسبي للهدف (مجموع الأهداف = 100%)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ownerId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User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مالك الهدف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ACTIVE | REVISED | ARCHIVED</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٦.٤  مؤشر الأداء (KPI)</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objectiveId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Objective</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الهدف الاستراتيجي المرتبط</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departmentId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FK → Department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القسم المسؤول</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ownerId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User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مالك المؤشر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name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اسم المؤشر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unit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وحدة القياس (%, ريال، عدد...)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baseline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القيمة الأساسية (نقطة البداية)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target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القيمة المستهدفة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frequency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MONTHLY | QUARTERLY | ANNUAL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alertThresholdYellow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عتبة التحذير (مثلاً 70%)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alertThresholdRed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عتبة الخطر (مثلاً 50%)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status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ACTIVE | ARCHIVED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createdAt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الإنشاء</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٦.٥  قراءة مؤشر الأداء (KPIReading)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kpiId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KPI</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المؤشر المرتبط</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period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الفترة الزمنية للقراءة (أول الشهر)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actualValue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القيمة الفعلية المرصودة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achievementRate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نسبة التحقيق (محسوبة تلقائياً)</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statusColor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GREEN | YELLOW | RED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notes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text /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تعليق المالك (إلزامي عند الانحراف)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submittedBy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User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من رفع القراءة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submittedAt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وقت الرفع</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٦.٦  المبادرة (Initiative)</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strategyId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Strategy</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الاستراتيجية المرتبطة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objectiveIds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FK[] → Objective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الأهداف المرتبطة (واحد أو أكثر)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name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اسم المبادرة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description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text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وصف تفصيلي</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ownerId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User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المالك المسؤول</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startDate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البدء</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endDate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date</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الانتهاء المخطط</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budgetAllocated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float (SAR)</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الميزانية المخصصة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budgetSpent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float (SAR)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الميزانية المُنفَقة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progressPercent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float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نسبة الإنجاز (0-100)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status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PLANNED | ACTIVE | COMPLETED | ON_HOLD</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٦.٧  الإشعار (Notification)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userId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User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المستخدم المستقبِل</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type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ENUM</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KPI_ALERT | WEEKLY_DIGEST | REVISION_REQUEST | SYSTEM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title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عنوان الإشعار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body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text</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نص الإشعار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referenceId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UUID / null</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الكيان المرتبط (KPI / مبادرة)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isRead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boolean</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هل قُرئ؟</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snoozedUntil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 / null</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تاريخ انتهاء التأجيل</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snoozeNote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text /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تعليق التأجيل (إلزامي)</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createdAt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وقت الإنشاء</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٦.٨  سجل التدقيق (AuditLog)</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الحقل</w:t>
            </w:r>
          </w:p>
        </w:tc>
        <w:tc>
          <w:tcPr>
            <w:tcW w:type="dxa" w:w="2000"/>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النوع</w:t>
            </w:r>
          </w:p>
        </w:tc>
        <w:tc>
          <w:tcPr>
            <w:tcW w:type="dxa" w:w="4826"/>
            <w:tcBorders>
              <w:top w:val="single" w:color="D1D5DB" w:sz="1"/>
              <w:left w:val="single" w:color="D1D5DB" w:sz="1"/>
              <w:bottom w:val="single" w:color="D1D5DB" w:sz="1"/>
              <w:right w:val="single" w:color="D1D5DB" w:sz="1"/>
            </w:tcBorders>
            <w:shd w:fill="1A1A2E" w:val="clear"/>
            <w:tcMar>
              <w:top w:type="dxa" w:w="80"/>
              <w:left w:type="dxa" w:w="150"/>
              <w:bottom w:type="dxa" w:w="80"/>
              <w:right w:type="dxa" w:w="150"/>
            </w:tcMar>
          </w:tcPr>
          <w:p>
            <w:pPr>
              <w:bidi/>
              <w:jc w:val="right"/>
            </w:pPr>
            <w:r>
              <w:rPr>
                <w:rFonts w:ascii="Arial" w:cs="Arial" w:eastAsia="Arial" w:hAnsi="Arial"/>
                <w:b/>
                <w:bCs/>
                <w:color w:val="FFFFFF"/>
                <w:sz w:val="20"/>
                <w:szCs w:val="20"/>
              </w:rPr>
              <w:t xml:space="preserve">الوصف</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فريد</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userId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FK → User</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من أجرى التغيير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action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نوع الإجراء (CREATE / UPDATE / DELETE / ARCHIVE)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entity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string</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الكيان المعدَّل (KPI / Objective / Strategy...)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entityId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UUID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معرّف الكيان</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previousValue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JSON / null</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القيمة قبل التغيير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newValue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JSON /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القيمة بعد التغيير</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reason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color w:val="1D4ED8"/>
                <w:sz w:val="19"/>
                <w:szCs w:val="19"/>
              </w:rPr>
              <w:t xml:space="preserve">text / null</w:t>
            </w:r>
          </w:p>
        </w:tc>
        <w:tc>
          <w:tcPr>
            <w:tcW w:type="dxa" w:w="4826"/>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pPr>
              <w:bidi/>
              <w:jc w:val="right"/>
            </w:pPr>
            <w:r>
              <w:rPr>
                <w:rFonts w:ascii="Arial" w:cs="Arial" w:eastAsia="Arial" w:hAnsi="Arial"/>
                <w:color w:val="374151"/>
                <w:sz w:val="20"/>
                <w:szCs w:val="20"/>
              </w:rPr>
              <w:t xml:space="preserve">سبب التغيير (إلزامي للتعديلات الجوهرية)</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Courier New" w:cs="Courier New" w:eastAsia="Courier New" w:hAnsi="Courier New"/>
                <w:b/>
                <w:bCs/>
                <w:color w:val="1A7A5E"/>
                <w:sz w:val="19"/>
                <w:szCs w:val="19"/>
              </w:rPr>
              <w:t xml:space="preserve">createdAt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Courier New" w:cs="Courier New" w:eastAsia="Courier New" w:hAnsi="Courier New"/>
                <w:color w:val="1D4ED8"/>
                <w:sz w:val="19"/>
                <w:szCs w:val="19"/>
              </w:rPr>
              <w:t xml:space="preserve">datetime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pPr>
              <w:bidi/>
              <w:jc w:val="right"/>
            </w:pPr>
            <w:r>
              <w:rPr>
                <w:rFonts w:ascii="Arial" w:cs="Arial" w:eastAsia="Arial" w:hAnsi="Arial"/>
                <w:color w:val="374151"/>
                <w:sz w:val="20"/>
                <w:szCs w:val="20"/>
              </w:rPr>
              <w:t xml:space="preserve">وقت الإجراء</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٧. المتطلبات غير الوظيفية</w:t>
      </w:r>
    </w:p>
    <w:p>
      <w:pPr>
        <w:pStyle w:val="Heading2"/>
        <w:bidi/>
        <w:spacing w:before="280" w:after="100"/>
      </w:pPr>
      <w:r>
        <w:rPr>
          <w:rFonts w:ascii="Arial" w:cs="Arial" w:eastAsia="Arial" w:hAnsi="Arial"/>
          <w:b/>
          <w:bCs/>
          <w:color w:val="1A7A5E"/>
          <w:sz w:val="26"/>
          <w:szCs w:val="26"/>
        </w:rPr>
        <w:t xml:space="preserve">٧.١  الأداء</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26"/>
      </w:tblGrid>
      <w:tr>
        <w:trPr>
          <w:tblHeader/>
        </w:trPr>
        <w:tc>
          <w:tcPr>
            <w:tcW w:type="dxa" w:w="3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المعيار</w:t>
            </w:r>
          </w:p>
        </w:tc>
        <w:tc>
          <w:tcPr>
            <w:tcW w:type="dxa" w:w="3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الهدف</w:t>
            </w:r>
          </w:p>
        </w:tc>
        <w:tc>
          <w:tcPr>
            <w:tcW w:type="dxa" w:w="22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الأولوية</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تحميل لوحة القيادة</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أقل من ثانيتين على شبكة 4G</w:t>
            </w:r>
          </w:p>
        </w:tc>
        <w:tc>
          <w:tcPr>
            <w:tcW w:type="dxa" w:w="2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استجابة حفظ KPI</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أقل من 500 ميلي ثانية</w:t>
            </w:r>
          </w:p>
        </w:tc>
        <w:tc>
          <w:tcPr>
            <w:tcW w:type="dxa" w:w="2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توليد التقارير</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أقل من 30 ثانية للتقارير المعقدة</w:t>
            </w:r>
          </w:p>
        </w:tc>
        <w:tc>
          <w:tcPr>
            <w:tcW w:type="dxa" w:w="2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Lighthouse Performance</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85+ في الأداء والوصول</w:t>
            </w:r>
          </w:p>
        </w:tc>
        <w:tc>
          <w:tcPr>
            <w:tcW w:type="dxa" w:w="2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متوسطة</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الرسوم البيانية (Recharts)</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حتى 500 نقطة بيانات دون تأخر</w:t>
            </w:r>
          </w:p>
        </w:tc>
        <w:tc>
          <w:tcPr>
            <w:tcW w:type="dxa" w:w="2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متوسطة</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المستخدمون المتزامنون</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500+ مستخدم دون انخفاض في الأداء</w:t>
            </w:r>
          </w:p>
        </w:tc>
        <w:tc>
          <w:tcPr>
            <w:tcW w:type="dxa" w:w="2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٧.٢  الأمان</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تشفير جميع البيانات في النقل (TLS 1.3) وفي التخزين (AES-256)</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مصادقة JWT مع انتهاء صلاحية الجلسة بعد 30 دقيقة خاملة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RBAC كامل — لا يرى مستخدم بيانات خارج نطاق دوره أو قسمه</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حماية من CSRF وXSS وSQL Injection</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Rate Limiting على نقاط API الحساسة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فحص دوري للثغرات (OWASP Top 10) قبل كل إصدار رئيسي</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دعم الاستضافة المحلية (On-premise) للعملاء الحكوميين</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٧.٣  التوفر والاستمرارية (SLA)</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626"/>
      </w:tblGrid>
      <w:tr>
        <w:trPr>
          <w:tblHeader/>
        </w:trPr>
        <w:tc>
          <w:tcPr>
            <w:tcW w:type="dxa" w:w="2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الباقة</w:t>
            </w:r>
          </w:p>
        </w:tc>
        <w:tc>
          <w:tcPr>
            <w:tcW w:type="dxa" w:w="28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نسبة التوفر</w:t>
            </w:r>
          </w:p>
        </w:tc>
        <w:tc>
          <w:tcPr>
            <w:tcW w:type="dxa" w:w="2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وقت استجابة الدعم</w:t>
            </w:r>
          </w:p>
        </w:tc>
        <w:tc>
          <w:tcPr>
            <w:tcW w:type="dxa" w:w="16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RTO</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Growth</w:t>
            </w:r>
          </w:p>
        </w:tc>
        <w:tc>
          <w:tcPr>
            <w:tcW w:type="dxa" w:w="2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99.5%</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24 ساعة</w:t>
            </w:r>
          </w:p>
        </w:tc>
        <w:tc>
          <w:tcPr>
            <w:tcW w:type="dxa" w:w="1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8 ساعات</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Enterprise</w:t>
            </w:r>
          </w:p>
        </w:tc>
        <w:tc>
          <w:tcPr>
            <w:tcW w:type="dxa" w:w="2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99.9%</w:t>
            </w:r>
          </w:p>
        </w:tc>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4 ساعات</w:t>
            </w:r>
          </w:p>
        </w:tc>
        <w:tc>
          <w:tcPr>
            <w:tcW w:type="dxa" w:w="1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4 ساعات</w:t>
            </w:r>
          </w:p>
        </w:tc>
      </w:tr>
    </w:tbl>
    <w:p>
      <w:pPr>
        <w:spacing w:before="80" w:after="0"/>
      </w:pPr>
      <w:r>
        <w:t xml:space="preserve"/>
      </w:r>
    </w:p>
    <w:p>
      <w:pPr>
        <w:pStyle w:val="ListParagraph"/>
        <w:numPr>
          <w:ilvl w:val="0"/>
          <w:numId w:val="2"/>
        </w:numPr>
        <w:bidi/>
        <w:spacing w:before="40" w:after="40"/>
        <w:ind w:right="440"/>
        <w:jc w:val="right"/>
      </w:pPr>
      <w:r>
        <w:rPr>
          <w:rFonts w:ascii="Arial" w:cs="Arial" w:eastAsia="Arial" w:hAnsi="Arial"/>
          <w:color w:val="374151"/>
          <w:sz w:val="21"/>
          <w:szCs w:val="21"/>
        </w:rPr>
        <w:t xml:space="preserve">نسخ احتياطية يومية آلية مع احتفاظ 30 يوماً</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Recovery Point Objective (RPO): أقل من ساعة واحدة</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٧.٤  إمكانية الوصول</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دعم RTL كامل للغة العربية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توافق مع قارئات الشاشة (WCAG 2.1 - AA)</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أحجام خطوط مقروءة (لا تقل عن 14px)</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تباين ألوان كافٍ (نسبة 4.5:1 فأكثر)</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٧.٥  التوافق</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الفئة</w:t>
            </w:r>
          </w:p>
        </w:tc>
        <w:tc>
          <w:tcPr>
            <w:tcW w:type="dxa" w:w="60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المتطلب</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المتصفحات</w:t>
            </w:r>
          </w:p>
        </w:tc>
        <w:tc>
          <w:tcPr>
            <w:tcW w:type="dxa" w:w="6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Chrome 90+، Safari 14+، Firefox 88+، Edge 90+</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الأجهزة المحمولة</w:t>
            </w:r>
          </w:p>
        </w:tc>
        <w:tc>
          <w:tcPr>
            <w:tcW w:type="dxa" w:w="6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iOS 14+، Android 9+</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دقة الشاشة الأساسية</w:t>
            </w:r>
          </w:p>
        </w:tc>
        <w:tc>
          <w:tcPr>
            <w:tcW w:type="dxa" w:w="6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390px (iPhone 14) مع استجابة كاملة</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تصميم متجاوب</w:t>
            </w:r>
          </w:p>
        </w:tc>
        <w:tc>
          <w:tcPr>
            <w:tcW w:type="dxa" w:w="6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Desktop / Tablet / Mobile — First-Mobile</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٨. تصميم واجهة المستخدم</w:t>
      </w:r>
    </w:p>
    <w:p>
      <w:pPr>
        <w:pStyle w:val="Heading2"/>
        <w:bidi/>
        <w:spacing w:before="280" w:after="100"/>
      </w:pPr>
      <w:r>
        <w:rPr>
          <w:rFonts w:ascii="Arial" w:cs="Arial" w:eastAsia="Arial" w:hAnsi="Arial"/>
          <w:b/>
          <w:bCs/>
          <w:color w:val="1A7A5E"/>
          <w:sz w:val="26"/>
          <w:szCs w:val="26"/>
        </w:rPr>
        <w:t xml:space="preserve">٨.١  مبادئ التصميم</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RTL أولاً — جميع العناصر مصممة للقراءة من اليمين لليسار</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البساطة — واجهة نظيفة تُركز على المحتوى والمهام الأساسية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الكثافة المعلوماتية — نظام Bento Card يُظهر أكبر قدر من المعلومات بأقل قدر من الفوضى</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الحركة الخفيفة — Framer Motion يعزز التغذية الراجعة دون إبطاء</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شبكة 8pt والتزام بزوايا مستديرة (rounded-xl)</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٨.٢  نظام الألوان</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العنصر / الحالة</w:t>
            </w:r>
          </w:p>
        </w:tc>
        <w:tc>
          <w:tcPr>
            <w:tcW w:type="dxa" w:w="2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الكود</w:t>
            </w:r>
          </w:p>
        </w:tc>
        <w:tc>
          <w:tcPr>
            <w:tcW w:type="dxa" w:w="40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الاستخدام</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اللون الأساسي (العلامة التجارية)</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#1A7A5E</w:t>
            </w:r>
          </w:p>
        </w:tc>
        <w:tc>
          <w:tcPr>
            <w:tcW w:type="dxa" w:w="4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أزرار، عناوين، مؤشرات النشاط</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حالة النجاح / على المسار</w:t>
            </w:r>
          </w:p>
        </w:tc>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#10B981</w:t>
            </w:r>
          </w:p>
        </w:tc>
        <w:tc>
          <w:tcPr>
            <w:tcW w:type="dxa" w:w="4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KPI يحقق أكثر من 80%</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حالة التحذير / في خطر</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#F59E0B</w:t>
            </w:r>
          </w:p>
        </w:tc>
        <w:tc>
          <w:tcPr>
            <w:tcW w:type="dxa" w:w="4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KPI بين 50-80%</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حالة الخطر / منحرف</w:t>
            </w:r>
          </w:p>
        </w:tc>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#EF4444</w:t>
            </w:r>
          </w:p>
        </w:tc>
        <w:tc>
          <w:tcPr>
            <w:tcW w:type="dxa" w:w="4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KPI أقل من 50%</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الخلفية العامة</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#F8FAFC</w:t>
            </w:r>
          </w:p>
        </w:tc>
        <w:tc>
          <w:tcPr>
            <w:tcW w:type="dxa" w:w="4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خلفية الصفحات</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النص الرئيسي</w:t>
            </w:r>
          </w:p>
        </w:tc>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#1A1A2E</w:t>
            </w:r>
          </w:p>
        </w:tc>
        <w:tc>
          <w:tcPr>
            <w:tcW w:type="dxa" w:w="4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جميع النصوص الأساسية</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النص الثانوي</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#6B7280</w:t>
            </w:r>
          </w:p>
        </w:tc>
        <w:tc>
          <w:tcPr>
            <w:tcW w:type="dxa" w:w="4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التسميات والوصف</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٨.٣  الطباعة والمكونات</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الخطوط: Inter (Latin) + Noto Kufi Arabic / Tajawal (عربي) + JetBrains Mono (كود)</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التدرج: Display 32px ← H1 24px ← H2 20px ← Body 16px ← Caption 12px</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البطاقات الرئيسية: rounded-2xl مع ظل خفيف</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النوافذ المنبثقة: Bottom Sheet في الجوال، Modal في الديسكتوب</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إشعارات Toast: تظهر أعلى الشاشة وتختفي بعد 3 ثوانٍ (3 أنواع: نجاح / خطأ / معلومات)</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٨.٤  التنقل الرئيسي</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الدور</w:t>
            </w:r>
          </w:p>
        </w:tc>
        <w:tc>
          <w:tcPr>
            <w:tcW w:type="dxa" w:w="66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عناصر التنقل</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مدير الاستراتيجية</w:t>
            </w:r>
          </w:p>
        </w:tc>
        <w:tc>
          <w:tcPr>
            <w:tcW w:type="dxa" w:w="6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الرئيسية / الخريطة الاستراتيجية / BSC / مؤشرات الأداء / المبادرات / التقارير / الإعدادات</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مدير القسم</w:t>
            </w:r>
          </w:p>
        </w:tc>
        <w:tc>
          <w:tcPr>
            <w:tcW w:type="dxa" w:w="6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الرئيسية / مؤشرات قسمي / المبادرات / التقارير / الإعدادات</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محلل البيانات</w:t>
            </w:r>
          </w:p>
        </w:tc>
        <w:tc>
          <w:tcPr>
            <w:tcW w:type="dxa" w:w="6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الرئيسية / استكشاف البيانات / تصدير / الإعدادات</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الراعي التنفيذي</w:t>
            </w:r>
          </w:p>
        </w:tc>
        <w:tc>
          <w:tcPr>
            <w:tcW w:type="dxa" w:w="6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الرئيسية / التقارير التنفيذية / الإعدادات</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مسؤول النظام</w:t>
            </w:r>
          </w:p>
        </w:tc>
        <w:tc>
          <w:tcPr>
            <w:tcW w:type="dxa" w:w="6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الرئيسية / المستخدمون / الفترات الاستراتيجية / سجل التدقيق / الاشتراكات / الإعدادات</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٩. متطلبات التكامل</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426"/>
      </w:tblGrid>
      <w:tr>
        <w:trPr>
          <w:tblHeader/>
        </w:trPr>
        <w:tc>
          <w:tcPr>
            <w:tcW w:type="dxa" w:w="2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الخدمة</w:t>
            </w:r>
          </w:p>
        </w:tc>
        <w:tc>
          <w:tcPr>
            <w:tcW w:type="dxa" w:w="22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الغرض</w:t>
            </w:r>
          </w:p>
        </w:tc>
        <w:tc>
          <w:tcPr>
            <w:tcW w:type="dxa" w:w="3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الخيارات</w:t>
            </w:r>
          </w:p>
        </w:tc>
        <w:tc>
          <w:tcPr>
            <w:tcW w:type="dxa" w:w="1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الأولوية</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بريد إلكتروني (Email)</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إشعارات وتقارير مجدولة</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SendGrid / Mailgun / AWS SES</w:t>
            </w:r>
          </w:p>
        </w:tc>
        <w:tc>
          <w:tcPr>
            <w:tcW w:type="dxa" w:w="1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تخزين سحابي</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رفع الشعارات والمرفقات</w:t>
            </w:r>
          </w:p>
        </w:tc>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AWS S3 / Cloudinary</w:t>
            </w:r>
          </w:p>
        </w:tc>
        <w:tc>
          <w:tcPr>
            <w:tcW w:type="dxa" w:w="1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إشعارات Push</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تنبيهات KPI الفورية</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Firebase / OneSignal</w:t>
            </w:r>
          </w:p>
        </w:tc>
        <w:tc>
          <w:tcPr>
            <w:tcW w:type="dxa" w:w="1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بوابة دفع</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الاشتراكات ومعالجة المدفوعات</w:t>
            </w:r>
          </w:p>
        </w:tc>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Stripe / Moyasar</w:t>
            </w:r>
          </w:p>
        </w:tc>
        <w:tc>
          <w:tcPr>
            <w:tcW w:type="dxa" w:w="1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عالية</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تكامل BI</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تصدير البيانات لـ Power BI / Tableau</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REST API / CSV Export</w:t>
            </w:r>
          </w:p>
        </w:tc>
        <w:tc>
          <w:tcPr>
            <w:tcW w:type="dxa" w:w="1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متوسطة</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SSO / SAML</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تسجيل دخول موحد للمؤسسات</w:t>
            </w:r>
          </w:p>
        </w:tc>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Okta / Azure AD</w:t>
            </w:r>
          </w:p>
        </w:tc>
        <w:tc>
          <w:tcPr>
            <w:tcW w:type="dxa" w:w="1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متوسطة</w:t>
            </w:r>
          </w:p>
        </w:tc>
      </w:tr>
      <w:t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منصات التواصل</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إشعارات Slack / Teams</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Webhooks</w:t>
            </w:r>
          </w:p>
        </w:tc>
        <w:tc>
          <w:tcPr>
            <w:tcW w:type="dxa" w:w="1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منخفضة</w:t>
            </w:r>
          </w:p>
        </w:tc>
      </w:tr>
      <w:tr>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AI Insights (مستقبلي)</w:t>
            </w:r>
          </w:p>
        </w:tc>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توقع الاتجاهات وكشف الشذوذات</w:t>
            </w:r>
          </w:p>
        </w:tc>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Gemini API</w:t>
            </w:r>
          </w:p>
        </w:tc>
        <w:tc>
          <w:tcPr>
            <w:tcW w:type="dxa" w:w="1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منخفضة</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١٠. المتطلبات التقنية</w:t>
      </w:r>
    </w:p>
    <w:p>
      <w:pPr>
        <w:pStyle w:val="Heading2"/>
        <w:bidi/>
        <w:spacing w:before="280" w:after="100"/>
      </w:pPr>
      <w:r>
        <w:rPr>
          <w:rFonts w:ascii="Arial" w:cs="Arial" w:eastAsia="Arial" w:hAnsi="Arial"/>
          <w:b/>
          <w:bCs/>
          <w:color w:val="1A7A5E"/>
          <w:sz w:val="26"/>
          <w:szCs w:val="26"/>
        </w:rPr>
        <w:t xml:space="preserve">١٠.١  الواجهة الأمامية (Frontend)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التقنية</w:t>
            </w:r>
          </w:p>
        </w:tc>
        <w:tc>
          <w:tcPr>
            <w:tcW w:type="dxa" w:w="2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الإصدار</w:t>
            </w:r>
          </w:p>
        </w:tc>
        <w:tc>
          <w:tcPr>
            <w:tcW w:type="dxa" w:w="36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الاستخدام</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React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18+</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الإطار الأساسي للواجهة</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TypeScript</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5+</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سلامة الأنواع</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Vite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5+</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أداة البناء والتطوير</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Tailwind CSS</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v4</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تنسيق الواجهة</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Framer Motion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v12</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الحركات والانيميشن</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Recharts</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v3</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المخططات البيانية</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Lucide React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Latest</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الأيقونات</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React Query / SWR</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Latest</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إدارة حالة الخادم والتخزين المؤقت</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i18next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Latest</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دعم متعدد اللغات (عربي / إنجليزي)</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١٠.٢  الواجهة الخلفية (Backend) — مرحلة مستقبلية</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التقنية</w:t>
            </w:r>
          </w:p>
        </w:tc>
        <w:tc>
          <w:tcPr>
            <w:tcW w:type="dxa" w:w="2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الإصدار</w:t>
            </w:r>
          </w:p>
        </w:tc>
        <w:tc>
          <w:tcPr>
            <w:tcW w:type="dxa" w:w="36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الاستخدام</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Node.js + Express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v20+</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خادم API</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PostgreSQL</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v15+</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قاعدة البيانات الرئيسية</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Prisma ORM</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v5+</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إدارة قاعدة البيانات</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JWT + bcrypt</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Latest</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المصادقة والتشفير</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Redis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v7+</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التخزين المؤقت والجلسات</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Docker + Kubernetes</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Latest</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التحزيم والنشر</w:t>
            </w:r>
          </w:p>
        </w:tc>
      </w:tr>
      <w:t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Jest + React Testing Library</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Latest</w:t>
            </w:r>
          </w:p>
        </w:tc>
        <w:tc>
          <w:tcPr>
            <w:tcW w:type="dxa" w:w="36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اختبارات الوحدة</w:t>
            </w:r>
          </w:p>
        </w:tc>
      </w:tr>
      <w:tr>
        <w:tc>
          <w:tcPr>
            <w:tcW w:type="dxa" w:w="3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Cypress</w:t>
            </w:r>
          </w:p>
        </w:tc>
        <w:tc>
          <w:tcPr>
            <w:tcW w:type="dxa" w:w="2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Latest</w:t>
            </w:r>
          </w:p>
        </w:tc>
        <w:tc>
          <w:tcPr>
            <w:tcW w:type="dxa" w:w="36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اختبارات E2E</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١٠.٣  بيئة النشر</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الواجهة الأمامية: Vercel أو Netlify (Static Hosting)</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الواجهة الخلفية: Docker على AWS ECS أو DigitalOcean App Platform</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قاعدة البيانات: AWS RDS PostgreSQL أو Supabase</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CI/CD: GitHub Actions — Lint + Test + Build + Deploy على كل Pull Request</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الإصدار الدلالي (Semantic Versioning) وchangelogs آلية</w:t>
      </w:r>
    </w:p>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١١. الحالة الحالية للمشروع</w:t>
      </w:r>
    </w:p>
    <w:p>
      <w:pPr>
        <w:pStyle w:val="Heading2"/>
        <w:bidi/>
        <w:spacing w:before="280" w:after="100"/>
      </w:pPr>
      <w:r>
        <w:rPr>
          <w:rFonts w:ascii="Arial" w:cs="Arial" w:eastAsia="Arial" w:hAnsi="Arial"/>
          <w:b/>
          <w:bCs/>
          <w:color w:val="1A7A5E"/>
          <w:sz w:val="26"/>
          <w:szCs w:val="26"/>
        </w:rPr>
        <w:t xml:space="preserve">١١.١  ما تم تطويره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1"/>
              <w:left w:val="single" w:color="D1D5DB" w:sz="1"/>
              <w:bottom w:val="single" w:color="D1D5DB" w:sz="1"/>
              <w:right w:val="single" w:color="D1D5DB" w:sz="1"/>
            </w:tcBorders>
            <w:shd w:fill="1A1A2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المكوّن</w:t>
            </w:r>
          </w:p>
        </w:tc>
        <w:tc>
          <w:tcPr>
            <w:tcW w:type="dxa" w:w="3026"/>
            <w:tcBorders>
              <w:top w:val="single" w:color="D1D5DB" w:sz="1"/>
              <w:left w:val="single" w:color="D1D5DB" w:sz="1"/>
              <w:bottom w:val="single" w:color="D1D5DB" w:sz="1"/>
              <w:right w:val="single" w:color="D1D5DB" w:sz="1"/>
            </w:tcBorders>
            <w:shd w:fill="1A1A2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الحالة</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تدفق المصادقة متعدد الخطوات (Mock)</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لوحة تحكم الراعي التنفيذي (UI)</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لوحة تحكم مدير الاستراتيجية (UI)</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لوحة تحكم مدير القسم (UI)</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الخريطة الاستراتيجية التفاعلية (UI)</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بطاقة الأداء المتوازن BSC (UI)</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إدارة KPIs — CRUD كامل (UI)</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إدارة المبادرات (UI)</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نظام الإشعارات Toast</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المخططات البيانية (Recharts)</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دعم RTL كامل + ترجمة عربية</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الوضع الفاتح والداكن</w:t>
            </w:r>
          </w:p>
        </w:tc>
        <w:tc>
          <w:tcPr>
            <w:tcW w:type="dxa" w:w="3026"/>
            <w:tcBorders>
              <w:top w:val="single" w:color="D1D5DB" w:sz="1"/>
              <w:left w:val="single" w:color="D1D5DB" w:sz="1"/>
              <w:bottom w:val="single" w:color="D1D5DB" w:sz="1"/>
              <w:right w:val="single" w:color="D1D5DB" w:sz="1"/>
            </w:tcBorders>
            <w:shd w:fill="E6F4EE" w:val="clear"/>
            <w:tcMar>
              <w:top w:type="dxa" w:w="90"/>
              <w:left w:type="dxa" w:w="150"/>
              <w:bottom w:type="dxa" w:w="90"/>
              <w:right w:type="dxa" w:w="150"/>
            </w:tcMar>
          </w:tcPr>
          <w:p>
            <w:pPr>
              <w:jc w:val="center"/>
            </w:pPr>
            <w:r>
              <w:rPr>
                <w:rFonts w:ascii="Arial" w:cs="Arial" w:eastAsia="Arial" w:hAnsi="Arial"/>
                <w:b/>
                <w:bCs/>
                <w:color w:val="0A4D36"/>
                <w:sz w:val="20"/>
                <w:szCs w:val="20"/>
              </w:rPr>
              <w:t xml:space="preserve">مكتمل ✅</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١١.٢  ما يحتاج إكمالاً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1"/>
              <w:left w:val="single" w:color="D1D5DB" w:sz="1"/>
              <w:bottom w:val="single" w:color="D1D5DB" w:sz="1"/>
              <w:right w:val="single" w:color="D1D5DB" w:sz="1"/>
            </w:tcBorders>
            <w:shd w:fill="1A1A2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المكوّن</w:t>
            </w:r>
          </w:p>
        </w:tc>
        <w:tc>
          <w:tcPr>
            <w:tcW w:type="dxa" w:w="3026"/>
            <w:tcBorders>
              <w:top w:val="single" w:color="D1D5DB" w:sz="1"/>
              <w:left w:val="single" w:color="D1D5DB" w:sz="1"/>
              <w:bottom w:val="single" w:color="D1D5DB" w:sz="1"/>
              <w:right w:val="single" w:color="D1D5DB" w:sz="1"/>
            </w:tcBorders>
            <w:shd w:fill="1A1A2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الحالة</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أوقات العمل — واجهة موجودة، منطق الحفظ غير مكتمل</w:t>
            </w:r>
          </w:p>
        </w:tc>
        <w:tc>
          <w:tcPr>
            <w:tcW w:type="dxa" w:w="3026"/>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jc w:val="center"/>
            </w:pPr>
            <w:r>
              <w:rPr>
                <w:rFonts w:ascii="Arial" w:cs="Arial" w:eastAsia="Arial" w:hAnsi="Arial"/>
                <w:b/>
                <w:bCs/>
                <w:color w:val="B8860B"/>
                <w:sz w:val="20"/>
                <w:szCs w:val="20"/>
              </w:rPr>
              <w:t xml:space="preserve">قيد التطوير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إدارة المستخدمين (RBAC) — واجهة جزئية</w:t>
            </w:r>
          </w:p>
        </w:tc>
        <w:tc>
          <w:tcPr>
            <w:tcW w:type="dxa" w:w="3026"/>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jc w:val="center"/>
            </w:pPr>
            <w:r>
              <w:rPr>
                <w:rFonts w:ascii="Arial" w:cs="Arial" w:eastAsia="Arial" w:hAnsi="Arial"/>
                <w:b/>
                <w:bCs/>
                <w:color w:val="B8860B"/>
                <w:sz w:val="20"/>
                <w:szCs w:val="20"/>
              </w:rPr>
              <w:t xml:space="preserve">قيد التطوير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البحث والفلترة — الشريط موجود، المنطق غير مربوط</w:t>
            </w:r>
          </w:p>
        </w:tc>
        <w:tc>
          <w:tcPr>
            <w:tcW w:type="dxa" w:w="3026"/>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jc w:val="center"/>
            </w:pPr>
            <w:r>
              <w:rPr>
                <w:rFonts w:ascii="Arial" w:cs="Arial" w:eastAsia="Arial" w:hAnsi="Arial"/>
                <w:b/>
                <w:bCs/>
                <w:color w:val="B8860B"/>
                <w:sz w:val="20"/>
                <w:szCs w:val="20"/>
              </w:rPr>
              <w:t xml:space="preserve">قيد التطوير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تقارير مسؤول النظام — بيانات محدودة</w:t>
            </w:r>
          </w:p>
        </w:tc>
        <w:tc>
          <w:tcPr>
            <w:tcW w:type="dxa" w:w="3026"/>
            <w:tcBorders>
              <w:top w:val="single" w:color="D1D5DB" w:sz="1"/>
              <w:left w:val="single" w:color="D1D5DB" w:sz="1"/>
              <w:bottom w:val="single" w:color="D1D5DB" w:sz="1"/>
              <w:right w:val="single" w:color="D1D5DB" w:sz="1"/>
            </w:tcBorders>
            <w:shd w:fill="FFF8E1" w:val="clear"/>
            <w:tcMar>
              <w:top w:type="dxa" w:w="90"/>
              <w:left w:type="dxa" w:w="150"/>
              <w:bottom w:type="dxa" w:w="90"/>
              <w:right w:type="dxa" w:w="150"/>
            </w:tcMar>
          </w:tcPr>
          <w:p>
            <w:pPr>
              <w:jc w:val="center"/>
            </w:pPr>
            <w:r>
              <w:rPr>
                <w:rFonts w:ascii="Arial" w:cs="Arial" w:eastAsia="Arial" w:hAnsi="Arial"/>
                <w:b/>
                <w:bCs/>
                <w:color w:val="B8860B"/>
                <w:sz w:val="20"/>
                <w:szCs w:val="20"/>
              </w:rPr>
              <w:t xml:space="preserve">قيد التطوير 🔄</w:t>
            </w:r>
          </w:p>
        </w:tc>
      </w:tr>
    </w:tbl>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١١.٣  ما لم يُبنَ بعد ❌</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D1D5DB" w:sz="1"/>
              <w:left w:val="single" w:color="D1D5DB" w:sz="1"/>
              <w:bottom w:val="single" w:color="D1D5DB" w:sz="1"/>
              <w:right w:val="single" w:color="D1D5DB" w:sz="1"/>
            </w:tcBorders>
            <w:shd w:fill="1A1A2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المكوّن</w:t>
            </w:r>
          </w:p>
        </w:tc>
        <w:tc>
          <w:tcPr>
            <w:tcW w:type="dxa" w:w="3026"/>
            <w:tcBorders>
              <w:top w:val="single" w:color="D1D5DB" w:sz="1"/>
              <w:left w:val="single" w:color="D1D5DB" w:sz="1"/>
              <w:bottom w:val="single" w:color="D1D5DB" w:sz="1"/>
              <w:right w:val="single" w:color="D1D5DB" w:sz="1"/>
            </w:tcBorders>
            <w:shd w:fill="1A1A2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الحالة</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قاعدة بيانات حقيقية + API Backend</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مصادقة حقيقية (JWT + bcrypt)</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نظام الإشعارات الفوري (Push / Email)</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استمرارية الجلسة (Session Persistence)</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رفع الملفات والشعارات (S3 / Cloudinary)</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تصدير التقارير (PDF / Excel)</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نظام الاشتراكات والمدفوعات</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سجل التدقيق الكامل</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color w:val="374151"/>
                <w:sz w:val="20"/>
                <w:szCs w:val="20"/>
              </w:rPr>
              <w:t xml:space="preserve">تكامل API لرفع بيانات KPI</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r>
        <w:tc>
          <w:tcPr>
            <w:tcW w:type="dxa" w:w="6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color w:val="374151"/>
                <w:sz w:val="20"/>
                <w:szCs w:val="20"/>
              </w:rPr>
              <w:t xml:space="preserve">نظام إصدار تغييرات الأهداف (Versioning)</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jc w:val="center"/>
            </w:pPr>
            <w:r>
              <w:rPr>
                <w:rFonts w:ascii="Arial" w:cs="Arial" w:eastAsia="Arial" w:hAnsi="Arial"/>
                <w:b/>
                <w:bCs/>
                <w:color w:val="374151"/>
                <w:sz w:val="20"/>
                <w:szCs w:val="20"/>
              </w:rPr>
              <w:t xml:space="preserve">لم يُبنَ ❌</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١٢. خارطة الطريق (Roadmap)</w:t>
      </w:r>
    </w:p>
    <w:p>
      <w:pPr>
        <w:pStyle w:val="Heading2"/>
        <w:bidi/>
        <w:spacing w:before="280" w:after="100"/>
      </w:pPr>
      <w:r>
        <w:rPr>
          <w:rFonts w:ascii="Arial" w:cs="Arial" w:eastAsia="Arial" w:hAnsi="Arial"/>
          <w:b/>
          <w:bCs/>
          <w:color w:val="1A7A5E"/>
          <w:sz w:val="26"/>
          <w:szCs w:val="26"/>
        </w:rPr>
        <w:t xml:space="preserve">المرحلة الأولى — MVP (الشهر 1-2)</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ربط Backend حقيقي (Node.js + PostgreSQL + Prisma)</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مصادقة حقيقية (JWT + bcrypt) واستمرارية الجلسة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RBAC كامل — كل دور يرى فقط ما يخصه</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حفظ الخريطة الاستراتيجية وKPIs في قاعدة بيانات حقيقية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رفع القراءات الشهرية مع الحساب الآلي للحالة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سجل التدقيق الكامل</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المرحلة الثانية — الإشعارات والتقارير (الشهر 2-3)</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نظام إشعارات فوري (Push + Email) عند انحراف KPI</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ملخص أسبوعي آلي لمديري الاستراتيجية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تصدير التقارير PDF/Excel</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نظام إصدار تغييرات الأهداف في منتصف الفترة (Versioning)</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رفع الشعارات والملفات (S3 / Cloudinary)</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المرحلة الثالثة — النمو والتكامل (الشهر 3-4)</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نظام الاشتراكات الكامل (Starter / Growth / Enterprise) مع بوابة دفع</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تكامل API لرفع بيانات KPI من أنظمة ERP خارجية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لوحة تحكم مسؤول النظام المتكاملة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تقارير وتحليلات متقدمة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جدولة إرسال التقارير تلقائياً</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المرحلة الرابعة — التوسع (الشهر 4+)</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تطبيق جوال (iOS/Android) باستخدام React Native</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دعم Multi-tenant مع عزل كامل للبيانات وعلامة تجارية مخصصة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AI Insights — استخدام Gemini API للتنبؤ بالاتجاهات وكشف الشذوذات</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شهادات الامتثال SOC2 وISO27001</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التكامل مع Slack وMicrosoft Teams</w:t>
      </w:r>
    </w:p>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١٣. القيود والمعايير</w:t>
      </w:r>
    </w:p>
    <w:p>
      <w:pPr>
        <w:pStyle w:val="Heading2"/>
        <w:bidi/>
        <w:spacing w:before="280" w:after="100"/>
      </w:pPr>
      <w:r>
        <w:rPr>
          <w:rFonts w:ascii="Arial" w:cs="Arial" w:eastAsia="Arial" w:hAnsi="Arial"/>
          <w:b/>
          <w:bCs/>
          <w:color w:val="1A7A5E"/>
          <w:sz w:val="26"/>
          <w:szCs w:val="26"/>
        </w:rPr>
        <w:t xml:space="preserve">١٣.١  قيود الأعمال</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المنصة مخصصة للسوق السعودي والخليجي — الإطلاق الأول من المملكة العربية السعودية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تطبيق ويب للجميع — مع دعم متجاوب كامل للهاتف المحمول</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دعم الريال السعودي (SAR) في المرحلة الأولى</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رقم الجوال يبدأ بـ +966 للمستخدمين السعوديين</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قفل الفترات الاستراتيجية المكتملة — لا يمكن تعديل البيانات التاريخية</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التغييرات الجوهرية على الأهداف تستلزم موافقة مسؤول النظام</w:t>
      </w:r>
    </w:p>
    <w:p>
      <w:pPr>
        <w:pStyle w:val="ListParagraph"/>
        <w:numPr>
          <w:ilvl w:val="0"/>
          <w:numId w:val="2"/>
        </w:numPr>
        <w:bidi/>
        <w:spacing w:before="40" w:after="40"/>
        <w:ind w:right="440"/>
        <w:jc w:val="right"/>
      </w:pPr>
      <w:r>
        <w:rPr>
          <w:rFonts w:ascii="Arial" w:cs="Arial" w:eastAsia="Arial" w:hAnsi="Arial"/>
          <w:color w:val="374151"/>
          <w:sz w:val="21"/>
          <w:szCs w:val="21"/>
        </w:rPr>
        <w:t xml:space="preserve">مسؤول النظام فقط يستطيع تعطيل حسابات المستخدمين</w:t>
      </w:r>
    </w:p>
    <w:p>
      <w:pPr>
        <w:spacing w:before="120" w:after="0"/>
      </w:pPr>
      <w:r>
        <w:t xml:space="preserve"/>
      </w:r>
    </w:p>
    <w:p>
      <w:pPr>
        <w:pStyle w:val="Heading2"/>
        <w:bidi/>
        <w:spacing w:before="280" w:after="100"/>
      </w:pPr>
      <w:r>
        <w:rPr>
          <w:rFonts w:ascii="Arial" w:cs="Arial" w:eastAsia="Arial" w:hAnsi="Arial"/>
          <w:b/>
          <w:bCs/>
          <w:color w:val="1A7A5E"/>
          <w:sz w:val="26"/>
          <w:szCs w:val="26"/>
        </w:rPr>
        <w:t xml:space="preserve">١٣.٢  قيود تقنية</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rPr>
          <w:tblHeader/>
        </w:trPr>
        <w:tc>
          <w:tcPr>
            <w:tcW w:type="dxa" w:w="34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القيد</w:t>
            </w:r>
          </w:p>
        </w:tc>
        <w:tc>
          <w:tcPr>
            <w:tcW w:type="dxa" w:w="2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القيمة</w:t>
            </w:r>
          </w:p>
        </w:tc>
        <w:tc>
          <w:tcPr>
            <w:tcW w:type="dxa" w:w="30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الملاحظة</w:t>
            </w:r>
          </w:p>
        </w:tc>
      </w:tr>
      <w:t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حجم رفع الملف الواحد</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5 MB فأقل</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صور الشعارات والمرفقات</w:t>
            </w:r>
          </w:p>
        </w:tc>
      </w:tr>
      <w:tr>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صيغ الملفات المقبولة</w:t>
            </w:r>
          </w:p>
        </w:tc>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JPG, PNG, WebP</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للشعارات والصور</w:t>
            </w:r>
          </w:p>
        </w:tc>
      </w:tr>
      <w:t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صلاحية جلسة JWT</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30 دقيقة خاملة</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قابلة للتعديل من الإعدادات</w:t>
            </w:r>
          </w:p>
        </w:tc>
      </w:tr>
      <w:tr>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الحد الأقصى لـ KPIs لكل هدف</w:t>
            </w:r>
          </w:p>
        </w:tc>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20 مؤشراً</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قابل للتعديل في Enterprise</w:t>
            </w:r>
          </w:p>
        </w:tc>
      </w:tr>
      <w:t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التقدم المستقبلي للخريطة</w:t>
            </w:r>
          </w:p>
        </w:tc>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5 سنوات</w:t>
            </w:r>
          </w:p>
        </w:tc>
        <w:tc>
          <w:tcPr>
            <w:tcW w:type="dxa" w:w="3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الحد الأقصى لمدة الفترة الاستراتيجية</w:t>
            </w:r>
          </w:p>
        </w:tc>
      </w:tr>
      <w:tr>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حجم التقرير المُصدَّر</w:t>
            </w:r>
          </w:p>
        </w:tc>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100 صفحة فأقل</w:t>
            </w:r>
          </w:p>
        </w:tc>
        <w:tc>
          <w:tcPr>
            <w:tcW w:type="dxa" w:w="3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للتقارير التفصيلية</w:t>
            </w:r>
          </w:p>
        </w:tc>
      </w:tr>
    </w:tbl>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١٤. القرارات المعلّقة</w:t>
      </w:r>
    </w:p>
    <w:p>
      <w:pPr>
        <w:bidi/>
        <w:spacing w:before="60" w:after="60"/>
        <w:jc w:val="right"/>
      </w:pPr>
      <w:r>
        <w:rPr>
          <w:rFonts w:ascii="Arial" w:cs="Arial" w:eastAsia="Arial" w:hAnsi="Arial"/>
          <w:color w:val="374151"/>
          <w:sz w:val="21"/>
          <w:szCs w:val="21"/>
        </w:rPr>
        <w:t xml:space="preserve">القرارات التالية لم تُحسم بعد وتحتاج إلى نقاش وحسم قبل بدء تطوير الـ Backend.</w:t>
      </w:r>
    </w:p>
    <w:p>
      <w:pPr>
        <w:spacing w:before="80" w:after="0"/>
      </w:pPr>
      <w:r>
        <w:t xml:space="preserve"/>
      </w:r>
    </w:p>
    <w:p>
      <w:pPr>
        <w:bidi/>
        <w:spacing w:before="200" w:after="80"/>
      </w:pPr>
      <w:r>
        <w:rPr>
          <w:rFonts w:ascii="Arial" w:cs="Arial" w:eastAsia="Arial" w:hAnsi="Arial"/>
          <w:b/>
          <w:bCs/>
          <w:color w:val="1A1A2E"/>
          <w:sz w:val="22"/>
          <w:szCs w:val="22"/>
        </w:rPr>
        <w:t xml:space="preserve">القرار ١ — وحدة التسعير في الاشتراكات</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الخيار</w:t>
            </w:r>
          </w:p>
        </w:tc>
        <w:tc>
          <w:tcPr>
            <w:tcW w:type="dxa" w:w="3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الإيجابيات</w:t>
            </w:r>
          </w:p>
        </w:tc>
        <w:tc>
          <w:tcPr>
            <w:tcW w:type="dxa" w:w="3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السلبيات</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 عدد المستخدمين</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بسيط وسهل الفهم، معيار صناعي شائع</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قد يكون عائقاً للجهات الحكومية ذات الأعداد الكبيرة</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 عدد الأقسام</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مناسب للمؤسسات الهرمية الكبيرة</w:t>
            </w:r>
          </w:p>
        </w:tc>
        <w:tc>
          <w:tcPr>
            <w:tcW w:type="dxa" w:w="3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معقد في الفوترة والتتبع</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ج: عدد KPIs النشطة</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يعكس مباشرة حجم الاستخدام الفعلي</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غير مألوف، صعب التسويق</w:t>
            </w:r>
          </w:p>
        </w:tc>
      </w:tr>
    </w:tbl>
    <w:p>
      <w:pPr>
        <w:spacing w:before="60" w:after="0"/>
      </w:pPr>
      <w:r>
        <w:t xml:space="preserve"/>
      </w:r>
    </w:p>
    <w:p>
      <w:pPr>
        <w:pBdr>
          <w:right w:val="single" w:color="1A7A5E" w:sz="16"/>
        </w:pBdr>
        <w:shd w:fill="E6F4EE" w:val="clear"/>
        <w:bidi/>
        <w:spacing w:before="40" w:after="80"/>
        <w:ind w:right="200"/>
        <w:jc w:val="right"/>
      </w:pPr>
      <w:r>
        <w:rPr>
          <w:rFonts w:ascii="Arial" w:cs="Arial" w:eastAsia="Arial" w:hAnsi="Arial"/>
          <w:b/>
          <w:bCs/>
          <w:color w:val="1A7A5E"/>
          <w:sz w:val="21"/>
          <w:szCs w:val="21"/>
        </w:rPr>
        <w:t xml:space="preserve">التوصية: </w:t>
      </w:r>
      <w:r>
        <w:rPr>
          <w:rFonts w:ascii="Arial" w:cs="Arial" w:eastAsia="Arial" w:hAnsi="Arial"/>
          <w:color w:val="1A1A2E"/>
          <w:sz w:val="21"/>
          <w:szCs w:val="21"/>
        </w:rPr>
        <w:t xml:space="preserve">خيار أ (عدد المستخدمين) كنقطة انطلاق مع خصم خاص للجهات الحكومية.</w:t>
      </w:r>
    </w:p>
    <w:p>
      <w:pPr>
        <w:spacing w:before="80" w:after="0"/>
      </w:pPr>
      <w:r>
        <w:t xml:space="preserve"/>
      </w:r>
    </w:p>
    <w:p>
      <w:pPr>
        <w:bidi/>
        <w:spacing w:before="200" w:after="80"/>
      </w:pPr>
      <w:r>
        <w:rPr>
          <w:rFonts w:ascii="Arial" w:cs="Arial" w:eastAsia="Arial" w:hAnsi="Arial"/>
          <w:b/>
          <w:bCs/>
          <w:color w:val="1A1A2E"/>
          <w:sz w:val="22"/>
          <w:szCs w:val="22"/>
        </w:rPr>
        <w:t xml:space="preserve">القرار ٢ — REST مقابل GraphQL للـ API</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الخيار</w:t>
            </w:r>
          </w:p>
        </w:tc>
        <w:tc>
          <w:tcPr>
            <w:tcW w:type="dxa" w:w="3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الإيجابيات</w:t>
            </w:r>
          </w:p>
        </w:tc>
        <w:tc>
          <w:tcPr>
            <w:tcW w:type="dxa" w:w="3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السلبيات</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 REST API</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أبسط في التطوير والتوثيق، أسهل في التكامل</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يحتاج endpoints متعددة للاستعلامات المعقدة</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 GraphQL</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مرن جداً، الـ Frontend يطلب ما يحتاج فقط</w:t>
            </w:r>
          </w:p>
        </w:tc>
        <w:tc>
          <w:tcPr>
            <w:tcW w:type="dxa" w:w="3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تعقيد في الإعداد والأمان، منحنى تعلم أكبر</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ج: REST + GraphQL الانتقائي</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المرونة في المناطق التي تحتاجها</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تعقيد في الصيانة طويل المدى</w:t>
            </w:r>
          </w:p>
        </w:tc>
      </w:tr>
    </w:tbl>
    <w:p>
      <w:pPr>
        <w:spacing w:before="60" w:after="0"/>
      </w:pPr>
      <w:r>
        <w:t xml:space="preserve"/>
      </w:r>
    </w:p>
    <w:p>
      <w:pPr>
        <w:pBdr>
          <w:right w:val="single" w:color="1A7A5E" w:sz="16"/>
        </w:pBdr>
        <w:shd w:fill="E6F4EE" w:val="clear"/>
        <w:bidi/>
        <w:spacing w:before="40" w:after="80"/>
        <w:ind w:right="200"/>
        <w:jc w:val="right"/>
      </w:pPr>
      <w:r>
        <w:rPr>
          <w:rFonts w:ascii="Arial" w:cs="Arial" w:eastAsia="Arial" w:hAnsi="Arial"/>
          <w:b/>
          <w:bCs/>
          <w:color w:val="1A7A5E"/>
          <w:sz w:val="21"/>
          <w:szCs w:val="21"/>
        </w:rPr>
        <w:t xml:space="preserve">التوصية: </w:t>
      </w:r>
      <w:r>
        <w:rPr>
          <w:rFonts w:ascii="Arial" w:cs="Arial" w:eastAsia="Arial" w:hAnsi="Arial"/>
          <w:color w:val="1A1A2E"/>
          <w:sz w:val="21"/>
          <w:szCs w:val="21"/>
        </w:rPr>
        <w:t xml:space="preserve">خيار أ (REST) في المراحل الأولى للسرعة، مع تقييم GraphQL في المرحلة الثالثة.</w:t>
      </w:r>
    </w:p>
    <w:p>
      <w:pPr>
        <w:spacing w:before="80" w:after="0"/>
      </w:pPr>
      <w:r>
        <w:t xml:space="preserve"/>
      </w:r>
    </w:p>
    <w:p>
      <w:pPr>
        <w:bidi/>
        <w:spacing w:before="200" w:after="80"/>
      </w:pPr>
      <w:r>
        <w:rPr>
          <w:rFonts w:ascii="Arial" w:cs="Arial" w:eastAsia="Arial" w:hAnsi="Arial"/>
          <w:b/>
          <w:bCs/>
          <w:color w:val="1A1A2E"/>
          <w:sz w:val="22"/>
          <w:szCs w:val="22"/>
        </w:rPr>
        <w:t xml:space="preserve">القرار ٣ — عزل البيانات في بيئة Multi-tenant</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الخيار</w:t>
            </w:r>
          </w:p>
        </w:tc>
        <w:tc>
          <w:tcPr>
            <w:tcW w:type="dxa" w:w="3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الإيجابيات</w:t>
            </w:r>
          </w:p>
        </w:tc>
        <w:tc>
          <w:tcPr>
            <w:tcW w:type="dxa" w:w="3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السلبيات</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 Schema-per-tenant</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عزل كامل، أسهل في النسخ الاحتياطي لكل عميل</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تعقيد في إدارة قواعد البيانات، migrations أصعب</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 Row-level Security</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أبسط في الإدارة، نشر أسهل</w:t>
            </w:r>
          </w:p>
        </w:tc>
        <w:tc>
          <w:tcPr>
            <w:tcW w:type="dxa" w:w="3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خطأ برمجي واحد قد يكشف بيانات عميل آخر</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ج: Database-per-tenant</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أقصى درجات العزل</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تكلفة تشغيل مرتفعة جداً</w:t>
            </w:r>
          </w:p>
        </w:tc>
      </w:tr>
    </w:tbl>
    <w:p>
      <w:pPr>
        <w:spacing w:before="60" w:after="0"/>
      </w:pPr>
      <w:r>
        <w:t xml:space="preserve"/>
      </w:r>
    </w:p>
    <w:p>
      <w:pPr>
        <w:pBdr>
          <w:right w:val="single" w:color="1A7A5E" w:sz="16"/>
        </w:pBdr>
        <w:shd w:fill="E6F4EE" w:val="clear"/>
        <w:bidi/>
        <w:spacing w:before="40" w:after="80"/>
        <w:ind w:right="200"/>
        <w:jc w:val="right"/>
      </w:pPr>
      <w:r>
        <w:rPr>
          <w:rFonts w:ascii="Arial" w:cs="Arial" w:eastAsia="Arial" w:hAnsi="Arial"/>
          <w:b/>
          <w:bCs/>
          <w:color w:val="1A7A5E"/>
          <w:sz w:val="21"/>
          <w:szCs w:val="21"/>
        </w:rPr>
        <w:t xml:space="preserve">التوصية: </w:t>
      </w:r>
      <w:r>
        <w:rPr>
          <w:rFonts w:ascii="Arial" w:cs="Arial" w:eastAsia="Arial" w:hAnsi="Arial"/>
          <w:color w:val="1A1A2E"/>
          <w:sz w:val="21"/>
          <w:szCs w:val="21"/>
        </w:rPr>
        <w:t xml:space="preserve">خيار أ (Schema-per-tenant) للأمان المطلوب لعملاء Enterprise والحكومات.</w:t>
      </w:r>
    </w:p>
    <w:p>
      <w:pPr>
        <w:spacing w:before="80" w:after="0"/>
      </w:pPr>
      <w:r>
        <w:t xml:space="preserve"/>
      </w:r>
    </w:p>
    <w:p>
      <w:pPr>
        <w:bidi/>
        <w:spacing w:before="200" w:after="80"/>
      </w:pPr>
      <w:r>
        <w:rPr>
          <w:rFonts w:ascii="Arial" w:cs="Arial" w:eastAsia="Arial" w:hAnsi="Arial"/>
          <w:b/>
          <w:bCs/>
          <w:color w:val="1A1A2E"/>
          <w:sz w:val="22"/>
          <w:szCs w:val="22"/>
        </w:rPr>
        <w:t xml:space="preserve">القرار ٤ — تجربة مجانية للـ Enterprise</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الخيار</w:t>
            </w:r>
          </w:p>
        </w:tc>
        <w:tc>
          <w:tcPr>
            <w:tcW w:type="dxa" w:w="3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الإيجابيات</w:t>
            </w:r>
          </w:p>
        </w:tc>
        <w:tc>
          <w:tcPr>
            <w:tcW w:type="dxa" w:w="3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السلبيات</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 Freemium (Starter مجاني دائماً)</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يُسرّع الاعتماد، عملاء يجربون قبل الشراء</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عملاء مجانيون يستهلكون موارد دون عائد</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 Free Trial 30 يوماً للجميع</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تحفيز مباشر للتحويل، محدود زمنياً</w:t>
            </w:r>
          </w:p>
        </w:tc>
        <w:tc>
          <w:tcPr>
            <w:tcW w:type="dxa" w:w="3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قد يعقّد Onboarding</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ج: Demo مع مدير حساب فقط</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تحكم أفضل في جودة العملاء</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بطيء في النمو، يتطلب فريق مبيعات</w:t>
            </w:r>
          </w:p>
        </w:tc>
      </w:tr>
    </w:tbl>
    <w:p>
      <w:pPr>
        <w:spacing w:before="60" w:after="0"/>
      </w:pPr>
      <w:r>
        <w:t xml:space="preserve"/>
      </w:r>
    </w:p>
    <w:p>
      <w:pPr>
        <w:pBdr>
          <w:right w:val="single" w:color="1A7A5E" w:sz="16"/>
        </w:pBdr>
        <w:shd w:fill="E6F4EE" w:val="clear"/>
        <w:bidi/>
        <w:spacing w:before="40" w:after="80"/>
        <w:ind w:right="200"/>
        <w:jc w:val="right"/>
      </w:pPr>
      <w:r>
        <w:rPr>
          <w:rFonts w:ascii="Arial" w:cs="Arial" w:eastAsia="Arial" w:hAnsi="Arial"/>
          <w:b/>
          <w:bCs/>
          <w:color w:val="1A7A5E"/>
          <w:sz w:val="21"/>
          <w:szCs w:val="21"/>
        </w:rPr>
        <w:t xml:space="preserve">التوصية: </w:t>
      </w:r>
      <w:r>
        <w:rPr>
          <w:rFonts w:ascii="Arial" w:cs="Arial" w:eastAsia="Arial" w:hAnsi="Arial"/>
          <w:color w:val="1A1A2E"/>
          <w:sz w:val="21"/>
          <w:szCs w:val="21"/>
        </w:rPr>
        <w:t xml:space="preserve">خيار أ (Freemium) لتسريع الاعتماد، مع تتبع دقيق للتحويل من مجاني إلى مدفوع.</w:t>
      </w:r>
    </w:p>
    <w:p>
      <w:pPr>
        <w:spacing w:before="80" w:after="0"/>
      </w:pPr>
      <w:r>
        <w:t xml:space="preserve"/>
      </w:r>
    </w:p>
    <w:p>
      <w:pPr>
        <w:bidi/>
        <w:spacing w:before="200" w:after="80"/>
      </w:pPr>
      <w:r>
        <w:rPr>
          <w:rFonts w:ascii="Arial" w:cs="Arial" w:eastAsia="Arial" w:hAnsi="Arial"/>
          <w:b/>
          <w:bCs/>
          <w:color w:val="1A1A2E"/>
          <w:sz w:val="22"/>
          <w:szCs w:val="22"/>
        </w:rPr>
        <w:t xml:space="preserve">القرار ٥ — مراجعة وموافقة تغييرات KPI في منتصف الفترة</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الخيار</w:t>
            </w:r>
          </w:p>
        </w:tc>
        <w:tc>
          <w:tcPr>
            <w:tcW w:type="dxa" w:w="3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الإيجابيات</w:t>
            </w:r>
          </w:p>
        </w:tc>
        <w:tc>
          <w:tcPr>
            <w:tcW w:type="dxa" w:w="3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السلبيات</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 موافقة يدوية من مسؤول النظام</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أعلى جودة وموثوقية للبيانات التاريخية</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بطيء، يُعيق الاستجابة السريعة للتغيير</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 تغيير فوري مع سجل كامل</w:t>
            </w:r>
          </w:p>
        </w:tc>
        <w:tc>
          <w:tcPr>
            <w:tcW w:type="dxa" w:w="3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سريع ومرن، الشفافية محققة بالتتبع</w:t>
            </w:r>
          </w:p>
        </w:tc>
        <w:tc>
          <w:tcPr>
            <w:tcW w:type="dxa" w:w="3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خطر تغييرات غير مدروسة</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ج: تغيير فوري مع إشعار للمسؤول</w:t>
            </w:r>
          </w:p>
        </w:tc>
        <w:tc>
          <w:tcPr>
            <w:tcW w:type="dxa" w:w="3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توازن بين السرعة والرقابة</w:t>
            </w:r>
          </w:p>
        </w:tc>
        <w:tc>
          <w:tcPr>
            <w:tcW w:type="dxa" w:w="3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قد لا يلتفت المسؤول للإشعار</w:t>
            </w:r>
          </w:p>
        </w:tc>
      </w:tr>
    </w:tbl>
    <w:p>
      <w:pPr>
        <w:spacing w:before="60" w:after="0"/>
      </w:pPr>
      <w:r>
        <w:t xml:space="preserve"/>
      </w:r>
    </w:p>
    <w:p>
      <w:pPr>
        <w:pBdr>
          <w:right w:val="single" w:color="1A7A5E" w:sz="16"/>
        </w:pBdr>
        <w:shd w:fill="E6F4EE" w:val="clear"/>
        <w:bidi/>
        <w:spacing w:before="40" w:after="80"/>
        <w:ind w:right="200"/>
        <w:jc w:val="right"/>
      </w:pPr>
      <w:r>
        <w:rPr>
          <w:rFonts w:ascii="Arial" w:cs="Arial" w:eastAsia="Arial" w:hAnsi="Arial"/>
          <w:b/>
          <w:bCs/>
          <w:color w:val="1A7A5E"/>
          <w:sz w:val="21"/>
          <w:szCs w:val="21"/>
        </w:rPr>
        <w:t xml:space="preserve">التوصية: </w:t>
      </w:r>
      <w:r>
        <w:rPr>
          <w:rFonts w:ascii="Arial" w:cs="Arial" w:eastAsia="Arial" w:hAnsi="Arial"/>
          <w:color w:val="1A1A2E"/>
          <w:sz w:val="21"/>
          <w:szCs w:val="21"/>
        </w:rPr>
        <w:t xml:space="preserve">خيار ج للتوازن — تغيير فوري مع إشعار إلزامي للمسؤول وتسجيل السبب.</w:t>
      </w:r>
    </w:p>
    <w:p>
      <w:pPr>
        <w:spacing w:before="80" w:after="0"/>
      </w:pPr>
      <w:r>
        <w:t xml:space="preserve"/>
      </w:r>
    </w:p>
    <w:p>
      <w:pPr>
        <w:spacing w:before="120" w:after="0"/>
      </w:pPr>
      <w:r>
        <w:t xml:space="preserve"/>
      </w:r>
    </w:p>
    <w:p>
      <w:r>
        <w:br w:type="page"/>
      </w:r>
    </w:p>
    <w:p>
      <w:pPr>
        <w:pStyle w:val="Heading1"/>
        <w:pBdr>
          <w:bottom w:val="single" w:color="0D6E4F" w:sz="12" w:space="4"/>
        </w:pBdr>
        <w:bidi/>
        <w:spacing w:before="480" w:after="160"/>
      </w:pPr>
      <w:r>
        <w:rPr>
          <w:rFonts w:ascii="Arial" w:cs="Arial" w:eastAsia="Arial" w:hAnsi="Arial"/>
          <w:b/>
          <w:bCs/>
          <w:color w:val="1A1A2E"/>
          <w:sz w:val="34"/>
          <w:szCs w:val="34"/>
        </w:rPr>
        <w:t xml:space="preserve">١٥. المصطلحات</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المصطلح</w:t>
            </w:r>
          </w:p>
        </w:tc>
        <w:tc>
          <w:tcPr>
            <w:tcW w:type="dxa" w:w="6426"/>
            <w:tcBorders>
              <w:top w:val="single" w:color="D1D5DB" w:sz="1"/>
              <w:left w:val="single" w:color="D1D5DB" w:sz="1"/>
              <w:bottom w:val="single" w:color="D1D5DB" w:sz="1"/>
              <w:right w:val="single" w:color="D1D5DB" w:sz="1"/>
            </w:tcBorders>
            <w:shd w:fill="1A7A5E" w:val="clear"/>
            <w:tcMar>
              <w:top w:type="dxa" w:w="90"/>
              <w:left w:type="dxa" w:w="150"/>
              <w:bottom w:type="dxa" w:w="90"/>
              <w:right w:type="dxa" w:w="150"/>
            </w:tcMar>
          </w:tcPr>
          <w:p>
            <w:pPr>
              <w:bidi/>
              <w:jc w:val="right"/>
            </w:pPr>
            <w:r>
              <w:rPr>
                <w:rFonts w:ascii="Arial" w:cs="Arial" w:eastAsia="Arial" w:hAnsi="Arial"/>
                <w:b/>
                <w:bCs/>
                <w:color w:val="FFFFFF"/>
                <w:sz w:val="20"/>
                <w:szCs w:val="20"/>
              </w:rPr>
              <w:t xml:space="preserve">التعريف</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FocusIn</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اسم المنصة — منصة إدارة الأداء الاستراتيجي</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KPI</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مؤشر الأداء الرئيسي (Key Performance Indicator) — قياس رقمي لتتبع تحقيق الأهداف</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BSC</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بطاقة الأداء المتوازن (Balanced Scorecard) — إطار لقياس الأداء عبر أربعة منظورات</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Objective</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الهدف الاستراتيجي — ما تسعى المنظمة لتحقيقه في فترة زمنية محددة</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Pillar</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المحور الاستراتيجي — مجموعة من الأهداف تحت موضوع استراتيجي موحد</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Initiative</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المبادرة — مشروع استراتيجي يُسهم في تحقيق هدف أو أكثر</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Baseline</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القيمة الأساسية — قيمة مؤشر الأداء في بداية الفترة (نقطة الانطلاق)</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Achievement Rate</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نسبة التحقيق — القيمة الفعلية ÷ القيمة المستهدفة × 100%</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RBAC</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التحكم في الوصول المستند إلى الأدوار (Role-Based Access Control)</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Audit Log</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سجل التدقيق — سجل كامل بجميع التغييرات على البيانات</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Multi-tenant</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بنية تعدد المستأجرين — نظام يخدم مؤسسات متعددة مع عزل كامل للبيانات</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PRD</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وثيقة متطلبات المنتج (Product Requirements Document)</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SLA</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اتفاقية مستوى الخدمة (Service Level Agreement)</w:t>
            </w:r>
          </w:p>
        </w:tc>
      </w:tr>
      <w:tr>
        <w:tc>
          <w:tcPr>
            <w:tcW w:type="dxa" w:w="26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RTO</w:t>
            </w:r>
          </w:p>
        </w:tc>
        <w:tc>
          <w:tcPr>
            <w:tcW w:type="dxa" w:w="64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هدف وقت التعافي (Recovery Time Objective) — أقصى وقت مقبول للانقطاع</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RPO</w:t>
            </w:r>
          </w:p>
        </w:tc>
        <w:tc>
          <w:tcPr>
            <w:tcW w:type="dxa" w:w="64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pPr>
              <w:bidi/>
              <w:jc w:val="right"/>
            </w:pPr>
            <w:r>
              <w:rPr>
                <w:rFonts w:ascii="Arial" w:cs="Arial" w:eastAsia="Arial" w:hAnsi="Arial"/>
                <w:b w:val="false"/>
                <w:bCs w:val="false"/>
                <w:color w:val="374151"/>
                <w:sz w:val="20"/>
                <w:szCs w:val="20"/>
              </w:rPr>
              <w:t xml:space="preserve">هدف نقطة التعافي (Recovery Point Objective) — أقصى قدر مقبول من فقدان البيانات</w:t>
            </w:r>
          </w:p>
        </w:tc>
      </w:tr>
    </w:tbl>
    <w:p>
      <w:pPr>
        <w:spacing w:before="200" w:after="0"/>
      </w:pPr>
      <w:r>
        <w:t xml:space="preserve"/>
      </w:r>
    </w:p>
    <w:p>
      <w:pPr>
        <w:pBdr>
          <w:top w:val="single" w:color="E5E7EB" w:sz="4" w:space="4"/>
        </w:pBdr>
        <w:spacing w:before="160" w:after="0"/>
        <w:jc w:val="center"/>
      </w:pPr>
      <w:r>
        <w:rPr>
          <w:rFonts w:ascii="Arial" w:cs="Arial" w:eastAsia="Arial" w:hAnsi="Arial"/>
          <w:color w:val="6B7280"/>
          <w:sz w:val="18"/>
          <w:szCs w:val="18"/>
        </w:rPr>
        <w:t xml:space="preserve">تم إعداد هذه الوثيقة  |  FocusIn — الإصدار 1.0  |  مارس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bidi/>
      <w:spacing w:before="120" w:after="0"/>
    </w:pPr>
    <w:r>
      <w:rPr>
        <w:rFonts w:ascii="Arial" w:cs="Arial" w:eastAsia="Arial" w:hAnsi="Arial"/>
        <w:color w:val="6B7280"/>
        <w:sz w:val="18"/>
        <w:szCs w:val="18"/>
      </w:rPr>
      <w:t xml:space="preserve">الصفحة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من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6" w:space="4"/>
      </w:pBdr>
      <w:bidi/>
      <w:spacing w:before="0" w:after="120"/>
      <w:jc w:val="right"/>
    </w:pPr>
    <w:r>
      <w:rPr>
        <w:rFonts w:ascii="Arial" w:cs="Arial" w:eastAsia="Arial" w:hAnsi="Arial"/>
        <w:color w:val="6B7280"/>
        <w:sz w:val="18"/>
        <w:szCs w:val="18"/>
      </w:rPr>
      <w:t xml:space="preserve">FocusIn  —  وثيقة متطلبات المنتج</w:t>
    </w:r>
    <w:r>
      <w:rPr>
        <w:rFonts w:ascii="Arial" w:cs="Arial" w:eastAsia="Arial" w:hAnsi="Arial"/>
        <w:color w:val="6B7280"/>
        <w:sz w:val="18"/>
        <w:szCs w:val="18"/>
      </w:rPr>
      <w:t xml:space="preserve">   |   سري — للاستخدام الداخلي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bidi/>
      <w:spacing w:before="480" w:after="160"/>
      <w:outlineLvl w:val="0"/>
    </w:pPr>
    <w:rPr>
      <w:rFonts w:ascii="Arial" w:cs="Arial" w:eastAsia="Arial" w:hAnsi="Arial"/>
      <w:b/>
      <w:bCs/>
      <w:color w:val="1A1A2E"/>
      <w:sz w:val="34"/>
      <w:szCs w:val="34"/>
    </w:rPr>
  </w:style>
  <w:style w:type="paragraph" w:styleId="Heading2">
    <w:name w:val="Heading 2"/>
    <w:basedOn w:val="Normal"/>
    <w:next w:val="Normal"/>
    <w:qFormat/>
    <w:pPr>
      <w:bidi/>
      <w:spacing w:before="280" w:after="100"/>
      <w:outlineLvl w:val="1"/>
    </w:pPr>
    <w:rPr>
      <w:rFonts w:ascii="Arial" w:cs="Arial" w:eastAsia="Arial" w:hAnsi="Arial"/>
      <w:b/>
      <w:bCs/>
      <w:color w:val="1A7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2026-03-01T15:50:51.617Z</dcterms:created>
  <dcterms:modified xsi:type="dcterms:W3CDTF">2026-03-01T15:50:51.618Z</dcterms:modified>
</cp:coreProperties>
</file>

<file path=docProps/custom.xml><?xml version="1.0" encoding="utf-8"?>
<Properties xmlns="http://schemas.openxmlformats.org/officeDocument/2006/custom-properties" xmlns:vt="http://schemas.openxmlformats.org/officeDocument/2006/docPropsVTypes"/>
</file>