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5EA5A" w14:textId="7D006257" w:rsidR="007C08AD" w:rsidRDefault="00E53FF4">
      <w:r>
        <w:rPr>
          <w:noProof/>
        </w:rPr>
        <w:drawing>
          <wp:inline distT="0" distB="0" distL="0" distR="0" wp14:anchorId="55CE534D" wp14:editId="56790D4F">
            <wp:extent cx="5943600" cy="445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acity-2-log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065"/>
                    </a:xfrm>
                    <a:prstGeom prst="rect">
                      <a:avLst/>
                    </a:prstGeom>
                  </pic:spPr>
                </pic:pic>
              </a:graphicData>
            </a:graphic>
          </wp:inline>
        </w:drawing>
      </w:r>
    </w:p>
    <w:p w14:paraId="12C9B139" w14:textId="5EA096DF" w:rsidR="00E53FF4" w:rsidRDefault="00E53FF4"/>
    <w:p w14:paraId="51C8C792" w14:textId="1E9D0EB9" w:rsidR="00E53FF4" w:rsidRDefault="00E53FF4"/>
    <w:p w14:paraId="0A4A8B27" w14:textId="36CD6252" w:rsidR="00E53FF4" w:rsidRPr="00E53FF4" w:rsidRDefault="00E53FF4">
      <w:pPr>
        <w:rPr>
          <w:rFonts w:asciiTheme="majorHAnsi" w:hAnsiTheme="majorHAnsi" w:cstheme="majorHAnsi"/>
          <w:color w:val="002060"/>
          <w:sz w:val="36"/>
          <w:szCs w:val="36"/>
        </w:rPr>
      </w:pPr>
      <w:r w:rsidRPr="00E53FF4">
        <w:rPr>
          <w:rFonts w:asciiTheme="majorHAnsi" w:hAnsiTheme="majorHAnsi" w:cstheme="majorHAnsi"/>
          <w:color w:val="002060"/>
          <w:sz w:val="36"/>
          <w:szCs w:val="36"/>
        </w:rPr>
        <w:t>Project 1: Explore Weather Trends</w:t>
      </w:r>
    </w:p>
    <w:p w14:paraId="264ECBB2" w14:textId="3C32DEB6" w:rsidR="00E53FF4" w:rsidRDefault="00E53FF4" w:rsidP="00E53FF4">
      <w:pPr>
        <w:rPr>
          <w:rFonts w:asciiTheme="majorHAnsi" w:hAnsiTheme="majorHAnsi" w:cstheme="majorHAnsi"/>
          <w:color w:val="002060"/>
          <w:sz w:val="36"/>
          <w:szCs w:val="36"/>
        </w:rPr>
      </w:pPr>
      <w:r w:rsidRPr="00E53FF4">
        <w:rPr>
          <w:rFonts w:asciiTheme="majorHAnsi" w:hAnsiTheme="majorHAnsi" w:cstheme="majorHAnsi"/>
          <w:color w:val="002060"/>
          <w:sz w:val="36"/>
          <w:szCs w:val="36"/>
        </w:rPr>
        <w:t>By: Waleed Abdullah Aldweesh</w:t>
      </w:r>
    </w:p>
    <w:p w14:paraId="765F2C49" w14:textId="32CAE84C" w:rsidR="00E53FF4" w:rsidRDefault="00E53FF4" w:rsidP="00E53FF4">
      <w:pPr>
        <w:pStyle w:val="Heading1"/>
        <w:numPr>
          <w:ilvl w:val="0"/>
          <w:numId w:val="2"/>
        </w:numPr>
      </w:pPr>
      <w:r>
        <w:br w:type="page"/>
      </w:r>
      <w:r>
        <w:lastRenderedPageBreak/>
        <w:t>Data Extraction</w:t>
      </w:r>
    </w:p>
    <w:p w14:paraId="2D3E885F" w14:textId="77777777" w:rsidR="00214372" w:rsidRPr="00214372" w:rsidRDefault="00214372" w:rsidP="00214372"/>
    <w:p w14:paraId="453D55EA" w14:textId="53027968" w:rsidR="00E53FF4" w:rsidRDefault="00E53FF4" w:rsidP="006C3476">
      <w:pPr>
        <w:pStyle w:val="Heading3"/>
      </w:pPr>
      <w:r>
        <w:t xml:space="preserve">Tool </w:t>
      </w:r>
      <w:r w:rsidR="006C3476">
        <w:t>used:</w:t>
      </w:r>
      <w:r>
        <w:t xml:space="preserve"> SQL</w:t>
      </w:r>
    </w:p>
    <w:p w14:paraId="20F85CE8" w14:textId="77777777" w:rsidR="00214372" w:rsidRPr="00214372" w:rsidRDefault="00214372" w:rsidP="00214372"/>
    <w:p w14:paraId="085D7D66" w14:textId="64A9577A" w:rsidR="006C3476" w:rsidRPr="00E53FF4" w:rsidRDefault="006C3476" w:rsidP="006C3476">
      <w:pPr>
        <w:rPr>
          <w:rFonts w:ascii="Consolas" w:hAnsi="Consolas"/>
        </w:rPr>
      </w:pPr>
      <w:r w:rsidRPr="00E53FF4">
        <w:rPr>
          <w:rFonts w:ascii="Consolas" w:hAnsi="Consolas"/>
        </w:rPr>
        <w:t>select * from city_data where city='Riyadh'</w:t>
      </w:r>
    </w:p>
    <w:p w14:paraId="66CAA4D5" w14:textId="7310E6C0" w:rsidR="00E53FF4" w:rsidRDefault="00E53FF4" w:rsidP="00E53FF4">
      <w:pPr>
        <w:rPr>
          <w:rFonts w:ascii="Consolas" w:hAnsi="Consolas"/>
        </w:rPr>
      </w:pPr>
      <w:r w:rsidRPr="00E53FF4">
        <w:rPr>
          <w:rFonts w:ascii="Consolas" w:hAnsi="Consolas"/>
        </w:rPr>
        <w:t>select * from global_data</w:t>
      </w:r>
      <w:r w:rsidR="006C3476">
        <w:rPr>
          <w:rFonts w:ascii="Consolas" w:hAnsi="Consolas"/>
        </w:rPr>
        <w:t>;</w:t>
      </w:r>
    </w:p>
    <w:p w14:paraId="6A7155F9" w14:textId="77777777" w:rsidR="00214372" w:rsidRDefault="00214372" w:rsidP="00E53FF4">
      <w:pPr>
        <w:rPr>
          <w:rFonts w:ascii="Consolas" w:hAnsi="Consolas"/>
        </w:rPr>
      </w:pPr>
    </w:p>
    <w:p w14:paraId="3E98A38D" w14:textId="164B5B23" w:rsidR="00E53FF4" w:rsidRDefault="006C3476" w:rsidP="006C3476">
      <w:pPr>
        <w:pStyle w:val="Heading1"/>
        <w:numPr>
          <w:ilvl w:val="0"/>
          <w:numId w:val="2"/>
        </w:numPr>
      </w:pPr>
      <w:r>
        <w:t xml:space="preserve">Data </w:t>
      </w:r>
      <w:r w:rsidR="004F794E">
        <w:t>Preparation</w:t>
      </w:r>
    </w:p>
    <w:p w14:paraId="1C49863E" w14:textId="77777777" w:rsidR="00214372" w:rsidRPr="00214372" w:rsidRDefault="00214372" w:rsidP="00214372"/>
    <w:p w14:paraId="77B2C6EE" w14:textId="4BAFC89F" w:rsidR="006C3476" w:rsidRDefault="006C3476" w:rsidP="006C3476">
      <w:pPr>
        <w:pStyle w:val="Heading3"/>
      </w:pPr>
      <w:r>
        <w:t>Tool used: Excel</w:t>
      </w:r>
    </w:p>
    <w:p w14:paraId="31B05C45" w14:textId="77777777" w:rsidR="00214372" w:rsidRPr="00214372" w:rsidRDefault="00214372" w:rsidP="00214372"/>
    <w:p w14:paraId="528E2510" w14:textId="5BFC9846" w:rsidR="006C3476" w:rsidRDefault="006C3476" w:rsidP="006C3476">
      <w:r>
        <w:t>Approach to get the needed data:</w:t>
      </w:r>
    </w:p>
    <w:p w14:paraId="42F42D1B" w14:textId="57006E48" w:rsidR="006C3476" w:rsidRDefault="006C3476" w:rsidP="006C3476">
      <w:pPr>
        <w:pStyle w:val="ListParagraph"/>
        <w:numPr>
          <w:ilvl w:val="0"/>
          <w:numId w:val="3"/>
        </w:numPr>
      </w:pPr>
      <w:r>
        <w:t>I copied global data from global_data.cvs and paste in the city_data.cvs</w:t>
      </w:r>
      <w:r w:rsidR="00214372">
        <w:t>.</w:t>
      </w:r>
    </w:p>
    <w:p w14:paraId="3EDB450F" w14:textId="4047F37B" w:rsidR="00214372" w:rsidRDefault="006C3476" w:rsidP="00214372">
      <w:pPr>
        <w:pStyle w:val="ListParagraph"/>
        <w:numPr>
          <w:ilvl w:val="0"/>
          <w:numId w:val="3"/>
        </w:numPr>
      </w:pPr>
      <w:r>
        <w:t>I noticed that there are 2 years missing in Riyadh data 1846,1847</w:t>
      </w:r>
      <w:r w:rsidR="00214372">
        <w:t>, and these 2 years match with years 1936 where it was in Riyadh 25.15 and was in global 8.55 just as the year 1846, and year 1888 where it was in Riyadh 25.13 and global 8.09 just as year 1847.</w:t>
      </w:r>
      <w:r>
        <w:t xml:space="preserve"> </w:t>
      </w:r>
      <w:r w:rsidR="00214372">
        <w:t>But</w:t>
      </w:r>
      <w:r>
        <w:t xml:space="preserve"> I </w:t>
      </w:r>
      <w:r w:rsidR="00214372">
        <w:t xml:space="preserve">decided to </w:t>
      </w:r>
      <w:r>
        <w:t xml:space="preserve">eliminate them from both global and city data to </w:t>
      </w:r>
      <w:r w:rsidR="00317A16">
        <w:t xml:space="preserve">improve </w:t>
      </w:r>
      <w:r w:rsidR="00C9309F">
        <w:t xml:space="preserve">the </w:t>
      </w:r>
      <w:r w:rsidR="00317A16">
        <w:t>quality</w:t>
      </w:r>
      <w:r w:rsidR="00C9309F">
        <w:t xml:space="preserve"> of the </w:t>
      </w:r>
      <w:r w:rsidR="00214372">
        <w:t>trends.</w:t>
      </w:r>
    </w:p>
    <w:p w14:paraId="07BC7EA3" w14:textId="5D0030FC" w:rsidR="004F794E" w:rsidRDefault="004F794E" w:rsidP="004F794E">
      <w:pPr>
        <w:pStyle w:val="Heading1"/>
        <w:numPr>
          <w:ilvl w:val="0"/>
          <w:numId w:val="2"/>
        </w:numPr>
      </w:pPr>
      <w:r>
        <w:t>Data Visualization</w:t>
      </w:r>
    </w:p>
    <w:p w14:paraId="6B6411F4" w14:textId="310BB90B" w:rsidR="004F794E" w:rsidRDefault="004F794E" w:rsidP="004F794E"/>
    <w:p w14:paraId="478A221D" w14:textId="77777777" w:rsidR="004F794E" w:rsidRDefault="004F794E" w:rsidP="004F794E">
      <w:pPr>
        <w:pStyle w:val="Heading3"/>
      </w:pPr>
      <w:r>
        <w:t>Tool used: Excel</w:t>
      </w:r>
    </w:p>
    <w:p w14:paraId="37E96203" w14:textId="77777777" w:rsidR="004F794E" w:rsidRPr="004F794E" w:rsidRDefault="004F794E" w:rsidP="004F794E"/>
    <w:p w14:paraId="17FC1E1E" w14:textId="640A9C27" w:rsidR="00C9309F" w:rsidRDefault="00D14EF2" w:rsidP="00BD35A8">
      <w:r>
        <w:t>Results:</w:t>
      </w:r>
    </w:p>
    <w:p w14:paraId="55E2F7ED" w14:textId="6F046ADE" w:rsidR="00C9309F" w:rsidRPr="006C3476" w:rsidRDefault="00C9309F" w:rsidP="00C9309F">
      <w:pPr>
        <w:pStyle w:val="ListParagraph"/>
        <w:ind w:left="-630"/>
      </w:pPr>
      <w:r>
        <w:rPr>
          <w:noProof/>
        </w:rPr>
        <w:drawing>
          <wp:inline distT="0" distB="0" distL="0" distR="0" wp14:anchorId="1784A8F5" wp14:editId="27D19C0F">
            <wp:extent cx="6747164" cy="2280920"/>
            <wp:effectExtent l="0" t="0" r="15875" b="5080"/>
            <wp:docPr id="2" name="Chart 2">
              <a:extLst xmlns:a="http://schemas.openxmlformats.org/drawingml/2006/main">
                <a:ext uri="{FF2B5EF4-FFF2-40B4-BE49-F238E27FC236}">
                  <a16:creationId xmlns:a16="http://schemas.microsoft.com/office/drawing/2014/main" id="{E26C3F7B-7A66-48BC-B9B1-2D57992CF1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F8B653" w14:textId="4A77807E" w:rsidR="00C9309F" w:rsidRDefault="00C9309F" w:rsidP="00C9309F">
      <w:r>
        <w:lastRenderedPageBreak/>
        <w:t xml:space="preserve">After using </w:t>
      </w:r>
      <w:r w:rsidRPr="00C9309F">
        <w:rPr>
          <w:b/>
          <w:bCs/>
          <w:i/>
          <w:iCs/>
        </w:rPr>
        <w:t>moving average</w:t>
      </w:r>
      <w:r>
        <w:t>:</w:t>
      </w:r>
    </w:p>
    <w:p w14:paraId="0C5BAB35" w14:textId="061571CB" w:rsidR="00C9309F" w:rsidRDefault="00C9309F" w:rsidP="00C9309F">
      <w:pPr>
        <w:ind w:hanging="630"/>
      </w:pPr>
      <w:r>
        <w:rPr>
          <w:noProof/>
        </w:rPr>
        <w:drawing>
          <wp:inline distT="0" distB="0" distL="0" distR="0" wp14:anchorId="69202DAF" wp14:editId="7F29364E">
            <wp:extent cx="6746875" cy="2743200"/>
            <wp:effectExtent l="0" t="0" r="15875" b="0"/>
            <wp:docPr id="3" name="Chart 3">
              <a:extLst xmlns:a="http://schemas.openxmlformats.org/drawingml/2006/main">
                <a:ext uri="{FF2B5EF4-FFF2-40B4-BE49-F238E27FC236}">
                  <a16:creationId xmlns:a16="http://schemas.microsoft.com/office/drawing/2014/main" id="{EB4236D4-DF60-41E2-9B0B-845150911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62573F" w14:textId="77B9D59D" w:rsidR="00D14EF2" w:rsidRDefault="00D14EF2" w:rsidP="00C9309F">
      <w:pPr>
        <w:ind w:hanging="630"/>
      </w:pPr>
    </w:p>
    <w:p w14:paraId="38340CD9" w14:textId="0E9FF96E" w:rsidR="00694E6C" w:rsidRDefault="00D14EF2" w:rsidP="00694E6C">
      <w:pPr>
        <w:ind w:hanging="630"/>
      </w:pPr>
      <w:r>
        <w:t xml:space="preserve">The </w:t>
      </w:r>
      <w:r w:rsidRPr="00694E6C">
        <w:rPr>
          <w:b/>
          <w:bCs/>
          <w:i/>
          <w:iCs/>
        </w:rPr>
        <w:t>moving average</w:t>
      </w:r>
      <w:r>
        <w:t xml:space="preserve"> </w:t>
      </w:r>
      <w:r w:rsidR="00694E6C">
        <w:t xml:space="preserve">formula in excel calculated </w:t>
      </w:r>
      <w:r w:rsidR="00807C21">
        <w:t>by</w:t>
      </w:r>
      <w:r w:rsidR="00694E6C">
        <w:t xml:space="preserve"> 7 </w:t>
      </w:r>
      <w:r w:rsidR="00807C21">
        <w:t>ma</w:t>
      </w:r>
      <w:r w:rsidR="00694E6C">
        <w:t>:</w:t>
      </w:r>
    </w:p>
    <w:p w14:paraId="3A46548A" w14:textId="2ED6F81C" w:rsidR="00694E6C" w:rsidRPr="00694E6C" w:rsidRDefault="00694E6C" w:rsidP="00694E6C">
      <w:pPr>
        <w:ind w:hanging="630"/>
        <w:rPr>
          <w:rFonts w:ascii="Consolas" w:hAnsi="Consolas"/>
        </w:rPr>
      </w:pPr>
      <w:r w:rsidRPr="00694E6C">
        <w:rPr>
          <w:rFonts w:ascii="Consolas" w:hAnsi="Consolas"/>
        </w:rPr>
        <w:t>=AVERAGE(D2:D8)</w:t>
      </w:r>
    </w:p>
    <w:p w14:paraId="0D10A3DB" w14:textId="1086C33E" w:rsidR="00694E6C" w:rsidRDefault="00694E6C" w:rsidP="00807C21">
      <w:pPr>
        <w:pStyle w:val="Heading1"/>
      </w:pPr>
    </w:p>
    <w:p w14:paraId="1CFCD0BB" w14:textId="2D1F6F2B" w:rsidR="00807C21" w:rsidRDefault="00807C21" w:rsidP="00807C21">
      <w:pPr>
        <w:pStyle w:val="Heading1"/>
        <w:numPr>
          <w:ilvl w:val="0"/>
          <w:numId w:val="2"/>
        </w:numPr>
      </w:pPr>
      <w:r>
        <w:t>Observations</w:t>
      </w:r>
    </w:p>
    <w:p w14:paraId="29F89878" w14:textId="40FDF0E3" w:rsidR="00807C21" w:rsidRDefault="00807C21" w:rsidP="00807C21"/>
    <w:p w14:paraId="690EFE44" w14:textId="1984B6F7" w:rsidR="00807C21" w:rsidRDefault="00232AAE" w:rsidP="00232AAE">
      <w:pPr>
        <w:pStyle w:val="Heading3"/>
      </w:pPr>
      <w:r>
        <w:t>From the data and the charts above we can conclude that:</w:t>
      </w:r>
    </w:p>
    <w:p w14:paraId="50BBEEDB" w14:textId="68DBEA2E" w:rsidR="00232AAE" w:rsidRDefault="00232AAE" w:rsidP="00232AAE">
      <w:pPr>
        <w:pStyle w:val="ListParagraph"/>
        <w:numPr>
          <w:ilvl w:val="0"/>
          <w:numId w:val="4"/>
        </w:numPr>
      </w:pPr>
      <w:r>
        <w:t>Global data between 1843 and 2013 varies between 7.56 and 9.73 while Riyadh in the other hand varies between 15.45 and 27.78.</w:t>
      </w:r>
    </w:p>
    <w:p w14:paraId="57B3C951" w14:textId="5BD5250B" w:rsidR="00303FD3" w:rsidRDefault="00303FD3" w:rsidP="00303FD3">
      <w:pPr>
        <w:pStyle w:val="ListParagraph"/>
        <w:numPr>
          <w:ilvl w:val="0"/>
          <w:numId w:val="4"/>
        </w:numPr>
      </w:pPr>
      <w:r>
        <w:t>The hottest year for Riyadh was 2013 while it is 2007 in global.</w:t>
      </w:r>
    </w:p>
    <w:p w14:paraId="26EBABAD" w14:textId="288E33BA" w:rsidR="00232AAE" w:rsidRDefault="00B84046" w:rsidP="00232AAE">
      <w:pPr>
        <w:pStyle w:val="ListParagraph"/>
        <w:numPr>
          <w:ilvl w:val="0"/>
          <w:numId w:val="4"/>
        </w:numPr>
      </w:pPr>
      <w:r>
        <w:t>According to the charts,</w:t>
      </w:r>
      <w:r w:rsidR="00232AAE">
        <w:t xml:space="preserve"> </w:t>
      </w:r>
      <w:r>
        <w:t xml:space="preserve">we can conclude that Riyadh is </w:t>
      </w:r>
      <w:r w:rsidRPr="00B84046">
        <w:rPr>
          <w:b/>
          <w:bCs/>
        </w:rPr>
        <w:t>three times</w:t>
      </w:r>
      <w:r>
        <w:t xml:space="preserve"> hotter than global average.</w:t>
      </w:r>
      <w:r w:rsidR="00232AAE">
        <w:t xml:space="preserve"> </w:t>
      </w:r>
    </w:p>
    <w:p w14:paraId="2830F3FB" w14:textId="69F730FB" w:rsidR="00B84046" w:rsidRDefault="00B84046" w:rsidP="00232AAE">
      <w:pPr>
        <w:pStyle w:val="ListParagraph"/>
        <w:numPr>
          <w:ilvl w:val="0"/>
          <w:numId w:val="4"/>
        </w:numPr>
      </w:pPr>
      <w:r>
        <w:t>The change of global average temperature had increased by more than 2 degrees in 170 years.</w:t>
      </w:r>
    </w:p>
    <w:p w14:paraId="05BFE131" w14:textId="32FF514B" w:rsidR="00B84046" w:rsidRDefault="003A3849" w:rsidP="00232AAE">
      <w:pPr>
        <w:pStyle w:val="ListParagraph"/>
        <w:numPr>
          <w:ilvl w:val="0"/>
          <w:numId w:val="4"/>
        </w:numPr>
      </w:pPr>
      <w:r>
        <w:t>Riyadh had a significant average temperature increase in the years 1844 and 1845 from 15.45 to 20.82.</w:t>
      </w:r>
    </w:p>
    <w:sectPr w:rsidR="00B8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0B93"/>
    <w:multiLevelType w:val="hybridMultilevel"/>
    <w:tmpl w:val="584A6B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9A27244"/>
    <w:multiLevelType w:val="hybridMultilevel"/>
    <w:tmpl w:val="B8004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D2725"/>
    <w:multiLevelType w:val="hybridMultilevel"/>
    <w:tmpl w:val="7AC6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927E7"/>
    <w:multiLevelType w:val="hybridMultilevel"/>
    <w:tmpl w:val="8C52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F4"/>
    <w:rsid w:val="00214372"/>
    <w:rsid w:val="00232AAE"/>
    <w:rsid w:val="00303FD3"/>
    <w:rsid w:val="00317A16"/>
    <w:rsid w:val="003A3849"/>
    <w:rsid w:val="00461810"/>
    <w:rsid w:val="004F794E"/>
    <w:rsid w:val="00674DFD"/>
    <w:rsid w:val="00694E6C"/>
    <w:rsid w:val="006C3476"/>
    <w:rsid w:val="00807C21"/>
    <w:rsid w:val="00A13FA3"/>
    <w:rsid w:val="00B84046"/>
    <w:rsid w:val="00BD35A8"/>
    <w:rsid w:val="00C9309F"/>
    <w:rsid w:val="00D14EF2"/>
    <w:rsid w:val="00E53F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B4E1"/>
  <w15:chartTrackingRefBased/>
  <w15:docId w15:val="{A27B53DC-E862-4C8D-8ADB-0995A931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4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9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FF4"/>
    <w:pPr>
      <w:ind w:left="720"/>
      <w:contextualSpacing/>
    </w:pPr>
  </w:style>
  <w:style w:type="character" w:customStyle="1" w:styleId="Heading1Char">
    <w:name w:val="Heading 1 Char"/>
    <w:basedOn w:val="DefaultParagraphFont"/>
    <w:link w:val="Heading1"/>
    <w:uiPriority w:val="9"/>
    <w:rsid w:val="00E53F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34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4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79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goo\Documents\Udacity\DAND\P1%20-%20Explore-Weather-Trends\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goo\Documents\Udacity\DAND\P1%20-%20Explore-Weather-Trends\p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Average</a:t>
            </a:r>
            <a:r>
              <a:rPr lang="en-US" baseline="0"/>
              <a:t> </a:t>
            </a:r>
            <a:r>
              <a:rPr lang="en-US" sz="2000" b="0" i="0" u="none" strike="noStrike" cap="none" normalizeH="0" baseline="0">
                <a:effectLst/>
              </a:rPr>
              <a:t>Temperature </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ورقة1!$D$1</c:f>
              <c:strCache>
                <c:ptCount val="1"/>
                <c:pt idx="0">
                  <c:v>Riyadh</c:v>
                </c:pt>
              </c:strCache>
            </c:strRef>
          </c:tx>
          <c:spPr>
            <a:ln w="38100" cap="rnd">
              <a:solidFill>
                <a:schemeClr val="accent1"/>
              </a:solidFill>
              <a:round/>
            </a:ln>
            <a:effectLst/>
          </c:spPr>
          <c:marker>
            <c:symbol val="none"/>
          </c:marker>
          <c:cat>
            <c:numRef>
              <c:f>ورقة1!$A$2:$C$170</c:f>
              <c:numCache>
                <c:formatCode>General</c:formatCode>
                <c:ptCount val="169"/>
                <c:pt idx="0">
                  <c:v>1843</c:v>
                </c:pt>
                <c:pt idx="1">
                  <c:v>1844</c:v>
                </c:pt>
                <c:pt idx="2">
                  <c:v>1845</c:v>
                </c:pt>
                <c:pt idx="3">
                  <c:v>1848</c:v>
                </c:pt>
                <c:pt idx="4">
                  <c:v>1849</c:v>
                </c:pt>
                <c:pt idx="5">
                  <c:v>1850</c:v>
                </c:pt>
                <c:pt idx="6">
                  <c:v>1851</c:v>
                </c:pt>
                <c:pt idx="7">
                  <c:v>1852</c:v>
                </c:pt>
                <c:pt idx="8">
                  <c:v>1853</c:v>
                </c:pt>
                <c:pt idx="9">
                  <c:v>1854</c:v>
                </c:pt>
                <c:pt idx="10">
                  <c:v>1855</c:v>
                </c:pt>
                <c:pt idx="11">
                  <c:v>1856</c:v>
                </c:pt>
                <c:pt idx="12">
                  <c:v>1857</c:v>
                </c:pt>
                <c:pt idx="13">
                  <c:v>1858</c:v>
                </c:pt>
                <c:pt idx="14">
                  <c:v>1859</c:v>
                </c:pt>
                <c:pt idx="15">
                  <c:v>1860</c:v>
                </c:pt>
                <c:pt idx="16">
                  <c:v>1861</c:v>
                </c:pt>
                <c:pt idx="17">
                  <c:v>1862</c:v>
                </c:pt>
                <c:pt idx="18">
                  <c:v>1863</c:v>
                </c:pt>
                <c:pt idx="19">
                  <c:v>1864</c:v>
                </c:pt>
                <c:pt idx="20">
                  <c:v>1865</c:v>
                </c:pt>
                <c:pt idx="21">
                  <c:v>1866</c:v>
                </c:pt>
                <c:pt idx="22">
                  <c:v>1867</c:v>
                </c:pt>
                <c:pt idx="23">
                  <c:v>1868</c:v>
                </c:pt>
                <c:pt idx="24">
                  <c:v>1869</c:v>
                </c:pt>
                <c:pt idx="25">
                  <c:v>1870</c:v>
                </c:pt>
                <c:pt idx="26">
                  <c:v>1871</c:v>
                </c:pt>
                <c:pt idx="27">
                  <c:v>1872</c:v>
                </c:pt>
                <c:pt idx="28">
                  <c:v>1873</c:v>
                </c:pt>
                <c:pt idx="29">
                  <c:v>1874</c:v>
                </c:pt>
                <c:pt idx="30">
                  <c:v>1875</c:v>
                </c:pt>
                <c:pt idx="31">
                  <c:v>1876</c:v>
                </c:pt>
                <c:pt idx="32">
                  <c:v>1877</c:v>
                </c:pt>
                <c:pt idx="33">
                  <c:v>1878</c:v>
                </c:pt>
                <c:pt idx="34">
                  <c:v>1879</c:v>
                </c:pt>
                <c:pt idx="35">
                  <c:v>1880</c:v>
                </c:pt>
                <c:pt idx="36">
                  <c:v>1881</c:v>
                </c:pt>
                <c:pt idx="37">
                  <c:v>1882</c:v>
                </c:pt>
                <c:pt idx="38">
                  <c:v>1883</c:v>
                </c:pt>
                <c:pt idx="39">
                  <c:v>1884</c:v>
                </c:pt>
                <c:pt idx="40">
                  <c:v>1885</c:v>
                </c:pt>
                <c:pt idx="41">
                  <c:v>1886</c:v>
                </c:pt>
                <c:pt idx="42">
                  <c:v>1887</c:v>
                </c:pt>
                <c:pt idx="43">
                  <c:v>1888</c:v>
                </c:pt>
                <c:pt idx="44">
                  <c:v>1889</c:v>
                </c:pt>
                <c:pt idx="45">
                  <c:v>1890</c:v>
                </c:pt>
                <c:pt idx="46">
                  <c:v>1891</c:v>
                </c:pt>
                <c:pt idx="47">
                  <c:v>1892</c:v>
                </c:pt>
                <c:pt idx="48">
                  <c:v>1893</c:v>
                </c:pt>
                <c:pt idx="49">
                  <c:v>1894</c:v>
                </c:pt>
                <c:pt idx="50">
                  <c:v>1895</c:v>
                </c:pt>
                <c:pt idx="51">
                  <c:v>1896</c:v>
                </c:pt>
                <c:pt idx="52">
                  <c:v>1897</c:v>
                </c:pt>
                <c:pt idx="53">
                  <c:v>1898</c:v>
                </c:pt>
                <c:pt idx="54">
                  <c:v>1899</c:v>
                </c:pt>
                <c:pt idx="55">
                  <c:v>1900</c:v>
                </c:pt>
                <c:pt idx="56">
                  <c:v>1901</c:v>
                </c:pt>
                <c:pt idx="57">
                  <c:v>1902</c:v>
                </c:pt>
                <c:pt idx="58">
                  <c:v>1903</c:v>
                </c:pt>
                <c:pt idx="59">
                  <c:v>1904</c:v>
                </c:pt>
                <c:pt idx="60">
                  <c:v>1905</c:v>
                </c:pt>
                <c:pt idx="61">
                  <c:v>1906</c:v>
                </c:pt>
                <c:pt idx="62">
                  <c:v>1907</c:v>
                </c:pt>
                <c:pt idx="63">
                  <c:v>1908</c:v>
                </c:pt>
                <c:pt idx="64">
                  <c:v>1909</c:v>
                </c:pt>
                <c:pt idx="65">
                  <c:v>1910</c:v>
                </c:pt>
                <c:pt idx="66">
                  <c:v>1911</c:v>
                </c:pt>
                <c:pt idx="67">
                  <c:v>1912</c:v>
                </c:pt>
                <c:pt idx="68">
                  <c:v>1913</c:v>
                </c:pt>
                <c:pt idx="69">
                  <c:v>1914</c:v>
                </c:pt>
                <c:pt idx="70">
                  <c:v>1915</c:v>
                </c:pt>
                <c:pt idx="71">
                  <c:v>1916</c:v>
                </c:pt>
                <c:pt idx="72">
                  <c:v>1917</c:v>
                </c:pt>
                <c:pt idx="73">
                  <c:v>1918</c:v>
                </c:pt>
                <c:pt idx="74">
                  <c:v>1919</c:v>
                </c:pt>
                <c:pt idx="75">
                  <c:v>1920</c:v>
                </c:pt>
                <c:pt idx="76">
                  <c:v>1921</c:v>
                </c:pt>
                <c:pt idx="77">
                  <c:v>1922</c:v>
                </c:pt>
                <c:pt idx="78">
                  <c:v>1923</c:v>
                </c:pt>
                <c:pt idx="79">
                  <c:v>1924</c:v>
                </c:pt>
                <c:pt idx="80">
                  <c:v>1925</c:v>
                </c:pt>
                <c:pt idx="81">
                  <c:v>1926</c:v>
                </c:pt>
                <c:pt idx="82">
                  <c:v>1927</c:v>
                </c:pt>
                <c:pt idx="83">
                  <c:v>1928</c:v>
                </c:pt>
                <c:pt idx="84">
                  <c:v>1929</c:v>
                </c:pt>
                <c:pt idx="85">
                  <c:v>1930</c:v>
                </c:pt>
                <c:pt idx="86">
                  <c:v>1931</c:v>
                </c:pt>
                <c:pt idx="87">
                  <c:v>1932</c:v>
                </c:pt>
                <c:pt idx="88">
                  <c:v>1933</c:v>
                </c:pt>
                <c:pt idx="89">
                  <c:v>1934</c:v>
                </c:pt>
                <c:pt idx="90">
                  <c:v>1935</c:v>
                </c:pt>
                <c:pt idx="91">
                  <c:v>1936</c:v>
                </c:pt>
                <c:pt idx="92">
                  <c:v>1937</c:v>
                </c:pt>
                <c:pt idx="93">
                  <c:v>1938</c:v>
                </c:pt>
                <c:pt idx="94">
                  <c:v>1939</c:v>
                </c:pt>
                <c:pt idx="95">
                  <c:v>1940</c:v>
                </c:pt>
                <c:pt idx="96">
                  <c:v>1941</c:v>
                </c:pt>
                <c:pt idx="97">
                  <c:v>1942</c:v>
                </c:pt>
                <c:pt idx="98">
                  <c:v>1943</c:v>
                </c:pt>
                <c:pt idx="99">
                  <c:v>1944</c:v>
                </c:pt>
                <c:pt idx="100">
                  <c:v>1945</c:v>
                </c:pt>
                <c:pt idx="101">
                  <c:v>1946</c:v>
                </c:pt>
                <c:pt idx="102">
                  <c:v>1947</c:v>
                </c:pt>
                <c:pt idx="103">
                  <c:v>1948</c:v>
                </c:pt>
                <c:pt idx="104">
                  <c:v>1949</c:v>
                </c:pt>
                <c:pt idx="105">
                  <c:v>1950</c:v>
                </c:pt>
                <c:pt idx="106">
                  <c:v>1951</c:v>
                </c:pt>
                <c:pt idx="107">
                  <c:v>1952</c:v>
                </c:pt>
                <c:pt idx="108">
                  <c:v>1953</c:v>
                </c:pt>
                <c:pt idx="109">
                  <c:v>1954</c:v>
                </c:pt>
                <c:pt idx="110">
                  <c:v>1955</c:v>
                </c:pt>
                <c:pt idx="111">
                  <c:v>1956</c:v>
                </c:pt>
                <c:pt idx="112">
                  <c:v>1957</c:v>
                </c:pt>
                <c:pt idx="113">
                  <c:v>1958</c:v>
                </c:pt>
                <c:pt idx="114">
                  <c:v>1959</c:v>
                </c:pt>
                <c:pt idx="115">
                  <c:v>1960</c:v>
                </c:pt>
                <c:pt idx="116">
                  <c:v>1961</c:v>
                </c:pt>
                <c:pt idx="117">
                  <c:v>1962</c:v>
                </c:pt>
                <c:pt idx="118">
                  <c:v>1963</c:v>
                </c:pt>
                <c:pt idx="119">
                  <c:v>1964</c:v>
                </c:pt>
                <c:pt idx="120">
                  <c:v>1965</c:v>
                </c:pt>
                <c:pt idx="121">
                  <c:v>1966</c:v>
                </c:pt>
                <c:pt idx="122">
                  <c:v>1967</c:v>
                </c:pt>
                <c:pt idx="123">
                  <c:v>1968</c:v>
                </c:pt>
                <c:pt idx="124">
                  <c:v>1969</c:v>
                </c:pt>
                <c:pt idx="125">
                  <c:v>1970</c:v>
                </c:pt>
                <c:pt idx="126">
                  <c:v>1971</c:v>
                </c:pt>
                <c:pt idx="127">
                  <c:v>1972</c:v>
                </c:pt>
                <c:pt idx="128">
                  <c:v>1973</c:v>
                </c:pt>
                <c:pt idx="129">
                  <c:v>1974</c:v>
                </c:pt>
                <c:pt idx="130">
                  <c:v>1975</c:v>
                </c:pt>
                <c:pt idx="131">
                  <c:v>1976</c:v>
                </c:pt>
                <c:pt idx="132">
                  <c:v>1977</c:v>
                </c:pt>
                <c:pt idx="133">
                  <c:v>1978</c:v>
                </c:pt>
                <c:pt idx="134">
                  <c:v>1979</c:v>
                </c:pt>
                <c:pt idx="135">
                  <c:v>1980</c:v>
                </c:pt>
                <c:pt idx="136">
                  <c:v>1981</c:v>
                </c:pt>
                <c:pt idx="137">
                  <c:v>1982</c:v>
                </c:pt>
                <c:pt idx="138">
                  <c:v>1983</c:v>
                </c:pt>
                <c:pt idx="139">
                  <c:v>1984</c:v>
                </c:pt>
                <c:pt idx="140">
                  <c:v>1985</c:v>
                </c:pt>
                <c:pt idx="141">
                  <c:v>1986</c:v>
                </c:pt>
                <c:pt idx="142">
                  <c:v>1987</c:v>
                </c:pt>
                <c:pt idx="143">
                  <c:v>1988</c:v>
                </c:pt>
                <c:pt idx="144">
                  <c:v>1989</c:v>
                </c:pt>
                <c:pt idx="145">
                  <c:v>1990</c:v>
                </c:pt>
                <c:pt idx="146">
                  <c:v>1991</c:v>
                </c:pt>
                <c:pt idx="147">
                  <c:v>1992</c:v>
                </c:pt>
                <c:pt idx="148">
                  <c:v>1993</c:v>
                </c:pt>
                <c:pt idx="149">
                  <c:v>1994</c:v>
                </c:pt>
                <c:pt idx="150">
                  <c:v>1995</c:v>
                </c:pt>
                <c:pt idx="151">
                  <c:v>1996</c:v>
                </c:pt>
                <c:pt idx="152">
                  <c:v>1997</c:v>
                </c:pt>
                <c:pt idx="153">
                  <c:v>1998</c:v>
                </c:pt>
                <c:pt idx="154">
                  <c:v>1999</c:v>
                </c:pt>
                <c:pt idx="155">
                  <c:v>2000</c:v>
                </c:pt>
                <c:pt idx="156">
                  <c:v>2001</c:v>
                </c:pt>
                <c:pt idx="157">
                  <c:v>2002</c:v>
                </c:pt>
                <c:pt idx="158">
                  <c:v>2003</c:v>
                </c:pt>
                <c:pt idx="159">
                  <c:v>2004</c:v>
                </c:pt>
                <c:pt idx="160">
                  <c:v>2005</c:v>
                </c:pt>
                <c:pt idx="161">
                  <c:v>2006</c:v>
                </c:pt>
                <c:pt idx="162">
                  <c:v>2007</c:v>
                </c:pt>
                <c:pt idx="163">
                  <c:v>2008</c:v>
                </c:pt>
                <c:pt idx="164">
                  <c:v>2009</c:v>
                </c:pt>
                <c:pt idx="165">
                  <c:v>2010</c:v>
                </c:pt>
                <c:pt idx="166">
                  <c:v>2011</c:v>
                </c:pt>
                <c:pt idx="167">
                  <c:v>2012</c:v>
                </c:pt>
                <c:pt idx="168">
                  <c:v>2013</c:v>
                </c:pt>
              </c:numCache>
            </c:numRef>
          </c:cat>
          <c:val>
            <c:numRef>
              <c:f>ورقة1!$D$2:$D$170</c:f>
              <c:numCache>
                <c:formatCode>General</c:formatCode>
                <c:ptCount val="169"/>
                <c:pt idx="0">
                  <c:v>24.74</c:v>
                </c:pt>
                <c:pt idx="1">
                  <c:v>15.45</c:v>
                </c:pt>
                <c:pt idx="2">
                  <c:v>20.82</c:v>
                </c:pt>
                <c:pt idx="3">
                  <c:v>24.56</c:v>
                </c:pt>
                <c:pt idx="4">
                  <c:v>24.8</c:v>
                </c:pt>
                <c:pt idx="5">
                  <c:v>24.34</c:v>
                </c:pt>
                <c:pt idx="6">
                  <c:v>25.03</c:v>
                </c:pt>
                <c:pt idx="7">
                  <c:v>24.85</c:v>
                </c:pt>
                <c:pt idx="8">
                  <c:v>24.93</c:v>
                </c:pt>
                <c:pt idx="9">
                  <c:v>24.72</c:v>
                </c:pt>
                <c:pt idx="10">
                  <c:v>24.92</c:v>
                </c:pt>
                <c:pt idx="11">
                  <c:v>24.57</c:v>
                </c:pt>
                <c:pt idx="12">
                  <c:v>24.26</c:v>
                </c:pt>
                <c:pt idx="13">
                  <c:v>25.01</c:v>
                </c:pt>
                <c:pt idx="14">
                  <c:v>24.95</c:v>
                </c:pt>
                <c:pt idx="15">
                  <c:v>24.94</c:v>
                </c:pt>
                <c:pt idx="16">
                  <c:v>24.13</c:v>
                </c:pt>
                <c:pt idx="17">
                  <c:v>23.77</c:v>
                </c:pt>
                <c:pt idx="18">
                  <c:v>24.28</c:v>
                </c:pt>
                <c:pt idx="19">
                  <c:v>25.03</c:v>
                </c:pt>
                <c:pt idx="20">
                  <c:v>25.23</c:v>
                </c:pt>
                <c:pt idx="21">
                  <c:v>24.92</c:v>
                </c:pt>
                <c:pt idx="22">
                  <c:v>25.22</c:v>
                </c:pt>
                <c:pt idx="23">
                  <c:v>25</c:v>
                </c:pt>
                <c:pt idx="24">
                  <c:v>25.3</c:v>
                </c:pt>
                <c:pt idx="25">
                  <c:v>25.02</c:v>
                </c:pt>
                <c:pt idx="26">
                  <c:v>24.73</c:v>
                </c:pt>
                <c:pt idx="27">
                  <c:v>24.87</c:v>
                </c:pt>
                <c:pt idx="28">
                  <c:v>25.24</c:v>
                </c:pt>
                <c:pt idx="29">
                  <c:v>24.98</c:v>
                </c:pt>
                <c:pt idx="30">
                  <c:v>24.43</c:v>
                </c:pt>
                <c:pt idx="31">
                  <c:v>24.89</c:v>
                </c:pt>
                <c:pt idx="32">
                  <c:v>25.47</c:v>
                </c:pt>
                <c:pt idx="33">
                  <c:v>25.51</c:v>
                </c:pt>
                <c:pt idx="34">
                  <c:v>25.24</c:v>
                </c:pt>
                <c:pt idx="35">
                  <c:v>24.8</c:v>
                </c:pt>
                <c:pt idx="36">
                  <c:v>25.63</c:v>
                </c:pt>
                <c:pt idx="37">
                  <c:v>24.66</c:v>
                </c:pt>
                <c:pt idx="38">
                  <c:v>25.19</c:v>
                </c:pt>
                <c:pt idx="39">
                  <c:v>24.8</c:v>
                </c:pt>
                <c:pt idx="40">
                  <c:v>24.98</c:v>
                </c:pt>
                <c:pt idx="41">
                  <c:v>24.98</c:v>
                </c:pt>
                <c:pt idx="42">
                  <c:v>24.81</c:v>
                </c:pt>
                <c:pt idx="43">
                  <c:v>25.13</c:v>
                </c:pt>
                <c:pt idx="44">
                  <c:v>25.52</c:v>
                </c:pt>
                <c:pt idx="45">
                  <c:v>25.07</c:v>
                </c:pt>
                <c:pt idx="46">
                  <c:v>25.39</c:v>
                </c:pt>
                <c:pt idx="47">
                  <c:v>25.22</c:v>
                </c:pt>
                <c:pt idx="48">
                  <c:v>25.19</c:v>
                </c:pt>
                <c:pt idx="49">
                  <c:v>24.66</c:v>
                </c:pt>
                <c:pt idx="50">
                  <c:v>24.69</c:v>
                </c:pt>
                <c:pt idx="51">
                  <c:v>24.88</c:v>
                </c:pt>
                <c:pt idx="52">
                  <c:v>24.86</c:v>
                </c:pt>
                <c:pt idx="53">
                  <c:v>24.88</c:v>
                </c:pt>
                <c:pt idx="54">
                  <c:v>25.12</c:v>
                </c:pt>
                <c:pt idx="55">
                  <c:v>25.29</c:v>
                </c:pt>
                <c:pt idx="56">
                  <c:v>25.55</c:v>
                </c:pt>
                <c:pt idx="57">
                  <c:v>25.25</c:v>
                </c:pt>
                <c:pt idx="58">
                  <c:v>24.64</c:v>
                </c:pt>
                <c:pt idx="59">
                  <c:v>25.07</c:v>
                </c:pt>
                <c:pt idx="60">
                  <c:v>24.87</c:v>
                </c:pt>
                <c:pt idx="61">
                  <c:v>24.85</c:v>
                </c:pt>
                <c:pt idx="62">
                  <c:v>24.44</c:v>
                </c:pt>
                <c:pt idx="63">
                  <c:v>24.95</c:v>
                </c:pt>
                <c:pt idx="64">
                  <c:v>25.57</c:v>
                </c:pt>
                <c:pt idx="65">
                  <c:v>24.75</c:v>
                </c:pt>
                <c:pt idx="66">
                  <c:v>24.24</c:v>
                </c:pt>
                <c:pt idx="67">
                  <c:v>24.96</c:v>
                </c:pt>
                <c:pt idx="68">
                  <c:v>24.63</c:v>
                </c:pt>
                <c:pt idx="69">
                  <c:v>24.94</c:v>
                </c:pt>
                <c:pt idx="70">
                  <c:v>25.38</c:v>
                </c:pt>
                <c:pt idx="71">
                  <c:v>24.85</c:v>
                </c:pt>
                <c:pt idx="72">
                  <c:v>25.03</c:v>
                </c:pt>
                <c:pt idx="73">
                  <c:v>24.66</c:v>
                </c:pt>
                <c:pt idx="74">
                  <c:v>25.39</c:v>
                </c:pt>
                <c:pt idx="75">
                  <c:v>24.94</c:v>
                </c:pt>
                <c:pt idx="76">
                  <c:v>24.84</c:v>
                </c:pt>
                <c:pt idx="77">
                  <c:v>25.35</c:v>
                </c:pt>
                <c:pt idx="78">
                  <c:v>25.1</c:v>
                </c:pt>
                <c:pt idx="79">
                  <c:v>25.69</c:v>
                </c:pt>
                <c:pt idx="80">
                  <c:v>25</c:v>
                </c:pt>
                <c:pt idx="81">
                  <c:v>25.19</c:v>
                </c:pt>
                <c:pt idx="82">
                  <c:v>25.29</c:v>
                </c:pt>
                <c:pt idx="83">
                  <c:v>25.39</c:v>
                </c:pt>
                <c:pt idx="84">
                  <c:v>25.36</c:v>
                </c:pt>
                <c:pt idx="85">
                  <c:v>25.39</c:v>
                </c:pt>
                <c:pt idx="86">
                  <c:v>25.38</c:v>
                </c:pt>
                <c:pt idx="87">
                  <c:v>24.96</c:v>
                </c:pt>
                <c:pt idx="88">
                  <c:v>24.67</c:v>
                </c:pt>
                <c:pt idx="89">
                  <c:v>24.97</c:v>
                </c:pt>
                <c:pt idx="90">
                  <c:v>25.61</c:v>
                </c:pt>
                <c:pt idx="91">
                  <c:v>25.15</c:v>
                </c:pt>
                <c:pt idx="92">
                  <c:v>25.08</c:v>
                </c:pt>
                <c:pt idx="93">
                  <c:v>25.11</c:v>
                </c:pt>
                <c:pt idx="94">
                  <c:v>25.16</c:v>
                </c:pt>
                <c:pt idx="95">
                  <c:v>25.51</c:v>
                </c:pt>
                <c:pt idx="96">
                  <c:v>25.37</c:v>
                </c:pt>
                <c:pt idx="97">
                  <c:v>25.49</c:v>
                </c:pt>
                <c:pt idx="98">
                  <c:v>24.96</c:v>
                </c:pt>
                <c:pt idx="99">
                  <c:v>25.6</c:v>
                </c:pt>
                <c:pt idx="100">
                  <c:v>25.3</c:v>
                </c:pt>
                <c:pt idx="101">
                  <c:v>25.49</c:v>
                </c:pt>
                <c:pt idx="102">
                  <c:v>26</c:v>
                </c:pt>
                <c:pt idx="103">
                  <c:v>24.85</c:v>
                </c:pt>
                <c:pt idx="104">
                  <c:v>24.82</c:v>
                </c:pt>
                <c:pt idx="105">
                  <c:v>24.98</c:v>
                </c:pt>
                <c:pt idx="106">
                  <c:v>26.1</c:v>
                </c:pt>
                <c:pt idx="107">
                  <c:v>25.72</c:v>
                </c:pt>
                <c:pt idx="108">
                  <c:v>25.51</c:v>
                </c:pt>
                <c:pt idx="109">
                  <c:v>25.8</c:v>
                </c:pt>
                <c:pt idx="110">
                  <c:v>25.33</c:v>
                </c:pt>
                <c:pt idx="111">
                  <c:v>25.02</c:v>
                </c:pt>
                <c:pt idx="112">
                  <c:v>24.69</c:v>
                </c:pt>
                <c:pt idx="113">
                  <c:v>25.64</c:v>
                </c:pt>
                <c:pt idx="114">
                  <c:v>24.14</c:v>
                </c:pt>
                <c:pt idx="115">
                  <c:v>25.67</c:v>
                </c:pt>
                <c:pt idx="116">
                  <c:v>25.12</c:v>
                </c:pt>
                <c:pt idx="117">
                  <c:v>26.1</c:v>
                </c:pt>
                <c:pt idx="118">
                  <c:v>25.54</c:v>
                </c:pt>
                <c:pt idx="119">
                  <c:v>25.14</c:v>
                </c:pt>
                <c:pt idx="120">
                  <c:v>25.59</c:v>
                </c:pt>
                <c:pt idx="121">
                  <c:v>26.16</c:v>
                </c:pt>
                <c:pt idx="122">
                  <c:v>24.87</c:v>
                </c:pt>
                <c:pt idx="123">
                  <c:v>25.21</c:v>
                </c:pt>
                <c:pt idx="124">
                  <c:v>26.05</c:v>
                </c:pt>
                <c:pt idx="125">
                  <c:v>25.84</c:v>
                </c:pt>
                <c:pt idx="126">
                  <c:v>24.93</c:v>
                </c:pt>
                <c:pt idx="127">
                  <c:v>24.74</c:v>
                </c:pt>
                <c:pt idx="128">
                  <c:v>25.6</c:v>
                </c:pt>
                <c:pt idx="129">
                  <c:v>25.4</c:v>
                </c:pt>
                <c:pt idx="130">
                  <c:v>25.04</c:v>
                </c:pt>
                <c:pt idx="131">
                  <c:v>24.97</c:v>
                </c:pt>
                <c:pt idx="132">
                  <c:v>25.99</c:v>
                </c:pt>
                <c:pt idx="133">
                  <c:v>25.95</c:v>
                </c:pt>
                <c:pt idx="134">
                  <c:v>26.2</c:v>
                </c:pt>
                <c:pt idx="135">
                  <c:v>25.83</c:v>
                </c:pt>
                <c:pt idx="136">
                  <c:v>25.95</c:v>
                </c:pt>
                <c:pt idx="137">
                  <c:v>24.62</c:v>
                </c:pt>
                <c:pt idx="138">
                  <c:v>24.85</c:v>
                </c:pt>
                <c:pt idx="139">
                  <c:v>25.05</c:v>
                </c:pt>
                <c:pt idx="140">
                  <c:v>25.3</c:v>
                </c:pt>
                <c:pt idx="141">
                  <c:v>25.36</c:v>
                </c:pt>
                <c:pt idx="142">
                  <c:v>26.37</c:v>
                </c:pt>
                <c:pt idx="143">
                  <c:v>25.99</c:v>
                </c:pt>
                <c:pt idx="144">
                  <c:v>25.05</c:v>
                </c:pt>
                <c:pt idx="145">
                  <c:v>25.7</c:v>
                </c:pt>
                <c:pt idx="146">
                  <c:v>25.43</c:v>
                </c:pt>
                <c:pt idx="147">
                  <c:v>24.37</c:v>
                </c:pt>
                <c:pt idx="148">
                  <c:v>25.42</c:v>
                </c:pt>
                <c:pt idx="149">
                  <c:v>26.08</c:v>
                </c:pt>
                <c:pt idx="150">
                  <c:v>25.64</c:v>
                </c:pt>
                <c:pt idx="151">
                  <c:v>26.28</c:v>
                </c:pt>
                <c:pt idx="152">
                  <c:v>25.49</c:v>
                </c:pt>
                <c:pt idx="153">
                  <c:v>26.73</c:v>
                </c:pt>
                <c:pt idx="154">
                  <c:v>26.92</c:v>
                </c:pt>
                <c:pt idx="155">
                  <c:v>26.55</c:v>
                </c:pt>
                <c:pt idx="156">
                  <c:v>26.67</c:v>
                </c:pt>
                <c:pt idx="157">
                  <c:v>26.44</c:v>
                </c:pt>
                <c:pt idx="158">
                  <c:v>26.62</c:v>
                </c:pt>
                <c:pt idx="159">
                  <c:v>26.2</c:v>
                </c:pt>
                <c:pt idx="160">
                  <c:v>26.27</c:v>
                </c:pt>
                <c:pt idx="161">
                  <c:v>26.24</c:v>
                </c:pt>
                <c:pt idx="162">
                  <c:v>26.49</c:v>
                </c:pt>
                <c:pt idx="163">
                  <c:v>26.21</c:v>
                </c:pt>
                <c:pt idx="164">
                  <c:v>26.71</c:v>
                </c:pt>
                <c:pt idx="165">
                  <c:v>27.37</c:v>
                </c:pt>
                <c:pt idx="166">
                  <c:v>26.4</c:v>
                </c:pt>
                <c:pt idx="167">
                  <c:v>26.83</c:v>
                </c:pt>
                <c:pt idx="168">
                  <c:v>27.78</c:v>
                </c:pt>
              </c:numCache>
            </c:numRef>
          </c:val>
          <c:smooth val="0"/>
          <c:extLst>
            <c:ext xmlns:c16="http://schemas.microsoft.com/office/drawing/2014/chart" uri="{C3380CC4-5D6E-409C-BE32-E72D297353CC}">
              <c16:uniqueId val="{00000000-C25B-4802-8A18-FC71532331C2}"/>
            </c:ext>
          </c:extLst>
        </c:ser>
        <c:ser>
          <c:idx val="1"/>
          <c:order val="1"/>
          <c:tx>
            <c:strRef>
              <c:f>ورقة1!$E$1</c:f>
              <c:strCache>
                <c:ptCount val="1"/>
                <c:pt idx="0">
                  <c:v>Global</c:v>
                </c:pt>
              </c:strCache>
            </c:strRef>
          </c:tx>
          <c:spPr>
            <a:ln w="38100" cap="rnd">
              <a:solidFill>
                <a:schemeClr val="accent2"/>
              </a:solidFill>
              <a:round/>
            </a:ln>
            <a:effectLst/>
          </c:spPr>
          <c:marker>
            <c:symbol val="none"/>
          </c:marker>
          <c:cat>
            <c:numRef>
              <c:f>ورقة1!$A$2:$C$170</c:f>
              <c:numCache>
                <c:formatCode>General</c:formatCode>
                <c:ptCount val="169"/>
                <c:pt idx="0">
                  <c:v>1843</c:v>
                </c:pt>
                <c:pt idx="1">
                  <c:v>1844</c:v>
                </c:pt>
                <c:pt idx="2">
                  <c:v>1845</c:v>
                </c:pt>
                <c:pt idx="3">
                  <c:v>1848</c:v>
                </c:pt>
                <c:pt idx="4">
                  <c:v>1849</c:v>
                </c:pt>
                <c:pt idx="5">
                  <c:v>1850</c:v>
                </c:pt>
                <c:pt idx="6">
                  <c:v>1851</c:v>
                </c:pt>
                <c:pt idx="7">
                  <c:v>1852</c:v>
                </c:pt>
                <c:pt idx="8">
                  <c:v>1853</c:v>
                </c:pt>
                <c:pt idx="9">
                  <c:v>1854</c:v>
                </c:pt>
                <c:pt idx="10">
                  <c:v>1855</c:v>
                </c:pt>
                <c:pt idx="11">
                  <c:v>1856</c:v>
                </c:pt>
                <c:pt idx="12">
                  <c:v>1857</c:v>
                </c:pt>
                <c:pt idx="13">
                  <c:v>1858</c:v>
                </c:pt>
                <c:pt idx="14">
                  <c:v>1859</c:v>
                </c:pt>
                <c:pt idx="15">
                  <c:v>1860</c:v>
                </c:pt>
                <c:pt idx="16">
                  <c:v>1861</c:v>
                </c:pt>
                <c:pt idx="17">
                  <c:v>1862</c:v>
                </c:pt>
                <c:pt idx="18">
                  <c:v>1863</c:v>
                </c:pt>
                <c:pt idx="19">
                  <c:v>1864</c:v>
                </c:pt>
                <c:pt idx="20">
                  <c:v>1865</c:v>
                </c:pt>
                <c:pt idx="21">
                  <c:v>1866</c:v>
                </c:pt>
                <c:pt idx="22">
                  <c:v>1867</c:v>
                </c:pt>
                <c:pt idx="23">
                  <c:v>1868</c:v>
                </c:pt>
                <c:pt idx="24">
                  <c:v>1869</c:v>
                </c:pt>
                <c:pt idx="25">
                  <c:v>1870</c:v>
                </c:pt>
                <c:pt idx="26">
                  <c:v>1871</c:v>
                </c:pt>
                <c:pt idx="27">
                  <c:v>1872</c:v>
                </c:pt>
                <c:pt idx="28">
                  <c:v>1873</c:v>
                </c:pt>
                <c:pt idx="29">
                  <c:v>1874</c:v>
                </c:pt>
                <c:pt idx="30">
                  <c:v>1875</c:v>
                </c:pt>
                <c:pt idx="31">
                  <c:v>1876</c:v>
                </c:pt>
                <c:pt idx="32">
                  <c:v>1877</c:v>
                </c:pt>
                <c:pt idx="33">
                  <c:v>1878</c:v>
                </c:pt>
                <c:pt idx="34">
                  <c:v>1879</c:v>
                </c:pt>
                <c:pt idx="35">
                  <c:v>1880</c:v>
                </c:pt>
                <c:pt idx="36">
                  <c:v>1881</c:v>
                </c:pt>
                <c:pt idx="37">
                  <c:v>1882</c:v>
                </c:pt>
                <c:pt idx="38">
                  <c:v>1883</c:v>
                </c:pt>
                <c:pt idx="39">
                  <c:v>1884</c:v>
                </c:pt>
                <c:pt idx="40">
                  <c:v>1885</c:v>
                </c:pt>
                <c:pt idx="41">
                  <c:v>1886</c:v>
                </c:pt>
                <c:pt idx="42">
                  <c:v>1887</c:v>
                </c:pt>
                <c:pt idx="43">
                  <c:v>1888</c:v>
                </c:pt>
                <c:pt idx="44">
                  <c:v>1889</c:v>
                </c:pt>
                <c:pt idx="45">
                  <c:v>1890</c:v>
                </c:pt>
                <c:pt idx="46">
                  <c:v>1891</c:v>
                </c:pt>
                <c:pt idx="47">
                  <c:v>1892</c:v>
                </c:pt>
                <c:pt idx="48">
                  <c:v>1893</c:v>
                </c:pt>
                <c:pt idx="49">
                  <c:v>1894</c:v>
                </c:pt>
                <c:pt idx="50">
                  <c:v>1895</c:v>
                </c:pt>
                <c:pt idx="51">
                  <c:v>1896</c:v>
                </c:pt>
                <c:pt idx="52">
                  <c:v>1897</c:v>
                </c:pt>
                <c:pt idx="53">
                  <c:v>1898</c:v>
                </c:pt>
                <c:pt idx="54">
                  <c:v>1899</c:v>
                </c:pt>
                <c:pt idx="55">
                  <c:v>1900</c:v>
                </c:pt>
                <c:pt idx="56">
                  <c:v>1901</c:v>
                </c:pt>
                <c:pt idx="57">
                  <c:v>1902</c:v>
                </c:pt>
                <c:pt idx="58">
                  <c:v>1903</c:v>
                </c:pt>
                <c:pt idx="59">
                  <c:v>1904</c:v>
                </c:pt>
                <c:pt idx="60">
                  <c:v>1905</c:v>
                </c:pt>
                <c:pt idx="61">
                  <c:v>1906</c:v>
                </c:pt>
                <c:pt idx="62">
                  <c:v>1907</c:v>
                </c:pt>
                <c:pt idx="63">
                  <c:v>1908</c:v>
                </c:pt>
                <c:pt idx="64">
                  <c:v>1909</c:v>
                </c:pt>
                <c:pt idx="65">
                  <c:v>1910</c:v>
                </c:pt>
                <c:pt idx="66">
                  <c:v>1911</c:v>
                </c:pt>
                <c:pt idx="67">
                  <c:v>1912</c:v>
                </c:pt>
                <c:pt idx="68">
                  <c:v>1913</c:v>
                </c:pt>
                <c:pt idx="69">
                  <c:v>1914</c:v>
                </c:pt>
                <c:pt idx="70">
                  <c:v>1915</c:v>
                </c:pt>
                <c:pt idx="71">
                  <c:v>1916</c:v>
                </c:pt>
                <c:pt idx="72">
                  <c:v>1917</c:v>
                </c:pt>
                <c:pt idx="73">
                  <c:v>1918</c:v>
                </c:pt>
                <c:pt idx="74">
                  <c:v>1919</c:v>
                </c:pt>
                <c:pt idx="75">
                  <c:v>1920</c:v>
                </c:pt>
                <c:pt idx="76">
                  <c:v>1921</c:v>
                </c:pt>
                <c:pt idx="77">
                  <c:v>1922</c:v>
                </c:pt>
                <c:pt idx="78">
                  <c:v>1923</c:v>
                </c:pt>
                <c:pt idx="79">
                  <c:v>1924</c:v>
                </c:pt>
                <c:pt idx="80">
                  <c:v>1925</c:v>
                </c:pt>
                <c:pt idx="81">
                  <c:v>1926</c:v>
                </c:pt>
                <c:pt idx="82">
                  <c:v>1927</c:v>
                </c:pt>
                <c:pt idx="83">
                  <c:v>1928</c:v>
                </c:pt>
                <c:pt idx="84">
                  <c:v>1929</c:v>
                </c:pt>
                <c:pt idx="85">
                  <c:v>1930</c:v>
                </c:pt>
                <c:pt idx="86">
                  <c:v>1931</c:v>
                </c:pt>
                <c:pt idx="87">
                  <c:v>1932</c:v>
                </c:pt>
                <c:pt idx="88">
                  <c:v>1933</c:v>
                </c:pt>
                <c:pt idx="89">
                  <c:v>1934</c:v>
                </c:pt>
                <c:pt idx="90">
                  <c:v>1935</c:v>
                </c:pt>
                <c:pt idx="91">
                  <c:v>1936</c:v>
                </c:pt>
                <c:pt idx="92">
                  <c:v>1937</c:v>
                </c:pt>
                <c:pt idx="93">
                  <c:v>1938</c:v>
                </c:pt>
                <c:pt idx="94">
                  <c:v>1939</c:v>
                </c:pt>
                <c:pt idx="95">
                  <c:v>1940</c:v>
                </c:pt>
                <c:pt idx="96">
                  <c:v>1941</c:v>
                </c:pt>
                <c:pt idx="97">
                  <c:v>1942</c:v>
                </c:pt>
                <c:pt idx="98">
                  <c:v>1943</c:v>
                </c:pt>
                <c:pt idx="99">
                  <c:v>1944</c:v>
                </c:pt>
                <c:pt idx="100">
                  <c:v>1945</c:v>
                </c:pt>
                <c:pt idx="101">
                  <c:v>1946</c:v>
                </c:pt>
                <c:pt idx="102">
                  <c:v>1947</c:v>
                </c:pt>
                <c:pt idx="103">
                  <c:v>1948</c:v>
                </c:pt>
                <c:pt idx="104">
                  <c:v>1949</c:v>
                </c:pt>
                <c:pt idx="105">
                  <c:v>1950</c:v>
                </c:pt>
                <c:pt idx="106">
                  <c:v>1951</c:v>
                </c:pt>
                <c:pt idx="107">
                  <c:v>1952</c:v>
                </c:pt>
                <c:pt idx="108">
                  <c:v>1953</c:v>
                </c:pt>
                <c:pt idx="109">
                  <c:v>1954</c:v>
                </c:pt>
                <c:pt idx="110">
                  <c:v>1955</c:v>
                </c:pt>
                <c:pt idx="111">
                  <c:v>1956</c:v>
                </c:pt>
                <c:pt idx="112">
                  <c:v>1957</c:v>
                </c:pt>
                <c:pt idx="113">
                  <c:v>1958</c:v>
                </c:pt>
                <c:pt idx="114">
                  <c:v>1959</c:v>
                </c:pt>
                <c:pt idx="115">
                  <c:v>1960</c:v>
                </c:pt>
                <c:pt idx="116">
                  <c:v>1961</c:v>
                </c:pt>
                <c:pt idx="117">
                  <c:v>1962</c:v>
                </c:pt>
                <c:pt idx="118">
                  <c:v>1963</c:v>
                </c:pt>
                <c:pt idx="119">
                  <c:v>1964</c:v>
                </c:pt>
                <c:pt idx="120">
                  <c:v>1965</c:v>
                </c:pt>
                <c:pt idx="121">
                  <c:v>1966</c:v>
                </c:pt>
                <c:pt idx="122">
                  <c:v>1967</c:v>
                </c:pt>
                <c:pt idx="123">
                  <c:v>1968</c:v>
                </c:pt>
                <c:pt idx="124">
                  <c:v>1969</c:v>
                </c:pt>
                <c:pt idx="125">
                  <c:v>1970</c:v>
                </c:pt>
                <c:pt idx="126">
                  <c:v>1971</c:v>
                </c:pt>
                <c:pt idx="127">
                  <c:v>1972</c:v>
                </c:pt>
                <c:pt idx="128">
                  <c:v>1973</c:v>
                </c:pt>
                <c:pt idx="129">
                  <c:v>1974</c:v>
                </c:pt>
                <c:pt idx="130">
                  <c:v>1975</c:v>
                </c:pt>
                <c:pt idx="131">
                  <c:v>1976</c:v>
                </c:pt>
                <c:pt idx="132">
                  <c:v>1977</c:v>
                </c:pt>
                <c:pt idx="133">
                  <c:v>1978</c:v>
                </c:pt>
                <c:pt idx="134">
                  <c:v>1979</c:v>
                </c:pt>
                <c:pt idx="135">
                  <c:v>1980</c:v>
                </c:pt>
                <c:pt idx="136">
                  <c:v>1981</c:v>
                </c:pt>
                <c:pt idx="137">
                  <c:v>1982</c:v>
                </c:pt>
                <c:pt idx="138">
                  <c:v>1983</c:v>
                </c:pt>
                <c:pt idx="139">
                  <c:v>1984</c:v>
                </c:pt>
                <c:pt idx="140">
                  <c:v>1985</c:v>
                </c:pt>
                <c:pt idx="141">
                  <c:v>1986</c:v>
                </c:pt>
                <c:pt idx="142">
                  <c:v>1987</c:v>
                </c:pt>
                <c:pt idx="143">
                  <c:v>1988</c:v>
                </c:pt>
                <c:pt idx="144">
                  <c:v>1989</c:v>
                </c:pt>
                <c:pt idx="145">
                  <c:v>1990</c:v>
                </c:pt>
                <c:pt idx="146">
                  <c:v>1991</c:v>
                </c:pt>
                <c:pt idx="147">
                  <c:v>1992</c:v>
                </c:pt>
                <c:pt idx="148">
                  <c:v>1993</c:v>
                </c:pt>
                <c:pt idx="149">
                  <c:v>1994</c:v>
                </c:pt>
                <c:pt idx="150">
                  <c:v>1995</c:v>
                </c:pt>
                <c:pt idx="151">
                  <c:v>1996</c:v>
                </c:pt>
                <c:pt idx="152">
                  <c:v>1997</c:v>
                </c:pt>
                <c:pt idx="153">
                  <c:v>1998</c:v>
                </c:pt>
                <c:pt idx="154">
                  <c:v>1999</c:v>
                </c:pt>
                <c:pt idx="155">
                  <c:v>2000</c:v>
                </c:pt>
                <c:pt idx="156">
                  <c:v>2001</c:v>
                </c:pt>
                <c:pt idx="157">
                  <c:v>2002</c:v>
                </c:pt>
                <c:pt idx="158">
                  <c:v>2003</c:v>
                </c:pt>
                <c:pt idx="159">
                  <c:v>2004</c:v>
                </c:pt>
                <c:pt idx="160">
                  <c:v>2005</c:v>
                </c:pt>
                <c:pt idx="161">
                  <c:v>2006</c:v>
                </c:pt>
                <c:pt idx="162">
                  <c:v>2007</c:v>
                </c:pt>
                <c:pt idx="163">
                  <c:v>2008</c:v>
                </c:pt>
                <c:pt idx="164">
                  <c:v>2009</c:v>
                </c:pt>
                <c:pt idx="165">
                  <c:v>2010</c:v>
                </c:pt>
                <c:pt idx="166">
                  <c:v>2011</c:v>
                </c:pt>
                <c:pt idx="167">
                  <c:v>2012</c:v>
                </c:pt>
                <c:pt idx="168">
                  <c:v>2013</c:v>
                </c:pt>
              </c:numCache>
            </c:numRef>
          </c:cat>
          <c:val>
            <c:numRef>
              <c:f>ورقة1!$E$2:$E$170</c:f>
              <c:numCache>
                <c:formatCode>General</c:formatCode>
                <c:ptCount val="169"/>
                <c:pt idx="0">
                  <c:v>8.17</c:v>
                </c:pt>
                <c:pt idx="1">
                  <c:v>7.65</c:v>
                </c:pt>
                <c:pt idx="2">
                  <c:v>7.85</c:v>
                </c:pt>
                <c:pt idx="3">
                  <c:v>7.98</c:v>
                </c:pt>
                <c:pt idx="4">
                  <c:v>7.98</c:v>
                </c:pt>
                <c:pt idx="5">
                  <c:v>7.9</c:v>
                </c:pt>
                <c:pt idx="6">
                  <c:v>8.18</c:v>
                </c:pt>
                <c:pt idx="7">
                  <c:v>8.1</c:v>
                </c:pt>
                <c:pt idx="8">
                  <c:v>8.0399999999999991</c:v>
                </c:pt>
                <c:pt idx="9">
                  <c:v>8.2100000000000009</c:v>
                </c:pt>
                <c:pt idx="10">
                  <c:v>8.11</c:v>
                </c:pt>
                <c:pt idx="11">
                  <c:v>8</c:v>
                </c:pt>
                <c:pt idx="12">
                  <c:v>7.76</c:v>
                </c:pt>
                <c:pt idx="13">
                  <c:v>8.1</c:v>
                </c:pt>
                <c:pt idx="14">
                  <c:v>8.25</c:v>
                </c:pt>
                <c:pt idx="15">
                  <c:v>7.96</c:v>
                </c:pt>
                <c:pt idx="16">
                  <c:v>7.85</c:v>
                </c:pt>
                <c:pt idx="17">
                  <c:v>7.56</c:v>
                </c:pt>
                <c:pt idx="18">
                  <c:v>8.11</c:v>
                </c:pt>
                <c:pt idx="19">
                  <c:v>7.98</c:v>
                </c:pt>
                <c:pt idx="20">
                  <c:v>8.18</c:v>
                </c:pt>
                <c:pt idx="21">
                  <c:v>8.2899999999999991</c:v>
                </c:pt>
                <c:pt idx="22">
                  <c:v>8.44</c:v>
                </c:pt>
                <c:pt idx="23">
                  <c:v>8.25</c:v>
                </c:pt>
                <c:pt idx="24">
                  <c:v>8.43</c:v>
                </c:pt>
                <c:pt idx="25">
                  <c:v>8.1999999999999993</c:v>
                </c:pt>
                <c:pt idx="26">
                  <c:v>8.1199999999999992</c:v>
                </c:pt>
                <c:pt idx="27">
                  <c:v>8.19</c:v>
                </c:pt>
                <c:pt idx="28">
                  <c:v>8.35</c:v>
                </c:pt>
                <c:pt idx="29">
                  <c:v>8.43</c:v>
                </c:pt>
                <c:pt idx="30">
                  <c:v>7.86</c:v>
                </c:pt>
                <c:pt idx="31">
                  <c:v>8.08</c:v>
                </c:pt>
                <c:pt idx="32">
                  <c:v>8.5399999999999991</c:v>
                </c:pt>
                <c:pt idx="33">
                  <c:v>8.83</c:v>
                </c:pt>
                <c:pt idx="34">
                  <c:v>8.17</c:v>
                </c:pt>
                <c:pt idx="35">
                  <c:v>8.1199999999999992</c:v>
                </c:pt>
                <c:pt idx="36">
                  <c:v>8.27</c:v>
                </c:pt>
                <c:pt idx="37">
                  <c:v>8.1300000000000008</c:v>
                </c:pt>
                <c:pt idx="38">
                  <c:v>7.98</c:v>
                </c:pt>
                <c:pt idx="39">
                  <c:v>7.77</c:v>
                </c:pt>
                <c:pt idx="40">
                  <c:v>7.92</c:v>
                </c:pt>
                <c:pt idx="41">
                  <c:v>7.95</c:v>
                </c:pt>
                <c:pt idx="42">
                  <c:v>7.91</c:v>
                </c:pt>
                <c:pt idx="43">
                  <c:v>8.09</c:v>
                </c:pt>
                <c:pt idx="44">
                  <c:v>8.32</c:v>
                </c:pt>
                <c:pt idx="45">
                  <c:v>7.97</c:v>
                </c:pt>
                <c:pt idx="46">
                  <c:v>8.02</c:v>
                </c:pt>
                <c:pt idx="47">
                  <c:v>8.07</c:v>
                </c:pt>
                <c:pt idx="48">
                  <c:v>8.06</c:v>
                </c:pt>
                <c:pt idx="49">
                  <c:v>8.16</c:v>
                </c:pt>
                <c:pt idx="50">
                  <c:v>8.15</c:v>
                </c:pt>
                <c:pt idx="51">
                  <c:v>8.2100000000000009</c:v>
                </c:pt>
                <c:pt idx="52">
                  <c:v>8.2899999999999991</c:v>
                </c:pt>
                <c:pt idx="53">
                  <c:v>8.18</c:v>
                </c:pt>
                <c:pt idx="54">
                  <c:v>8.4</c:v>
                </c:pt>
                <c:pt idx="55">
                  <c:v>8.5</c:v>
                </c:pt>
                <c:pt idx="56">
                  <c:v>8.5399999999999991</c:v>
                </c:pt>
                <c:pt idx="57">
                  <c:v>8.3000000000000007</c:v>
                </c:pt>
                <c:pt idx="58">
                  <c:v>8.2200000000000006</c:v>
                </c:pt>
                <c:pt idx="59">
                  <c:v>8.09</c:v>
                </c:pt>
                <c:pt idx="60">
                  <c:v>8.23</c:v>
                </c:pt>
                <c:pt idx="61">
                  <c:v>8.3800000000000008</c:v>
                </c:pt>
                <c:pt idx="62">
                  <c:v>7.95</c:v>
                </c:pt>
                <c:pt idx="63">
                  <c:v>8.19</c:v>
                </c:pt>
                <c:pt idx="64">
                  <c:v>8.18</c:v>
                </c:pt>
                <c:pt idx="65">
                  <c:v>8.2200000000000006</c:v>
                </c:pt>
                <c:pt idx="66">
                  <c:v>8.18</c:v>
                </c:pt>
                <c:pt idx="67">
                  <c:v>8.17</c:v>
                </c:pt>
                <c:pt idx="68">
                  <c:v>8.3000000000000007</c:v>
                </c:pt>
                <c:pt idx="69">
                  <c:v>8.59</c:v>
                </c:pt>
                <c:pt idx="70">
                  <c:v>8.59</c:v>
                </c:pt>
                <c:pt idx="71">
                  <c:v>8.23</c:v>
                </c:pt>
                <c:pt idx="72">
                  <c:v>8.02</c:v>
                </c:pt>
                <c:pt idx="73">
                  <c:v>8.1300000000000008</c:v>
                </c:pt>
                <c:pt idx="74">
                  <c:v>8.3800000000000008</c:v>
                </c:pt>
                <c:pt idx="75">
                  <c:v>8.36</c:v>
                </c:pt>
                <c:pt idx="76">
                  <c:v>8.57</c:v>
                </c:pt>
                <c:pt idx="77">
                  <c:v>8.41</c:v>
                </c:pt>
                <c:pt idx="78">
                  <c:v>8.42</c:v>
                </c:pt>
                <c:pt idx="79">
                  <c:v>8.51</c:v>
                </c:pt>
                <c:pt idx="80">
                  <c:v>8.5299999999999994</c:v>
                </c:pt>
                <c:pt idx="81">
                  <c:v>8.73</c:v>
                </c:pt>
                <c:pt idx="82">
                  <c:v>8.52</c:v>
                </c:pt>
                <c:pt idx="83">
                  <c:v>8.6300000000000008</c:v>
                </c:pt>
                <c:pt idx="84">
                  <c:v>8.24</c:v>
                </c:pt>
                <c:pt idx="85">
                  <c:v>8.6300000000000008</c:v>
                </c:pt>
                <c:pt idx="86">
                  <c:v>8.7200000000000006</c:v>
                </c:pt>
                <c:pt idx="87">
                  <c:v>8.7100000000000009</c:v>
                </c:pt>
                <c:pt idx="88">
                  <c:v>8.34</c:v>
                </c:pt>
                <c:pt idx="89">
                  <c:v>8.6300000000000008</c:v>
                </c:pt>
                <c:pt idx="90">
                  <c:v>8.52</c:v>
                </c:pt>
                <c:pt idx="91">
                  <c:v>8.5500000000000007</c:v>
                </c:pt>
                <c:pt idx="92">
                  <c:v>8.6999999999999993</c:v>
                </c:pt>
                <c:pt idx="93">
                  <c:v>8.86</c:v>
                </c:pt>
                <c:pt idx="94">
                  <c:v>8.76</c:v>
                </c:pt>
                <c:pt idx="95">
                  <c:v>8.76</c:v>
                </c:pt>
                <c:pt idx="96">
                  <c:v>8.77</c:v>
                </c:pt>
                <c:pt idx="97">
                  <c:v>8.73</c:v>
                </c:pt>
                <c:pt idx="98">
                  <c:v>8.76</c:v>
                </c:pt>
                <c:pt idx="99">
                  <c:v>8.85</c:v>
                </c:pt>
                <c:pt idx="100">
                  <c:v>8.58</c:v>
                </c:pt>
                <c:pt idx="101">
                  <c:v>8.68</c:v>
                </c:pt>
                <c:pt idx="102">
                  <c:v>8.8000000000000007</c:v>
                </c:pt>
                <c:pt idx="103">
                  <c:v>8.75</c:v>
                </c:pt>
                <c:pt idx="104">
                  <c:v>8.59</c:v>
                </c:pt>
                <c:pt idx="105">
                  <c:v>8.3699999999999992</c:v>
                </c:pt>
                <c:pt idx="106">
                  <c:v>8.6300000000000008</c:v>
                </c:pt>
                <c:pt idx="107">
                  <c:v>8.64</c:v>
                </c:pt>
                <c:pt idx="108">
                  <c:v>8.8699999999999992</c:v>
                </c:pt>
                <c:pt idx="109">
                  <c:v>8.56</c:v>
                </c:pt>
                <c:pt idx="110">
                  <c:v>8.6300000000000008</c:v>
                </c:pt>
                <c:pt idx="111">
                  <c:v>8.2799999999999994</c:v>
                </c:pt>
                <c:pt idx="112">
                  <c:v>8.73</c:v>
                </c:pt>
                <c:pt idx="113">
                  <c:v>8.77</c:v>
                </c:pt>
                <c:pt idx="114">
                  <c:v>8.73</c:v>
                </c:pt>
                <c:pt idx="115">
                  <c:v>8.58</c:v>
                </c:pt>
                <c:pt idx="116">
                  <c:v>8.8000000000000007</c:v>
                </c:pt>
                <c:pt idx="117">
                  <c:v>8.75</c:v>
                </c:pt>
                <c:pt idx="118">
                  <c:v>8.86</c:v>
                </c:pt>
                <c:pt idx="119">
                  <c:v>8.41</c:v>
                </c:pt>
                <c:pt idx="120">
                  <c:v>8.5299999999999994</c:v>
                </c:pt>
                <c:pt idx="121">
                  <c:v>8.6</c:v>
                </c:pt>
                <c:pt idx="122">
                  <c:v>8.6999999999999993</c:v>
                </c:pt>
                <c:pt idx="123">
                  <c:v>8.52</c:v>
                </c:pt>
                <c:pt idx="124">
                  <c:v>8.6</c:v>
                </c:pt>
                <c:pt idx="125">
                  <c:v>8.6999999999999993</c:v>
                </c:pt>
                <c:pt idx="126">
                  <c:v>8.6</c:v>
                </c:pt>
                <c:pt idx="127">
                  <c:v>8.5</c:v>
                </c:pt>
                <c:pt idx="128">
                  <c:v>8.9499999999999993</c:v>
                </c:pt>
                <c:pt idx="129">
                  <c:v>8.4700000000000006</c:v>
                </c:pt>
                <c:pt idx="130">
                  <c:v>8.74</c:v>
                </c:pt>
                <c:pt idx="131">
                  <c:v>8.35</c:v>
                </c:pt>
                <c:pt idx="132">
                  <c:v>8.85</c:v>
                </c:pt>
                <c:pt idx="133">
                  <c:v>8.69</c:v>
                </c:pt>
                <c:pt idx="134">
                  <c:v>8.73</c:v>
                </c:pt>
                <c:pt idx="135">
                  <c:v>8.98</c:v>
                </c:pt>
                <c:pt idx="136">
                  <c:v>9.17</c:v>
                </c:pt>
                <c:pt idx="137">
                  <c:v>8.64</c:v>
                </c:pt>
                <c:pt idx="138">
                  <c:v>9.0299999999999994</c:v>
                </c:pt>
                <c:pt idx="139">
                  <c:v>8.69</c:v>
                </c:pt>
                <c:pt idx="140">
                  <c:v>8.66</c:v>
                </c:pt>
                <c:pt idx="141">
                  <c:v>8.83</c:v>
                </c:pt>
                <c:pt idx="142">
                  <c:v>8.99</c:v>
                </c:pt>
                <c:pt idx="143">
                  <c:v>9.1999999999999993</c:v>
                </c:pt>
                <c:pt idx="144">
                  <c:v>8.92</c:v>
                </c:pt>
                <c:pt idx="145">
                  <c:v>9.23</c:v>
                </c:pt>
                <c:pt idx="146">
                  <c:v>9.18</c:v>
                </c:pt>
                <c:pt idx="147">
                  <c:v>8.84</c:v>
                </c:pt>
                <c:pt idx="148">
                  <c:v>8.8699999999999992</c:v>
                </c:pt>
                <c:pt idx="149">
                  <c:v>9.0399999999999991</c:v>
                </c:pt>
                <c:pt idx="150">
                  <c:v>9.35</c:v>
                </c:pt>
                <c:pt idx="151">
                  <c:v>9.0399999999999991</c:v>
                </c:pt>
                <c:pt idx="152">
                  <c:v>9.1999999999999993</c:v>
                </c:pt>
                <c:pt idx="153">
                  <c:v>9.52</c:v>
                </c:pt>
                <c:pt idx="154">
                  <c:v>9.2899999999999991</c:v>
                </c:pt>
                <c:pt idx="155">
                  <c:v>9.1999999999999993</c:v>
                </c:pt>
                <c:pt idx="156">
                  <c:v>9.41</c:v>
                </c:pt>
                <c:pt idx="157">
                  <c:v>9.57</c:v>
                </c:pt>
                <c:pt idx="158">
                  <c:v>9.5299999999999994</c:v>
                </c:pt>
                <c:pt idx="159">
                  <c:v>9.32</c:v>
                </c:pt>
                <c:pt idx="160">
                  <c:v>9.6999999999999993</c:v>
                </c:pt>
                <c:pt idx="161">
                  <c:v>9.5299999999999994</c:v>
                </c:pt>
                <c:pt idx="162">
                  <c:v>9.73</c:v>
                </c:pt>
                <c:pt idx="163">
                  <c:v>9.43</c:v>
                </c:pt>
                <c:pt idx="164">
                  <c:v>9.51</c:v>
                </c:pt>
                <c:pt idx="165">
                  <c:v>9.6999999999999993</c:v>
                </c:pt>
                <c:pt idx="166">
                  <c:v>9.52</c:v>
                </c:pt>
                <c:pt idx="167">
                  <c:v>9.51</c:v>
                </c:pt>
                <c:pt idx="168">
                  <c:v>9.61</c:v>
                </c:pt>
              </c:numCache>
            </c:numRef>
          </c:val>
          <c:smooth val="0"/>
          <c:extLst>
            <c:ext xmlns:c16="http://schemas.microsoft.com/office/drawing/2014/chart" uri="{C3380CC4-5D6E-409C-BE32-E72D297353CC}">
              <c16:uniqueId val="{00000001-C25B-4802-8A18-FC71532331C2}"/>
            </c:ext>
          </c:extLst>
        </c:ser>
        <c:dLbls>
          <c:showLegendKey val="0"/>
          <c:showVal val="0"/>
          <c:showCatName val="0"/>
          <c:showSerName val="0"/>
          <c:showPercent val="0"/>
          <c:showBubbleSize val="0"/>
        </c:dLbls>
        <c:smooth val="0"/>
        <c:axId val="370990344"/>
        <c:axId val="370991328"/>
      </c:lineChart>
      <c:catAx>
        <c:axId val="3709903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70991328"/>
        <c:crosses val="autoZero"/>
        <c:auto val="1"/>
        <c:lblAlgn val="ctr"/>
        <c:lblOffset val="100"/>
        <c:noMultiLvlLbl val="0"/>
      </c:catAx>
      <c:valAx>
        <c:axId val="3709913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 Temperature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990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Average </a:t>
            </a:r>
            <a:r>
              <a:rPr lang="en-US" sz="2000" b="0" i="0" u="none" strike="noStrike" cap="none" normalizeH="0" baseline="0">
                <a:effectLst/>
              </a:rPr>
              <a:t>Temperature using Moving Average</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ورقة1!$I$1</c:f>
              <c:strCache>
                <c:ptCount val="1"/>
                <c:pt idx="0">
                  <c:v>Riyadh_ma</c:v>
                </c:pt>
              </c:strCache>
            </c:strRef>
          </c:tx>
          <c:spPr>
            <a:ln w="38100" cap="rnd">
              <a:solidFill>
                <a:schemeClr val="accent1"/>
              </a:solidFill>
              <a:round/>
            </a:ln>
            <a:effectLst/>
          </c:spPr>
          <c:marker>
            <c:symbol val="none"/>
          </c:marker>
          <c:cat>
            <c:strRef>
              <c:f>ورقة1!$H$2:$H$25</c:f>
              <c:strCache>
                <c:ptCount val="24"/>
                <c:pt idx="0">
                  <c:v>1843-1851</c:v>
                </c:pt>
                <c:pt idx="1">
                  <c:v>1852-1858</c:v>
                </c:pt>
                <c:pt idx="2">
                  <c:v>1859-1865</c:v>
                </c:pt>
                <c:pt idx="3">
                  <c:v>1866-1872</c:v>
                </c:pt>
                <c:pt idx="4">
                  <c:v>1873-1879</c:v>
                </c:pt>
                <c:pt idx="5">
                  <c:v>1880-1886</c:v>
                </c:pt>
                <c:pt idx="6">
                  <c:v>1887-1893</c:v>
                </c:pt>
                <c:pt idx="7">
                  <c:v>1894-1900</c:v>
                </c:pt>
                <c:pt idx="8">
                  <c:v>1901-1907</c:v>
                </c:pt>
                <c:pt idx="9">
                  <c:v>1908-1914</c:v>
                </c:pt>
                <c:pt idx="10">
                  <c:v>1915-1921</c:v>
                </c:pt>
                <c:pt idx="11">
                  <c:v>1922-1928</c:v>
                </c:pt>
                <c:pt idx="12">
                  <c:v>1929-1935</c:v>
                </c:pt>
                <c:pt idx="13">
                  <c:v>1936-1942</c:v>
                </c:pt>
                <c:pt idx="14">
                  <c:v>1943-1949</c:v>
                </c:pt>
                <c:pt idx="15">
                  <c:v>1950-1956</c:v>
                </c:pt>
                <c:pt idx="16">
                  <c:v>1957-1963</c:v>
                </c:pt>
                <c:pt idx="17">
                  <c:v>1964-1970</c:v>
                </c:pt>
                <c:pt idx="18">
                  <c:v>1971-1977</c:v>
                </c:pt>
                <c:pt idx="19">
                  <c:v>1978-1984</c:v>
                </c:pt>
                <c:pt idx="20">
                  <c:v>1985-1991</c:v>
                </c:pt>
                <c:pt idx="21">
                  <c:v>1992-1998</c:v>
                </c:pt>
                <c:pt idx="22">
                  <c:v>1999-2005</c:v>
                </c:pt>
                <c:pt idx="23">
                  <c:v>2006-2013</c:v>
                </c:pt>
              </c:strCache>
            </c:strRef>
          </c:cat>
          <c:val>
            <c:numRef>
              <c:f>ورقة1!$I$2:$I$25</c:f>
              <c:numCache>
                <c:formatCode>0.00</c:formatCode>
                <c:ptCount val="24"/>
                <c:pt idx="0">
                  <c:v>22.819999999999997</c:v>
                </c:pt>
                <c:pt idx="1">
                  <c:v>24.751428571428569</c:v>
                </c:pt>
                <c:pt idx="2">
                  <c:v>24.618571428571425</c:v>
                </c:pt>
                <c:pt idx="3">
                  <c:v>25.008571428571429</c:v>
                </c:pt>
                <c:pt idx="4">
                  <c:v>25.10857142857143</c:v>
                </c:pt>
                <c:pt idx="5">
                  <c:v>25.005714285714284</c:v>
                </c:pt>
                <c:pt idx="6">
                  <c:v>25.189999999999998</c:v>
                </c:pt>
                <c:pt idx="7">
                  <c:v>24.911428571428569</c:v>
                </c:pt>
                <c:pt idx="8">
                  <c:v>24.952857142857141</c:v>
                </c:pt>
                <c:pt idx="9">
                  <c:v>24.862857142857141</c:v>
                </c:pt>
                <c:pt idx="10">
                  <c:v>25.012857142857143</c:v>
                </c:pt>
                <c:pt idx="11">
                  <c:v>25.287142857142857</c:v>
                </c:pt>
                <c:pt idx="12">
                  <c:v>25.191428571428577</c:v>
                </c:pt>
                <c:pt idx="13">
                  <c:v>25.267142857142858</c:v>
                </c:pt>
                <c:pt idx="14">
                  <c:v>25.288571428571426</c:v>
                </c:pt>
                <c:pt idx="15">
                  <c:v>25.494285714285716</c:v>
                </c:pt>
                <c:pt idx="16">
                  <c:v>25.271428571428572</c:v>
                </c:pt>
                <c:pt idx="17">
                  <c:v>25.551428571428573</c:v>
                </c:pt>
                <c:pt idx="18">
                  <c:v>25.238571428571429</c:v>
                </c:pt>
                <c:pt idx="19">
                  <c:v>25.49285714285714</c:v>
                </c:pt>
                <c:pt idx="20">
                  <c:v>25.599999999999998</c:v>
                </c:pt>
                <c:pt idx="21">
                  <c:v>25.715714285714284</c:v>
                </c:pt>
                <c:pt idx="22">
                  <c:v>26.524285714285714</c:v>
                </c:pt>
                <c:pt idx="23">
                  <c:v>26.75375</c:v>
                </c:pt>
              </c:numCache>
            </c:numRef>
          </c:val>
          <c:smooth val="0"/>
          <c:extLst>
            <c:ext xmlns:c16="http://schemas.microsoft.com/office/drawing/2014/chart" uri="{C3380CC4-5D6E-409C-BE32-E72D297353CC}">
              <c16:uniqueId val="{00000000-769D-4CB2-8E1C-101CFBCA41ED}"/>
            </c:ext>
          </c:extLst>
        </c:ser>
        <c:ser>
          <c:idx val="1"/>
          <c:order val="1"/>
          <c:tx>
            <c:strRef>
              <c:f>ورقة1!$J$1</c:f>
              <c:strCache>
                <c:ptCount val="1"/>
                <c:pt idx="0">
                  <c:v>Global_ma</c:v>
                </c:pt>
              </c:strCache>
            </c:strRef>
          </c:tx>
          <c:spPr>
            <a:ln w="38100" cap="rnd">
              <a:solidFill>
                <a:schemeClr val="accent2"/>
              </a:solidFill>
              <a:round/>
            </a:ln>
            <a:effectLst/>
          </c:spPr>
          <c:marker>
            <c:symbol val="none"/>
          </c:marker>
          <c:cat>
            <c:strRef>
              <c:f>ورقة1!$H$2:$H$25</c:f>
              <c:strCache>
                <c:ptCount val="24"/>
                <c:pt idx="0">
                  <c:v>1843-1851</c:v>
                </c:pt>
                <c:pt idx="1">
                  <c:v>1852-1858</c:v>
                </c:pt>
                <c:pt idx="2">
                  <c:v>1859-1865</c:v>
                </c:pt>
                <c:pt idx="3">
                  <c:v>1866-1872</c:v>
                </c:pt>
                <c:pt idx="4">
                  <c:v>1873-1879</c:v>
                </c:pt>
                <c:pt idx="5">
                  <c:v>1880-1886</c:v>
                </c:pt>
                <c:pt idx="6">
                  <c:v>1887-1893</c:v>
                </c:pt>
                <c:pt idx="7">
                  <c:v>1894-1900</c:v>
                </c:pt>
                <c:pt idx="8">
                  <c:v>1901-1907</c:v>
                </c:pt>
                <c:pt idx="9">
                  <c:v>1908-1914</c:v>
                </c:pt>
                <c:pt idx="10">
                  <c:v>1915-1921</c:v>
                </c:pt>
                <c:pt idx="11">
                  <c:v>1922-1928</c:v>
                </c:pt>
                <c:pt idx="12">
                  <c:v>1929-1935</c:v>
                </c:pt>
                <c:pt idx="13">
                  <c:v>1936-1942</c:v>
                </c:pt>
                <c:pt idx="14">
                  <c:v>1943-1949</c:v>
                </c:pt>
                <c:pt idx="15">
                  <c:v>1950-1956</c:v>
                </c:pt>
                <c:pt idx="16">
                  <c:v>1957-1963</c:v>
                </c:pt>
                <c:pt idx="17">
                  <c:v>1964-1970</c:v>
                </c:pt>
                <c:pt idx="18">
                  <c:v>1971-1977</c:v>
                </c:pt>
                <c:pt idx="19">
                  <c:v>1978-1984</c:v>
                </c:pt>
                <c:pt idx="20">
                  <c:v>1985-1991</c:v>
                </c:pt>
                <c:pt idx="21">
                  <c:v>1992-1998</c:v>
                </c:pt>
                <c:pt idx="22">
                  <c:v>1999-2005</c:v>
                </c:pt>
                <c:pt idx="23">
                  <c:v>2006-2013</c:v>
                </c:pt>
              </c:strCache>
            </c:strRef>
          </c:cat>
          <c:val>
            <c:numRef>
              <c:f>ورقة1!$J$2:$J$25</c:f>
              <c:numCache>
                <c:formatCode>0.00</c:formatCode>
                <c:ptCount val="24"/>
                <c:pt idx="0">
                  <c:v>7.9585714285714291</c:v>
                </c:pt>
                <c:pt idx="1">
                  <c:v>8.0457142857142863</c:v>
                </c:pt>
                <c:pt idx="2">
                  <c:v>7.9842857142857158</c:v>
                </c:pt>
                <c:pt idx="3">
                  <c:v>8.274285714285714</c:v>
                </c:pt>
                <c:pt idx="4">
                  <c:v>8.3228571428571421</c:v>
                </c:pt>
                <c:pt idx="5">
                  <c:v>8.02</c:v>
                </c:pt>
                <c:pt idx="6">
                  <c:v>8.0628571428571441</c:v>
                </c:pt>
                <c:pt idx="7">
                  <c:v>8.27</c:v>
                </c:pt>
                <c:pt idx="8">
                  <c:v>8.2442857142857164</c:v>
                </c:pt>
                <c:pt idx="9">
                  <c:v>8.2614285714285707</c:v>
                </c:pt>
                <c:pt idx="10">
                  <c:v>8.3257142857142856</c:v>
                </c:pt>
                <c:pt idx="11">
                  <c:v>8.5357142857142847</c:v>
                </c:pt>
                <c:pt idx="12">
                  <c:v>8.5414285714285718</c:v>
                </c:pt>
                <c:pt idx="13">
                  <c:v>8.7328571428571422</c:v>
                </c:pt>
                <c:pt idx="14">
                  <c:v>8.7157142857142862</c:v>
                </c:pt>
                <c:pt idx="15">
                  <c:v>8.5685714285714294</c:v>
                </c:pt>
                <c:pt idx="16">
                  <c:v>8.7457142857142856</c:v>
                </c:pt>
                <c:pt idx="17">
                  <c:v>8.5799999999999983</c:v>
                </c:pt>
                <c:pt idx="18">
                  <c:v>8.6371428571428588</c:v>
                </c:pt>
                <c:pt idx="19">
                  <c:v>8.8471428571428579</c:v>
                </c:pt>
                <c:pt idx="20">
                  <c:v>9.0014285714285727</c:v>
                </c:pt>
                <c:pt idx="21">
                  <c:v>9.1228571428571428</c:v>
                </c:pt>
                <c:pt idx="22">
                  <c:v>9.4314285714285706</c:v>
                </c:pt>
                <c:pt idx="23">
                  <c:v>9.567499999999999</c:v>
                </c:pt>
              </c:numCache>
            </c:numRef>
          </c:val>
          <c:smooth val="0"/>
          <c:extLst>
            <c:ext xmlns:c16="http://schemas.microsoft.com/office/drawing/2014/chart" uri="{C3380CC4-5D6E-409C-BE32-E72D297353CC}">
              <c16:uniqueId val="{00000001-769D-4CB2-8E1C-101CFBCA41ED}"/>
            </c:ext>
          </c:extLst>
        </c:ser>
        <c:dLbls>
          <c:showLegendKey val="0"/>
          <c:showVal val="0"/>
          <c:showCatName val="0"/>
          <c:showSerName val="0"/>
          <c:showPercent val="0"/>
          <c:showBubbleSize val="0"/>
        </c:dLbls>
        <c:smooth val="0"/>
        <c:axId val="307698984"/>
        <c:axId val="307697344"/>
      </c:lineChart>
      <c:catAx>
        <c:axId val="3076989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Years using 7 MA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07697344"/>
        <c:crosses val="autoZero"/>
        <c:auto val="1"/>
        <c:lblAlgn val="ctr"/>
        <c:lblOffset val="100"/>
        <c:noMultiLvlLbl val="0"/>
      </c:catAx>
      <c:valAx>
        <c:axId val="307697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cap="all" baseline="0">
                    <a:effectLst/>
                  </a:rPr>
                  <a:t>Average Temperature</a:t>
                </a:r>
                <a:endParaRPr lang="en-US"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698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dc:creator>
  <cp:keywords/>
  <dc:description/>
  <cp:lastModifiedBy>Waleed ..</cp:lastModifiedBy>
  <cp:revision>2</cp:revision>
  <cp:lastPrinted>2020-04-29T19:36:00Z</cp:lastPrinted>
  <dcterms:created xsi:type="dcterms:W3CDTF">2020-04-29T19:36:00Z</dcterms:created>
  <dcterms:modified xsi:type="dcterms:W3CDTF">2020-04-29T19:36:00Z</dcterms:modified>
</cp:coreProperties>
</file>