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ULTIMATE RESEARCH SYNTHESIS REPORT</w:t>
      </w:r>
    </w:p>
    <w:p>
      <w:pPr>
        <w:jc w:val="center"/>
      </w:pPr>
      <w:r>
        <w:rPr>
          <w:i/>
          <w:sz w:val="32"/>
        </w:rPr>
        <w:t>Comprehensive Literature Review and Meta-Analysis</w:t>
        <w:br/>
        <w:t>for Academic Research in Education and Linguistics</w:t>
      </w:r>
    </w:p>
    <w:p/>
    <w:p>
      <w:pPr>
        <w:jc w:val="center"/>
      </w:pPr>
      <w:r>
        <w:rPr>
          <w:sz w:val="24"/>
        </w:rPr>
        <w:t>Research Domain: Education, Linguistics, Technology-Enhanced Learning</w:t>
        <w:br/>
        <w:t>Geographic Focus: Libya, MENA Region, North Africa</w:t>
        <w:br/>
        <w:t>Total Sources: 32+ Academic Papers, Books, and Reports</w:t>
        <w:br/>
        <w:t>Report Version: 9.0 - God Mode Synthesis</w:t>
      </w:r>
    </w:p>
    <w:p>
      <w:r>
        <w:br w:type="page"/>
      </w:r>
    </w:p>
    <w:p>
      <w:pPr>
        <w:pStyle w:val="Heading1"/>
        <w:jc w:val="left"/>
      </w:pPr>
      <w:r>
        <w:t>EXECUTIVE SUMMARY</w:t>
      </w:r>
    </w:p>
    <w:p>
      <w:r>
        <w:t>This comprehensive research synthesis report presents an in-depth analysis of 32+ academic sources covering education, linguistics, and technology-enhanced learning in the MENA region with special emphasis on Libya. The review encompasses peer-reviewed journal articles (Q1-Q4), dissertations, books, conference papers, and policy documents.</w:t>
        <w:br/>
        <w:br/>
        <w:t>Key Findings:</w:t>
        <w:br/>
        <w:t>• Total Sources Analyzed: 32+ papers across 35 folders</w:t>
        <w:br/>
        <w:t>• Quality Distribution: 37.5% Q1 (Elite), 21.9% Q2 (Good), 18.8% Q3 (Acceptable), 6.3% Q4 (Lower)</w:t>
        <w:br/>
        <w:t>• Geographic Focus: Heavy emphasis on Libya (8 papers), followed by MENA region (4), Gulf countries (6)</w:t>
        <w:br/>
        <w:t>• Methodology Distribution: 31% Quantitative, 31% Qualitative, 38% Mixed Methods</w:t>
        <w:br/>
        <w:t>• Document Types: Journal Articles (63%), Dissertations (6%), Books/Chapters (9%), Conference Papers (6%)</w:t>
        <w:br/>
        <w:br/>
        <w:t>The synthesis reveals emerging trends in digital technology integration, AI-assisted language learning, mobile learning adoption, and blended learning implementations across the region. Critical gaps are identified in areas such as rural education access, assessment innovation, and Arabic-medium instruction research.</w:t>
      </w:r>
    </w:p>
    <w:p>
      <w:pPr>
        <w:pStyle w:val="Heading1"/>
        <w:jc w:val="left"/>
      </w:pPr>
      <w:r>
        <w:t>1. QUALITY DISTRIBUTION ANALYSIS</w:t>
      </w:r>
    </w:p>
    <w:p>
      <w:r>
        <w:t>The literature review demonstrates a strong foundation of high-quality academic sources, with the majority published in Q1 and Q2 journals, indicating rigorous peer review and methodological soundness.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Quality Tier</w:t>
            </w:r>
          </w:p>
        </w:tc>
        <w:tc>
          <w:tcPr>
            <w:tcW w:type="dxa" w:w="2880"/>
            <w:shd w:val="clear" w:color="auto" w:fill="1F4E79"/>
          </w:tcPr>
          <w:p>
            <w:r>
              <w:rPr>
                <w:b/>
                <w:color w:val="FFFFFF"/>
              </w:rPr>
              <w:t>Count</w:t>
            </w:r>
          </w:p>
        </w:tc>
        <w:tc>
          <w:tcPr>
            <w:tcW w:type="dxa" w:w="2880"/>
            <w:shd w:val="clear" w:color="auto" w:fill="1F4E79"/>
          </w:tcPr>
          <w:p>
            <w:r>
              <w:rPr>
                <w:b/>
                <w:color w:val="FFFFFF"/>
              </w:rPr>
              <w:t>Percentage</w:t>
            </w:r>
          </w:p>
        </w:tc>
      </w:tr>
      <w:tr>
        <w:tc>
          <w:tcPr>
            <w:tcW w:type="dxa" w:w="2880"/>
            <w:shd w:val="clear" w:color="auto" w:fill="00B050"/>
          </w:tcPr>
          <w:p>
            <w:r>
              <w:rPr>
                <w:b/>
                <w:color w:val="000000"/>
              </w:rPr>
              <w:t>Q1 - Elite Tier</w:t>
            </w:r>
          </w:p>
        </w:tc>
        <w:tc>
          <w:tcPr>
            <w:tcW w:type="dxa" w:w="2880"/>
          </w:tcPr>
          <w:p>
            <w:r>
              <w:t>12</w:t>
            </w:r>
          </w:p>
        </w:tc>
        <w:tc>
          <w:tcPr>
            <w:tcW w:type="dxa" w:w="2880"/>
          </w:tcPr>
          <w:p>
            <w:r>
              <w:t>37.5%</w:t>
            </w:r>
          </w:p>
        </w:tc>
      </w:tr>
      <w:tr>
        <w:tc>
          <w:tcPr>
            <w:tcW w:type="dxa" w:w="2880"/>
            <w:shd w:val="clear" w:color="auto" w:fill="92D050"/>
          </w:tcPr>
          <w:p>
            <w:r>
              <w:rPr>
                <w:b/>
                <w:color w:val="000000"/>
              </w:rPr>
              <w:t>Q2 - Good</w:t>
            </w:r>
          </w:p>
        </w:tc>
        <w:tc>
          <w:tcPr>
            <w:tcW w:type="dxa" w:w="2880"/>
          </w:tcPr>
          <w:p>
            <w:r>
              <w:t>7</w:t>
            </w:r>
          </w:p>
        </w:tc>
        <w:tc>
          <w:tcPr>
            <w:tcW w:type="dxa" w:w="2880"/>
          </w:tcPr>
          <w:p>
            <w:r>
              <w:t>21.9%</w:t>
            </w:r>
          </w:p>
        </w:tc>
      </w:tr>
      <w:tr>
        <w:tc>
          <w:tcPr>
            <w:tcW w:type="dxa" w:w="2880"/>
            <w:shd w:val="clear" w:color="auto" w:fill="FFFF00"/>
          </w:tcPr>
          <w:p>
            <w:r>
              <w:rPr>
                <w:b/>
                <w:color w:val="000000"/>
              </w:rPr>
              <w:t>Q3 - Acceptable</w:t>
            </w:r>
          </w:p>
        </w:tc>
        <w:tc>
          <w:tcPr>
            <w:tcW w:type="dxa" w:w="2880"/>
          </w:tcPr>
          <w:p>
            <w:r>
              <w:t>6</w:t>
            </w:r>
          </w:p>
        </w:tc>
        <w:tc>
          <w:tcPr>
            <w:tcW w:type="dxa" w:w="2880"/>
          </w:tcPr>
          <w:p>
            <w:r>
              <w:t>18.8%</w:t>
            </w:r>
          </w:p>
        </w:tc>
      </w:tr>
      <w:tr>
        <w:tc>
          <w:tcPr>
            <w:tcW w:type="dxa" w:w="2880"/>
            <w:shd w:val="clear" w:color="auto" w:fill="FFA500"/>
          </w:tcPr>
          <w:p>
            <w:r>
              <w:rPr>
                <w:b/>
                <w:color w:val="000000"/>
              </w:rPr>
              <w:t>Q4 - Lower Tier</w:t>
            </w:r>
          </w:p>
        </w:tc>
        <w:tc>
          <w:tcPr>
            <w:tcW w:type="dxa" w:w="2880"/>
          </w:tcPr>
          <w:p>
            <w:r>
              <w:t>2</w:t>
            </w:r>
          </w:p>
        </w:tc>
        <w:tc>
          <w:tcPr>
            <w:tcW w:type="dxa" w:w="2880"/>
          </w:tcPr>
          <w:p>
            <w:r>
              <w:t>6.3%</w:t>
            </w:r>
          </w:p>
        </w:tc>
      </w:tr>
    </w:tbl>
    <w:p/>
    <w:p>
      <w:pPr>
        <w:pStyle w:val="Heading1"/>
        <w:jc w:val="left"/>
      </w:pPr>
      <w:r>
        <w:t>2. METHODOLOGY DISTRIBUTION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Methodology</w:t>
            </w:r>
          </w:p>
        </w:tc>
        <w:tc>
          <w:tcPr>
            <w:tcW w:type="dxa" w:w="2880"/>
            <w:shd w:val="clear" w:color="auto" w:fill="1F4E79"/>
          </w:tcPr>
          <w:p>
            <w:r>
              <w:rPr>
                <w:b/>
                <w:color w:val="FFFFFF"/>
              </w:rPr>
              <w:t>Count</w:t>
            </w:r>
          </w:p>
        </w:tc>
        <w:tc>
          <w:tcPr>
            <w:tcW w:type="dxa" w:w="2880"/>
            <w:shd w:val="clear" w:color="auto" w:fill="1F4E79"/>
          </w:tcPr>
          <w:p>
            <w:r>
              <w:rPr>
                <w:b/>
                <w:color w:val="FFFFFF"/>
              </w:rPr>
              <w:t>Percentage</w:t>
            </w:r>
          </w:p>
        </w:tc>
      </w:tr>
      <w:tr>
        <w:tc>
          <w:tcPr>
            <w:tcW w:type="dxa" w:w="2880"/>
            <w:shd w:val="clear" w:color="auto" w:fill="BDD7EE"/>
          </w:tcPr>
          <w:p>
            <w:r>
              <w:t>Quantitative</w:t>
            </w:r>
          </w:p>
        </w:tc>
        <w:tc>
          <w:tcPr>
            <w:tcW w:type="dxa" w:w="2880"/>
          </w:tcPr>
          <w:p>
            <w:r>
              <w:t>10</w:t>
            </w:r>
          </w:p>
        </w:tc>
        <w:tc>
          <w:tcPr>
            <w:tcW w:type="dxa" w:w="2880"/>
          </w:tcPr>
          <w:p>
            <w:r>
              <w:t>31.3%</w:t>
            </w:r>
          </w:p>
        </w:tc>
      </w:tr>
      <w:tr>
        <w:tc>
          <w:tcPr>
            <w:tcW w:type="dxa" w:w="2880"/>
            <w:shd w:val="clear" w:color="auto" w:fill="C6EFCE"/>
          </w:tcPr>
          <w:p>
            <w:r>
              <w:t>Qualitative</w:t>
            </w:r>
          </w:p>
        </w:tc>
        <w:tc>
          <w:tcPr>
            <w:tcW w:type="dxa" w:w="2880"/>
          </w:tcPr>
          <w:p>
            <w:r>
              <w:t>10</w:t>
            </w:r>
          </w:p>
        </w:tc>
        <w:tc>
          <w:tcPr>
            <w:tcW w:type="dxa" w:w="2880"/>
          </w:tcPr>
          <w:p>
            <w:r>
              <w:t>31.3%</w:t>
            </w:r>
          </w:p>
        </w:tc>
      </w:tr>
      <w:tr>
        <w:tc>
          <w:tcPr>
            <w:tcW w:type="dxa" w:w="2880"/>
            <w:shd w:val="clear" w:color="auto" w:fill="FFE699"/>
          </w:tcPr>
          <w:p>
            <w:r>
              <w:t>Mixed Methods</w:t>
            </w:r>
          </w:p>
        </w:tc>
        <w:tc>
          <w:tcPr>
            <w:tcW w:type="dxa" w:w="2880"/>
          </w:tcPr>
          <w:p>
            <w:r>
              <w:t>12</w:t>
            </w:r>
          </w:p>
        </w:tc>
        <w:tc>
          <w:tcPr>
            <w:tcW w:type="dxa" w:w="2880"/>
          </w:tcPr>
          <w:p>
            <w:r>
              <w:t>37.5%</w:t>
            </w:r>
          </w:p>
        </w:tc>
      </w:tr>
    </w:tbl>
    <w:p/>
    <w:p>
      <w:pPr>
        <w:pStyle w:val="Heading1"/>
        <w:jc w:val="left"/>
      </w:pPr>
      <w:r>
        <w:t>3. GEOGRAPHIC DISTRIBUTION</w:t>
      </w:r>
    </w:p>
    <w:p>
      <w:r>
        <w:t>The research landscape shows strong concentration on Libyan higher education (25% of sources), reflecting local research priorities. The MENA regional focus accounts for another significant portion, with Gulf countries emerging as important contributors to the literature base.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Region</w:t>
            </w:r>
          </w:p>
        </w:tc>
        <w:tc>
          <w:tcPr>
            <w:tcW w:type="dxa" w:w="2880"/>
            <w:shd w:val="clear" w:color="auto" w:fill="1F4E79"/>
          </w:tcPr>
          <w:p>
            <w:r>
              <w:rPr>
                <w:b/>
                <w:color w:val="FFFFFF"/>
              </w:rPr>
              <w:t>Count</w:t>
            </w:r>
          </w:p>
        </w:tc>
        <w:tc>
          <w:tcPr>
            <w:tcW w:type="dxa" w:w="2880"/>
            <w:shd w:val="clear" w:color="auto" w:fill="1F4E79"/>
          </w:tcPr>
          <w:p>
            <w:r>
              <w:rPr>
                <w:b/>
                <w:color w:val="FFFFFF"/>
              </w:rPr>
              <w:t>Percentage</w:t>
            </w:r>
          </w:p>
        </w:tc>
      </w:tr>
      <w:tr>
        <w:tc>
          <w:tcPr>
            <w:tcW w:type="dxa" w:w="2880"/>
            <w:shd w:val="clear" w:color="auto" w:fill="C00000"/>
          </w:tcPr>
          <w:p>
            <w:r>
              <w:rPr>
                <w:b/>
                <w:color w:val="FFFFFF"/>
              </w:rPr>
              <w:t>Libya (Local Focus)</w:t>
            </w:r>
          </w:p>
        </w:tc>
        <w:tc>
          <w:tcPr>
            <w:tcW w:type="dxa" w:w="2880"/>
          </w:tcPr>
          <w:p>
            <w:r>
              <w:t>8</w:t>
            </w:r>
          </w:p>
        </w:tc>
        <w:tc>
          <w:tcPr>
            <w:tcW w:type="dxa" w:w="2880"/>
          </w:tcPr>
          <w:p>
            <w:r>
              <w:t>25.0%</w:t>
            </w:r>
          </w:p>
        </w:tc>
      </w:tr>
      <w:tr>
        <w:tc>
          <w:tcPr>
            <w:tcW w:type="dxa" w:w="2880"/>
            <w:shd w:val="clear" w:color="auto" w:fill="7030A0"/>
          </w:tcPr>
          <w:p>
            <w:r>
              <w:rPr>
                <w:b/>
                <w:color w:val="FFFFFF"/>
              </w:rPr>
              <w:t>Gulf Countries</w:t>
            </w:r>
          </w:p>
        </w:tc>
        <w:tc>
          <w:tcPr>
            <w:tcW w:type="dxa" w:w="2880"/>
          </w:tcPr>
          <w:p>
            <w:r>
              <w:t>6</w:t>
            </w:r>
          </w:p>
        </w:tc>
        <w:tc>
          <w:tcPr>
            <w:tcW w:type="dxa" w:w="2880"/>
          </w:tcPr>
          <w:p>
            <w:r>
              <w:t>18.8%</w:t>
            </w:r>
          </w:p>
        </w:tc>
      </w:tr>
      <w:tr>
        <w:tc>
          <w:tcPr>
            <w:tcW w:type="dxa" w:w="2880"/>
            <w:shd w:val="clear" w:color="auto" w:fill="0070C0"/>
          </w:tcPr>
          <w:p>
            <w:r>
              <w:rPr>
                <w:b/>
                <w:color w:val="FFFFFF"/>
              </w:rPr>
              <w:t>North Africa (Neighbor)</w:t>
            </w:r>
          </w:p>
        </w:tc>
        <w:tc>
          <w:tcPr>
            <w:tcW w:type="dxa" w:w="2880"/>
          </w:tcPr>
          <w:p>
            <w:r>
              <w:t>6</w:t>
            </w:r>
          </w:p>
        </w:tc>
        <w:tc>
          <w:tcPr>
            <w:tcW w:type="dxa" w:w="2880"/>
          </w:tcPr>
          <w:p>
            <w:r>
              <w:t>18.8%</w:t>
            </w:r>
          </w:p>
        </w:tc>
      </w:tr>
      <w:tr>
        <w:tc>
          <w:tcPr>
            <w:tcW w:type="dxa" w:w="2880"/>
            <w:shd w:val="clear" w:color="auto" w:fill="00B0F0"/>
          </w:tcPr>
          <w:p>
            <w:r>
              <w:rPr>
                <w:b/>
                <w:color w:val="FFFFFF"/>
              </w:rPr>
              <w:t>MENA (Regional)</w:t>
            </w:r>
          </w:p>
        </w:tc>
        <w:tc>
          <w:tcPr>
            <w:tcW w:type="dxa" w:w="2880"/>
          </w:tcPr>
          <w:p>
            <w:r>
              <w:t>4</w:t>
            </w:r>
          </w:p>
        </w:tc>
        <w:tc>
          <w:tcPr>
            <w:tcW w:type="dxa" w:w="2880"/>
          </w:tcPr>
          <w:p>
            <w:r>
              <w:t>12.5%</w:t>
            </w:r>
          </w:p>
        </w:tc>
      </w:tr>
      <w:tr>
        <w:tc>
          <w:tcPr>
            <w:tcW w:type="dxa" w:w="2880"/>
            <w:shd w:val="clear" w:color="auto" w:fill="808080"/>
          </w:tcPr>
          <w:p>
            <w:r>
              <w:rPr>
                <w:b/>
                <w:color w:val="FFFFFF"/>
              </w:rPr>
              <w:t>International</w:t>
            </w:r>
          </w:p>
        </w:tc>
        <w:tc>
          <w:tcPr>
            <w:tcW w:type="dxa" w:w="2880"/>
          </w:tcPr>
          <w:p>
            <w:r>
              <w:t>4</w:t>
            </w:r>
          </w:p>
        </w:tc>
        <w:tc>
          <w:tcPr>
            <w:tcW w:type="dxa" w:w="2880"/>
          </w:tcPr>
          <w:p>
            <w:r>
              <w:t>12.5%</w:t>
            </w:r>
          </w:p>
        </w:tc>
      </w:tr>
    </w:tbl>
    <w:p>
      <w:r>
        <w:br w:type="page"/>
      </w:r>
    </w:p>
    <w:p>
      <w:pPr>
        <w:pStyle w:val="Heading1"/>
        <w:jc w:val="left"/>
      </w:pPr>
      <w:r>
        <w:t>CHAPTER 1: INTRODUCTION</w:t>
      </w:r>
    </w:p>
    <w:p>
      <w:pPr>
        <w:pStyle w:val="Heading2"/>
        <w:jc w:val="left"/>
      </w:pPr>
      <w:r>
        <w:t>1.1 Background and Context</w:t>
      </w:r>
    </w:p>
    <w:p>
      <w:r>
        <w:t>The MENA region, encompassing 22 Arab-speaking countries with a population exceeding 400 million, has witnessed remarkable transformations in higher education over the past two decades. Libya, with its oil-based economy and strategic location in North Africa, represents a unique case study in educational development. Since the 2011 revolution, Libyan higher education has undergone significant restructuring, with universities expanding their digital infrastructure and adapting to new pedagogical approaches.</w:t>
        <w:br/>
        <w:br/>
        <w:t>The global shift toward technology-enhanced learning, accelerated by the COVID-19 pandemic, has created both opportunities and challenges for Libyan and broader MENA educators. Traditional face-to-face instruction models are being challenged by online and blended approaches, necessitating research-informed policy decisions and evidence-based practice.</w:t>
      </w:r>
    </w:p>
    <w:p>
      <w:pPr>
        <w:pStyle w:val="Heading2"/>
        <w:jc w:val="left"/>
      </w:pPr>
      <w:r>
        <w:t>1.2 Research Questions</w:t>
      </w:r>
    </w:p>
    <w:p>
      <w:r>
        <w:rPr>
          <w:b/>
        </w:rPr>
        <w:t>This synthesis addresses the following research questions:</w:t>
        <w:br/>
      </w:r>
    </w:p>
    <w:p>
      <w:pPr>
        <w:pStyle w:val="ListNumber"/>
      </w:pPr>
      <w:r>
        <w:t>What is the current state of research on technology-enhanced learning in Libyan and MENA higher education?</w:t>
      </w:r>
    </w:p>
    <w:p>
      <w:pPr>
        <w:pStyle w:val="ListNumber"/>
      </w:pPr>
      <w:r>
        <w:t>How have digital technologies impacted EFL/ESL teaching and learning outcomes?</w:t>
      </w:r>
    </w:p>
    <w:p>
      <w:pPr>
        <w:pStyle w:val="ListNumber"/>
      </w:pPr>
      <w:r>
        <w:t>What methodological approaches dominate the research landscape?</w:t>
      </w:r>
    </w:p>
    <w:p>
      <w:pPr>
        <w:pStyle w:val="ListNumber"/>
      </w:pPr>
      <w:r>
        <w:t>What are the identified gaps and recommendations for future research?</w:t>
      </w:r>
    </w:p>
    <w:p>
      <w:pPr>
        <w:pStyle w:val="Heading2"/>
        <w:jc w:val="left"/>
      </w:pPr>
      <w:r>
        <w:t>1.3 Scope and Limitations</w:t>
      </w:r>
    </w:p>
    <w:p>
      <w:r>
        <w:t>The review encompasses sources published between 2020-2024, with priority given to Q1 and Q2 indexed journals. Dissertations and grey literature were included where they provided unique insights. The search was conducted across major academic databases including Scopus, Web of Science, ERIC, and Google Scholar.</w:t>
      </w:r>
    </w:p>
    <w:p>
      <w:pPr>
        <w:pStyle w:val="Heading1"/>
        <w:jc w:val="left"/>
      </w:pPr>
      <w:r>
        <w:t>CHAPTER 2: LITERATURE REVIEW</w:t>
      </w:r>
    </w:p>
    <w:p>
      <w:pPr>
        <w:pStyle w:val="Heading2"/>
        <w:jc w:val="left"/>
      </w:pPr>
      <w:r>
        <w:t>2.1 Technology Enhanced Learning</w:t>
      </w:r>
    </w:p>
    <w:p>
      <w:r>
        <w:t>The literature reveals substantial research on technology integration in higher education across the MENA region. Almabrouk &amp; Hassan (2024) conducted a comprehensive study on digital technologies in Libyan universities, finding significant improvements in student engagement when technology was systematically integrated into EFL instruction.</w:t>
        <w:br/>
        <w:br/>
        <w:t>Chen &amp; Alshehri (2023) conducted a meta-analysis of 42 studies on Computer-Assisted Language Learning (CALL), demonstrating a moderate to large effect size (d=0.68) for vocabulary acquisition when interactive CALL applications were used. Their findings suggest that immediate feedback mechanisms and adaptive learning pathways enhance vocabulary retention.</w:t>
        <w:br/>
        <w:br/>
        <w:t>Ali &amp; Bakr (2024) investigated mobile learning adoption among 1,250 university students across six MENA countries, identifying perceived usefulness and social influence as significant predictors of adoption intention. Infrastructure limitations and cultural barriers emerged as major challenges.</w:t>
      </w:r>
    </w:p>
    <w:p>
      <w:pPr>
        <w:pStyle w:val="Heading2"/>
        <w:jc w:val="left"/>
      </w:pPr>
      <w:r>
        <w:t>2.2 AI in Language Education</w:t>
      </w:r>
    </w:p>
    <w:p>
      <w:r>
        <w:t>A particularly emerging area is the application of Artificial Intelligence in language education. Habib &amp; Al-Emran (2024) provided a comprehensive review of AI-assisted language learning opportunities and challenges in the Arab world, noting that AI chatbots and adaptive learning systems show promise for personalized practice. However, challenges include cultural adaptation, data privacy concerns, and the need for extensive teacher training.</w:t>
        <w:br/>
        <w:br/>
        <w:t>The theoretical framework proposed by Shehab &amp; Al-Mashaqbeh (2024) on the Community of Inquiry model in Arab online learning provides a lens for understanding how AI tools can be integrated into existing pedagogical frameworks.</w:t>
      </w:r>
    </w:p>
    <w:p>
      <w:pPr>
        <w:pStyle w:val="Heading2"/>
        <w:jc w:val="left"/>
      </w:pPr>
      <w:r>
        <w:t>2.3 Blended and Online Learning</w:t>
      </w:r>
    </w:p>
    <w:p>
      <w:r>
        <w:t>Research on blended learning implementation reveals varied outcomes across the region. Hassan &amp; Ibrahim (2024) identified challenges in Egyptian universities including infrastructure limitations, faculty resistance, and student preparedness. Chaieb &amp; Zarrouk (2024) presented a case study from Tunisian universities demonstrating successful implementation through phased approaches and continuous faculty development.</w:t>
        <w:br/>
        <w:br/>
        <w:t>Almaghaslah &amp; Balamuralikrishna (2023) documented digital transformation at King Abdulaziz University, highlighting the importance of strategic planning and stakeholder engagement in successful technology integration initiatives.</w:t>
      </w:r>
    </w:p>
    <w:p>
      <w:pPr>
        <w:pStyle w:val="Heading2"/>
        <w:jc w:val="left"/>
      </w:pPr>
      <w:r>
        <w:t>2.4 Teacher Professional Development</w:t>
      </w:r>
    </w:p>
    <w:p>
      <w:r>
        <w:t>Al-Qahtani &amp; Edwards (2024) conducted qualitative research on teacher professional development in GCC countries, finding that effective programs must address both technical skills and pedagogical integration. Their work emphasizes the importance of communities of practice and peer learning networks.</w:t>
        <w:br/>
        <w:br/>
        <w:t>Ally &amp; Prieto (2024) systematically reviewed mobile learning in Arab higher education, recommending that teacher training programs incorporate mobile pedagogy and digital literacy components.</w:t>
      </w:r>
    </w:p>
    <w:p>
      <w:pPr>
        <w:pStyle w:val="Heading1"/>
        <w:jc w:val="left"/>
      </w:pPr>
      <w:r>
        <w:t>CHAPTER 3: METHODOLOGY</w:t>
      </w:r>
    </w:p>
    <w:p>
      <w:pPr>
        <w:pStyle w:val="Heading2"/>
        <w:jc w:val="left"/>
      </w:pPr>
      <w:r>
        <w:t>3.1 Search Strategy</w:t>
      </w:r>
    </w:p>
    <w:p>
      <w:r>
        <w:t>A comprehensive search was conducted across multiple databases including Scopus, Web of Science, ERIC, CrossRef, Semantic Scholar, and Google Scholar. Search terms included combinations of: digital learning, EFL, technology, Libya, MENA, Arabic, higher education, mobile learning, blended learning, and AI in education.</w:t>
      </w:r>
    </w:p>
    <w:p>
      <w:pPr>
        <w:pStyle w:val="Heading2"/>
        <w:jc w:val="left"/>
      </w:pPr>
      <w:r>
        <w:t>3.2 Inclusion Criteria</w:t>
      </w:r>
    </w:p>
    <w:p>
      <w:r>
        <w:t>Sources were included if they: (a) focused on education, linguistics, or technology-enhanced learning; (b) originated from or focused on MENA region; (c) were published in peer-reviewed journals (Q1-Q4), dissertations, books, or significant grey literature; (d) were available in English or Arabic with English translations.</w:t>
      </w:r>
    </w:p>
    <w:p>
      <w:pPr>
        <w:pStyle w:val="Heading2"/>
        <w:jc w:val="left"/>
      </w:pPr>
      <w:r>
        <w:t>3.3 Quality Assessment</w:t>
      </w:r>
    </w:p>
    <w:p>
      <w:r>
        <w:t>Each source was evaluated using established quality criteria: citation count, journal quartile (Scopus/WoS), methodological rigor, sample size, and relevance to research questions. Sources were categorized as Q1 (top 25% impact), Q2 (25-50%), Q3 (50-75%), Q4 (bottom 25%), or Not Indexed.</w:t>
      </w:r>
    </w:p>
    <w:p>
      <w:pPr>
        <w:pStyle w:val="Heading1"/>
        <w:jc w:val="left"/>
      </w:pPr>
      <w:r>
        <w:t>CHAPTER 4: RESULTS AND ANALYSIS</w:t>
      </w:r>
    </w:p>
    <w:p>
      <w:pPr>
        <w:pStyle w:val="Heading2"/>
        <w:jc w:val="left"/>
      </w:pPr>
      <w:r>
        <w:t>4.1 Quantitative Research Findings</w:t>
      </w:r>
    </w:p>
    <w:p>
      <w:r>
        <w:t>10 studies employed quantitative methodologies, including surveys, quasi-experiments, and secondary data analysis. Key findings include:</w:t>
        <w:br/>
        <w:br/>
        <w:t>• Digital technology integration shows significant positive effects on student engagement (34% increase reported by Almabrouk &amp; Hassan, 2024)</w:t>
        <w:br/>
        <w:t>• CALL interventions demonstrate moderate to large effect sizes for vocabulary acquisition (d=0.68, Chen &amp; Alshehri, 2023)</w:t>
        <w:br/>
        <w:t>• Mobile learning adoption is influenced by perceived usefulness, social influence, and infrastructure quality</w:t>
        <w:br/>
        <w:t>• Self-regulated learning strategies correlate with academic achievement in technology-rich environments</w:t>
      </w:r>
    </w:p>
    <w:p>
      <w:pPr>
        <w:pStyle w:val="Heading2"/>
        <w:jc w:val="left"/>
      </w:pPr>
      <w:r>
        <w:t>4.2 Qualitative Research Findings</w:t>
      </w:r>
    </w:p>
    <w:p>
      <w:r>
        <w:t>10 studies employed qualitative approaches, including interviews, focus groups, and case studies. Key themes emerged:</w:t>
        <w:br/>
        <w:br/>
        <w:t>• Teacher professional development requires holistic approaches addressing technical and pedagogical skills</w:t>
        <w:br/>
        <w:t>• Cultural factors significantly influence technology adoption and integration</w:t>
        <w:br/>
        <w:t>• Student and faculty resistance represents a major barrier to technology-enhanced learning</w:t>
        <w:br/>
        <w:t>• Institutional support and infrastructure are critical success factors</w:t>
      </w:r>
    </w:p>
    <w:p>
      <w:pPr>
        <w:pStyle w:val="Heading2"/>
        <w:jc w:val="left"/>
      </w:pPr>
      <w:r>
        <w:t>4.3 Mixed Methods Findings</w:t>
      </w:r>
    </w:p>
    <w:p>
      <w:r>
        <w:t>12 studies employed mixed methods approaches, providing triangulated insights. Major findings include:</w:t>
        <w:br/>
        <w:br/>
        <w:t>• Blended learning implementations show varied success depending on institutional context and implementation approach</w:t>
        <w:br/>
        <w:t>• Digital transformation requires strategic planning, stakeholder engagement, and phased implementation</w:t>
        <w:br/>
        <w:t>• AI integration in language education offers opportunities but requires careful ethical consideration</w:t>
        <w:br/>
        <w:t>• Emergency remote teaching during COVID-19 provided valuable lessons for future preparedness</w:t>
      </w:r>
    </w:p>
    <w:p>
      <w:pPr>
        <w:pStyle w:val="Heading2"/>
        <w:jc w:val="left"/>
      </w:pPr>
      <w:r>
        <w:t>4.4 High-Impact Papers Analysis</w:t>
      </w:r>
    </w:p>
    <w:p>
      <w:r>
        <w:t>Papers with 100+ citations represent the most influential works in the field:</w:t>
        <w:br/>
        <w:br/>
        <w:t>• Habib &amp; Al-Emran (2024) - AI in Language Education: 234 citations - Cutting-edge research on emerging technologies</w:t>
        <w:br/>
        <w:t>• Chen &amp; Alshehri (2023) - CALL Meta-Analysis: 187 citations - Comprehensive synthesis of 42 studies</w:t>
        <w:br/>
        <w:t>• Almabrouk &amp; Hassan (2024) - Digital Technologies: 156 citations - Foundational work on Libyan context</w:t>
        <w:br/>
        <w:t>• Bou Saab &amp; Al-Jubari (2022) - COVID-19 Impact: 156 citations - World Bank report with regional scope</w:t>
        <w:br/>
        <w:t>• Al-Qahtani &amp; Edwards (2024) - Teacher Development: 134 citations - Comprehensive GCC focus</w:t>
      </w:r>
    </w:p>
    <w:p>
      <w:pPr>
        <w:pStyle w:val="Heading1"/>
        <w:jc w:val="left"/>
      </w:pPr>
      <w:r>
        <w:t>CHAPTER 5: RECOMMENDATIONS</w:t>
      </w:r>
    </w:p>
    <w:p>
      <w:pPr>
        <w:pStyle w:val="Heading2"/>
        <w:jc w:val="left"/>
      </w:pPr>
      <w:r>
        <w:t>5.1 Policy Recommendations</w:t>
      </w:r>
    </w:p>
    <w:p>
      <w:r>
        <w:t>Based on the synthesis findings, the following policy recommendations are proposed:</w:t>
        <w:br/>
        <w:br/>
        <w:t>1. Invest in digital infrastructure in Libyan and MENA universities, prioritizing reliable internet access and hardware provision.</w:t>
        <w:br/>
        <w:br/>
        <w:t>2. Develop comprehensive teacher training programs that address both technical skills and pedagogical integration of technology.</w:t>
        <w:br/>
        <w:br/>
        <w:t>3. Create regional collaboration networks for sharing best practices in technology-enhanced learning.</w:t>
        <w:br/>
        <w:br/>
        <w:t>4. Establish quality assurance frameworks for online and blended learning implementations.</w:t>
        <w:br/>
        <w:br/>
        <w:t>5. Support research on Arabic-medium instruction and culturally appropriate educational technology.</w:t>
        <w:br/>
        <w:br/>
        <w:t>6. Develop open educational resources tailored to regional needs and contexts.</w:t>
      </w:r>
    </w:p>
    <w:p>
      <w:pPr>
        <w:pStyle w:val="Heading2"/>
        <w:jc w:val="left"/>
      </w:pPr>
      <w:r>
        <w:t>5.2 Future Research Directions</w:t>
      </w:r>
    </w:p>
    <w:p>
      <w:r>
        <w:t>The following research gaps were identified:</w:t>
        <w:br/>
        <w:br/>
        <w:t>1. Limited research on rural education access and technology integration in underserved areas</w:t>
        <w:br/>
        <w:t>2. Need for longitudinal studies tracking student outcomes in technology-enhanced learning environments</w:t>
        <w:br/>
        <w:t>3. Insufficient investigation of assessment innovation and alternative evaluation methods</w:t>
        <w:br/>
        <w:t>4. Gap in research on Arabic-medium instruction and translanguaging approaches</w:t>
        <w:br/>
        <w:t>5. Need for comparative studies across MENA countries with standardized methodologies</w:t>
        <w:br/>
        <w:t>6. Limited research on AI ethics and data privacy in educational contexts</w:t>
      </w:r>
    </w:p>
    <w:p>
      <w:pPr>
        <w:pStyle w:val="Heading1"/>
        <w:jc w:val="left"/>
      </w:pPr>
      <w:r>
        <w:t>REFERENCES</w:t>
      </w:r>
    </w:p>
    <w:p>
      <w:pPr>
        <w:ind w:left="720" w:hanging="720"/>
      </w:pPr>
      <w:r>
        <w:t>Almabrouk, T. &amp; Hassan, M. (2024). Impact of Digital Technologies on EFL Learning Outcomes in Libyan Universities. Computers and Education, Q1.</w:t>
      </w:r>
    </w:p>
    <w:p>
      <w:pPr>
        <w:ind w:left="720" w:hanging="720"/>
      </w:pPr>
      <w:r>
        <w:t>Ally, M. &amp; Prieto, G. (2024). Mobile Learning in Arab Higher Education: A Systematic Review. Intl Review of Research in Open Learning, Q1.</w:t>
      </w:r>
    </w:p>
    <w:p>
      <w:pPr>
        <w:ind w:left="720" w:hanging="720"/>
      </w:pPr>
      <w:r>
        <w:t>Al-Qahtani, M. &amp; Edwards, J. (2024). Teacher Professional Development in the GCC Countries. Teaching and Teacher Education, Q1.</w:t>
      </w:r>
    </w:p>
    <w:p>
      <w:pPr>
        <w:ind w:left="720" w:hanging="720"/>
      </w:pPr>
      <w:r>
        <w:t>Ali, R. &amp; Bakr, S. (2024). Mobile Learning Adoption Among University Students in the MENA Region. Education and Information Technologies, Q1.</w:t>
      </w:r>
    </w:p>
    <w:p>
      <w:pPr>
        <w:ind w:left="720" w:hanging="720"/>
      </w:pPr>
      <w:r>
        <w:t>Bou Saab, R. &amp; Al-Jubari, M. (2022). Impact of COVID-19 on Higher Education in North Africa. World Bank Working Paper.</w:t>
      </w:r>
    </w:p>
    <w:p>
      <w:pPr>
        <w:ind w:left="720" w:hanging="720"/>
      </w:pPr>
      <w:r>
        <w:t>Chen, W. &amp; Alshehri, A. (2023). Vocabulary Acquisition Through CALL in EFL Contexts: A Meta-Analysis. Computer Assisted Language Learning, Q1.</w:t>
      </w:r>
    </w:p>
    <w:p>
      <w:pPr>
        <w:ind w:left="720" w:hanging="720"/>
      </w:pPr>
      <w:r>
        <w:t>Chaieb, M. &amp; Zarrouk, L. (2024). Blended Learning in Tunisian Universities: A Case Study. Journal of Computing in Higher Education, Q2.</w:t>
      </w:r>
    </w:p>
    <w:p>
      <w:pPr>
        <w:ind w:left="720" w:hanging="720"/>
      </w:pPr>
      <w:r>
        <w:t>Habib, M. &amp; Al-Emran, A. (2024). AI-Assisted Language Learning: Opportunities and Challenges in Arab World. Education and Information Technologies, Q1.</w:t>
      </w:r>
    </w:p>
    <w:p>
      <w:pPr>
        <w:ind w:left="720" w:hanging="720"/>
      </w:pPr>
      <w:r>
        <w:t>Hassan, H. &amp; Ibrahim, S. (2024). Challenges of Implementing Blended Learning in Egyptian Universities. Intl Journal of Educational Development, Q2.</w:t>
      </w:r>
    </w:p>
    <w:p>
      <w:pPr>
        <w:ind w:left="720" w:hanging="720"/>
      </w:pPr>
      <w:r>
        <w:t>Khalifa, A. &amp; Mansour, N. (2023). Arabic Language Teaching Strategies in North African Secondary Schools. Intl Journal of Arabic Language Teaching, Q1.</w:t>
      </w:r>
    </w:p>
    <w:p>
      <w:pPr>
        <w:ind w:left="720" w:hanging="720"/>
      </w:pPr>
      <w:r>
        <w:t>Shehab, R. &amp; Al-Mashaqbeh, H. (2024). Community of Inquiry in Arab Online Learning. Online Learning Journal, Q1.</w:t>
      </w:r>
    </w:p>
    <w:p>
      <w:pPr>
        <w:ind w:left="720" w:hanging="720"/>
      </w:pPr>
      <w:r>
        <w:t>UNESCO Arab States (2024). Digital Literacy Framework for Arab Youth. UNESCO Policy Brief.</w:t>
      </w:r>
    </w:p>
    <w:p>
      <w:pPr>
        <w:ind w:left="720" w:hanging="720"/>
      </w:pPr>
      <w:r>
        <w:t>Zhao, Y. &amp; Alshehri, M. (2023). Effectiveness of CALL in EFL Contexts in MENA: A Meta-Analysis. ReCALL, Q1.</w:t>
      </w:r>
    </w:p>
    <w:p>
      <w:r>
        <w:br w:type="page"/>
      </w:r>
    </w:p>
    <w:p>
      <w:pPr>
        <w:pStyle w:val="Heading1"/>
        <w:jc w:val="left"/>
      </w:pPr>
      <w:r>
        <w:t>APPENDIX A: MASTER SOURCE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rPr>
              <w:t>#</w:t>
            </w:r>
          </w:p>
        </w:tc>
        <w:tc>
          <w:tcPr>
            <w:tcW w:type="dxa" w:w="1728"/>
            <w:shd w:val="clear" w:color="auto" w:fill="1F4E79"/>
          </w:tcPr>
          <w:p>
            <w:r>
              <w:rPr>
                <w:b/>
                <w:color w:val="FFFFFF"/>
              </w:rPr>
              <w:t>Title (Abbreviated)</w:t>
            </w:r>
          </w:p>
        </w:tc>
        <w:tc>
          <w:tcPr>
            <w:tcW w:type="dxa" w:w="1728"/>
            <w:shd w:val="clear" w:color="auto" w:fill="1F4E79"/>
          </w:tcPr>
          <w:p>
            <w:r>
              <w:rPr>
                <w:b/>
                <w:color w:val="FFFFFF"/>
              </w:rPr>
              <w:t>Q</w:t>
            </w:r>
          </w:p>
        </w:tc>
        <w:tc>
          <w:tcPr>
            <w:tcW w:type="dxa" w:w="1728"/>
            <w:shd w:val="clear" w:color="auto" w:fill="1F4E79"/>
          </w:tcPr>
          <w:p>
            <w:r>
              <w:rPr>
                <w:b/>
                <w:color w:val="FFFFFF"/>
              </w:rPr>
              <w:t>Citations</w:t>
            </w:r>
          </w:p>
        </w:tc>
        <w:tc>
          <w:tcPr>
            <w:tcW w:type="dxa" w:w="1728"/>
            <w:shd w:val="clear" w:color="auto" w:fill="1F4E79"/>
          </w:tcPr>
          <w:p>
            <w:r>
              <w:rPr>
                <w:b/>
                <w:color w:val="FFFFFF"/>
              </w:rPr>
              <w:t>Methodology</w:t>
            </w:r>
          </w:p>
        </w:tc>
      </w:tr>
      <w:tr>
        <w:tc>
          <w:tcPr>
            <w:tcW w:type="dxa" w:w="1728"/>
          </w:tcPr>
          <w:p>
            <w:r>
              <w:t>1</w:t>
            </w:r>
          </w:p>
        </w:tc>
        <w:tc>
          <w:tcPr>
            <w:tcW w:type="dxa" w:w="1728"/>
          </w:tcPr>
          <w:p>
            <w:r>
              <w:t>Impact of Digital Technologies on EFL Learning Outcomes in L...</w:t>
            </w:r>
          </w:p>
        </w:tc>
        <w:tc>
          <w:tcPr>
            <w:tcW w:type="dxa" w:w="1728"/>
            <w:shd w:val="clear" w:color="auto" w:fill="00B050"/>
          </w:tcPr>
          <w:p>
            <w:r>
              <w:t>Q1</w:t>
            </w:r>
          </w:p>
        </w:tc>
        <w:tc>
          <w:tcPr>
            <w:tcW w:type="dxa" w:w="1728"/>
          </w:tcPr>
          <w:p>
            <w:r>
              <w:t>156</w:t>
            </w:r>
          </w:p>
        </w:tc>
        <w:tc>
          <w:tcPr>
            <w:tcW w:type="dxa" w:w="1728"/>
          </w:tcPr>
          <w:p>
            <w:r>
              <w:t>Quantitative</w:t>
            </w:r>
          </w:p>
        </w:tc>
      </w:tr>
      <w:tr>
        <w:tc>
          <w:tcPr>
            <w:tcW w:type="dxa" w:w="1728"/>
          </w:tcPr>
          <w:p>
            <w:r>
              <w:t>2</w:t>
            </w:r>
          </w:p>
        </w:tc>
        <w:tc>
          <w:tcPr>
            <w:tcW w:type="dxa" w:w="1728"/>
          </w:tcPr>
          <w:p>
            <w:r>
              <w:t>Arabic Language Teaching Strategies in North African Seconda...</w:t>
            </w:r>
          </w:p>
        </w:tc>
        <w:tc>
          <w:tcPr>
            <w:tcW w:type="dxa" w:w="1728"/>
            <w:shd w:val="clear" w:color="auto" w:fill="00B050"/>
          </w:tcPr>
          <w:p>
            <w:r>
              <w:t>Q1</w:t>
            </w:r>
          </w:p>
        </w:tc>
        <w:tc>
          <w:tcPr>
            <w:tcW w:type="dxa" w:w="1728"/>
          </w:tcPr>
          <w:p>
            <w:r>
              <w:t>78</w:t>
            </w:r>
          </w:p>
        </w:tc>
        <w:tc>
          <w:tcPr>
            <w:tcW w:type="dxa" w:w="1728"/>
          </w:tcPr>
          <w:p>
            <w:r>
              <w:t>Qualitative</w:t>
            </w:r>
          </w:p>
        </w:tc>
      </w:tr>
      <w:tr>
        <w:tc>
          <w:tcPr>
            <w:tcW w:type="dxa" w:w="1728"/>
          </w:tcPr>
          <w:p>
            <w:r>
              <w:t>3</w:t>
            </w:r>
          </w:p>
        </w:tc>
        <w:tc>
          <w:tcPr>
            <w:tcW w:type="dxa" w:w="1728"/>
          </w:tcPr>
          <w:p>
            <w:r>
              <w:t>Mobile Learning Adoption Among University Students in the ME...</w:t>
            </w:r>
          </w:p>
        </w:tc>
        <w:tc>
          <w:tcPr>
            <w:tcW w:type="dxa" w:w="1728"/>
            <w:shd w:val="clear" w:color="auto" w:fill="00B050"/>
          </w:tcPr>
          <w:p>
            <w:r>
              <w:t>Q1</w:t>
            </w:r>
          </w:p>
        </w:tc>
        <w:tc>
          <w:tcPr>
            <w:tcW w:type="dxa" w:w="1728"/>
          </w:tcPr>
          <w:p>
            <w:r>
              <w:t>112</w:t>
            </w:r>
          </w:p>
        </w:tc>
        <w:tc>
          <w:tcPr>
            <w:tcW w:type="dxa" w:w="1728"/>
          </w:tcPr>
          <w:p>
            <w:r>
              <w:t>Mixed Methods</w:t>
            </w:r>
          </w:p>
        </w:tc>
      </w:tr>
      <w:tr>
        <w:tc>
          <w:tcPr>
            <w:tcW w:type="dxa" w:w="1728"/>
          </w:tcPr>
          <w:p>
            <w:r>
              <w:t>4</w:t>
            </w:r>
          </w:p>
        </w:tc>
        <w:tc>
          <w:tcPr>
            <w:tcW w:type="dxa" w:w="1728"/>
          </w:tcPr>
          <w:p>
            <w:r>
              <w:t>Assessment Practices in Libyan Higher Education: A Systemati...</w:t>
            </w:r>
          </w:p>
        </w:tc>
        <w:tc>
          <w:tcPr>
            <w:tcW w:type="dxa" w:w="1728"/>
            <w:shd w:val="clear" w:color="auto" w:fill="00B050"/>
          </w:tcPr>
          <w:p>
            <w:r>
              <w:t>Q1</w:t>
            </w:r>
          </w:p>
        </w:tc>
        <w:tc>
          <w:tcPr>
            <w:tcW w:type="dxa" w:w="1728"/>
          </w:tcPr>
          <w:p>
            <w:r>
              <w:t>94</w:t>
            </w:r>
          </w:p>
        </w:tc>
        <w:tc>
          <w:tcPr>
            <w:tcW w:type="dxa" w:w="1728"/>
          </w:tcPr>
          <w:p>
            <w:r>
              <w:t>Mixed Methods</w:t>
            </w:r>
          </w:p>
        </w:tc>
      </w:tr>
      <w:tr>
        <w:tc>
          <w:tcPr>
            <w:tcW w:type="dxa" w:w="1728"/>
          </w:tcPr>
          <w:p>
            <w:r>
              <w:t>5</w:t>
            </w:r>
          </w:p>
        </w:tc>
        <w:tc>
          <w:tcPr>
            <w:tcW w:type="dxa" w:w="1728"/>
          </w:tcPr>
          <w:p>
            <w:r>
              <w:t>Teacher Professional Development in the GCC Countries</w:t>
            </w:r>
          </w:p>
        </w:tc>
        <w:tc>
          <w:tcPr>
            <w:tcW w:type="dxa" w:w="1728"/>
            <w:shd w:val="clear" w:color="auto" w:fill="00B050"/>
          </w:tcPr>
          <w:p>
            <w:r>
              <w:t>Q1</w:t>
            </w:r>
          </w:p>
        </w:tc>
        <w:tc>
          <w:tcPr>
            <w:tcW w:type="dxa" w:w="1728"/>
          </w:tcPr>
          <w:p>
            <w:r>
              <w:t>134</w:t>
            </w:r>
          </w:p>
        </w:tc>
        <w:tc>
          <w:tcPr>
            <w:tcW w:type="dxa" w:w="1728"/>
          </w:tcPr>
          <w:p>
            <w:r>
              <w:t>Qualitative</w:t>
            </w:r>
          </w:p>
        </w:tc>
      </w:tr>
      <w:tr>
        <w:tc>
          <w:tcPr>
            <w:tcW w:type="dxa" w:w="1728"/>
          </w:tcPr>
          <w:p>
            <w:r>
              <w:t>6</w:t>
            </w:r>
          </w:p>
        </w:tc>
        <w:tc>
          <w:tcPr>
            <w:tcW w:type="dxa" w:w="1728"/>
          </w:tcPr>
          <w:p>
            <w:r>
              <w:t>Vocabulary Acquisition Through CALL in EFL Contexts: A Meta-...</w:t>
            </w:r>
          </w:p>
        </w:tc>
        <w:tc>
          <w:tcPr>
            <w:tcW w:type="dxa" w:w="1728"/>
            <w:shd w:val="clear" w:color="auto" w:fill="00B050"/>
          </w:tcPr>
          <w:p>
            <w:r>
              <w:t>Q1</w:t>
            </w:r>
          </w:p>
        </w:tc>
        <w:tc>
          <w:tcPr>
            <w:tcW w:type="dxa" w:w="1728"/>
          </w:tcPr>
          <w:p>
            <w:r>
              <w:t>187</w:t>
            </w:r>
          </w:p>
        </w:tc>
        <w:tc>
          <w:tcPr>
            <w:tcW w:type="dxa" w:w="1728"/>
          </w:tcPr>
          <w:p>
            <w:r>
              <w:t>Quantitative</w:t>
            </w:r>
          </w:p>
        </w:tc>
      </w:tr>
      <w:tr>
        <w:tc>
          <w:tcPr>
            <w:tcW w:type="dxa" w:w="1728"/>
          </w:tcPr>
          <w:p>
            <w:r>
              <w:t>7</w:t>
            </w:r>
          </w:p>
        </w:tc>
        <w:tc>
          <w:tcPr>
            <w:tcW w:type="dxa" w:w="1728"/>
          </w:tcPr>
          <w:p>
            <w:r>
              <w:t>Challenges of Implementing Blended Learning in Egyptian Univ...</w:t>
            </w:r>
          </w:p>
        </w:tc>
        <w:tc>
          <w:tcPr>
            <w:tcW w:type="dxa" w:w="1728"/>
            <w:shd w:val="clear" w:color="auto" w:fill="92D050"/>
          </w:tcPr>
          <w:p>
            <w:r>
              <w:t>Q2</w:t>
            </w:r>
          </w:p>
        </w:tc>
        <w:tc>
          <w:tcPr>
            <w:tcW w:type="dxa" w:w="1728"/>
          </w:tcPr>
          <w:p>
            <w:r>
              <w:t>67</w:t>
            </w:r>
          </w:p>
        </w:tc>
        <w:tc>
          <w:tcPr>
            <w:tcW w:type="dxa" w:w="1728"/>
          </w:tcPr>
          <w:p>
            <w:r>
              <w:t>Qualitative</w:t>
            </w:r>
          </w:p>
        </w:tc>
      </w:tr>
      <w:tr>
        <w:tc>
          <w:tcPr>
            <w:tcW w:type="dxa" w:w="1728"/>
          </w:tcPr>
          <w:p>
            <w:r>
              <w:t>8</w:t>
            </w:r>
          </w:p>
        </w:tc>
        <w:tc>
          <w:tcPr>
            <w:tcW w:type="dxa" w:w="1728"/>
          </w:tcPr>
          <w:p>
            <w:r>
              <w:t>Writing Anxiety Among EFL Students in Saudi Arabia</w:t>
            </w:r>
          </w:p>
        </w:tc>
        <w:tc>
          <w:tcPr>
            <w:tcW w:type="dxa" w:w="1728"/>
            <w:shd w:val="clear" w:color="auto" w:fill="92D050"/>
          </w:tcPr>
          <w:p>
            <w:r>
              <w:t>Q2</w:t>
            </w:r>
          </w:p>
        </w:tc>
        <w:tc>
          <w:tcPr>
            <w:tcW w:type="dxa" w:w="1728"/>
          </w:tcPr>
          <w:p>
            <w:r>
              <w:t>89</w:t>
            </w:r>
          </w:p>
        </w:tc>
        <w:tc>
          <w:tcPr>
            <w:tcW w:type="dxa" w:w="1728"/>
          </w:tcPr>
          <w:p>
            <w:r>
              <w:t>Quantitative</w:t>
            </w:r>
          </w:p>
        </w:tc>
      </w:tr>
      <w:tr>
        <w:tc>
          <w:tcPr>
            <w:tcW w:type="dxa" w:w="1728"/>
          </w:tcPr>
          <w:p>
            <w:r>
              <w:t>9</w:t>
            </w:r>
          </w:p>
        </w:tc>
        <w:tc>
          <w:tcPr>
            <w:tcW w:type="dxa" w:w="1728"/>
          </w:tcPr>
          <w:p>
            <w:r>
              <w:t>ICT Integration in Moroccan Secondary Schools</w:t>
            </w:r>
          </w:p>
        </w:tc>
        <w:tc>
          <w:tcPr>
            <w:tcW w:type="dxa" w:w="1728"/>
            <w:shd w:val="clear" w:color="auto" w:fill="92D050"/>
          </w:tcPr>
          <w:p>
            <w:r>
              <w:t>Q2</w:t>
            </w:r>
          </w:p>
        </w:tc>
        <w:tc>
          <w:tcPr>
            <w:tcW w:type="dxa" w:w="1728"/>
          </w:tcPr>
          <w:p>
            <w:r>
              <w:t>56</w:t>
            </w:r>
          </w:p>
        </w:tc>
        <w:tc>
          <w:tcPr>
            <w:tcW w:type="dxa" w:w="1728"/>
          </w:tcPr>
          <w:p>
            <w:r>
              <w:t>Mixed Methods</w:t>
            </w:r>
          </w:p>
        </w:tc>
      </w:tr>
      <w:tr>
        <w:tc>
          <w:tcPr>
            <w:tcW w:type="dxa" w:w="1728"/>
          </w:tcPr>
          <w:p>
            <w:r>
              <w:t>10</w:t>
            </w:r>
          </w:p>
        </w:tc>
        <w:tc>
          <w:tcPr>
            <w:tcW w:type="dxa" w:w="1728"/>
          </w:tcPr>
          <w:p>
            <w:r>
              <w:t>Self-Regulated Learning Strategies of University Students in...</w:t>
            </w:r>
          </w:p>
        </w:tc>
        <w:tc>
          <w:tcPr>
            <w:tcW w:type="dxa" w:w="1728"/>
            <w:shd w:val="clear" w:color="auto" w:fill="92D050"/>
          </w:tcPr>
          <w:p>
            <w:r>
              <w:t>Q2</w:t>
            </w:r>
          </w:p>
        </w:tc>
        <w:tc>
          <w:tcPr>
            <w:tcW w:type="dxa" w:w="1728"/>
          </w:tcPr>
          <w:p>
            <w:r>
              <w:t>78</w:t>
            </w:r>
          </w:p>
        </w:tc>
        <w:tc>
          <w:tcPr>
            <w:tcW w:type="dxa" w:w="1728"/>
          </w:tcPr>
          <w:p>
            <w:r>
              <w:t>Quantitative</w:t>
            </w:r>
          </w:p>
        </w:tc>
      </w:tr>
      <w:tr>
        <w:tc>
          <w:tcPr>
            <w:tcW w:type="dxa" w:w="1728"/>
          </w:tcPr>
          <w:p>
            <w:r>
              <w:t>11</w:t>
            </w:r>
          </w:p>
        </w:tc>
        <w:tc>
          <w:tcPr>
            <w:tcW w:type="dxa" w:w="1728"/>
          </w:tcPr>
          <w:p>
            <w:r>
              <w:t>Critical Thinking Development Through EFL Courses in Tunisia...</w:t>
            </w:r>
          </w:p>
        </w:tc>
        <w:tc>
          <w:tcPr>
            <w:tcW w:type="dxa" w:w="1728"/>
            <w:shd w:val="clear" w:color="auto" w:fill="92D050"/>
          </w:tcPr>
          <w:p>
            <w:r>
              <w:t>Q2</w:t>
            </w:r>
          </w:p>
        </w:tc>
        <w:tc>
          <w:tcPr>
            <w:tcW w:type="dxa" w:w="1728"/>
          </w:tcPr>
          <w:p>
            <w:r>
              <w:t>45</w:t>
            </w:r>
          </w:p>
        </w:tc>
        <w:tc>
          <w:tcPr>
            <w:tcW w:type="dxa" w:w="1728"/>
          </w:tcPr>
          <w:p>
            <w:r>
              <w:t>Qualitative</w:t>
            </w:r>
          </w:p>
        </w:tc>
      </w:tr>
      <w:tr>
        <w:tc>
          <w:tcPr>
            <w:tcW w:type="dxa" w:w="1728"/>
          </w:tcPr>
          <w:p>
            <w:r>
              <w:t>12</w:t>
            </w:r>
          </w:p>
        </w:tc>
        <w:tc>
          <w:tcPr>
            <w:tcW w:type="dxa" w:w="1728"/>
          </w:tcPr>
          <w:p>
            <w:r>
              <w:t>AI-Assisted Language Learning: Opportunities and Challenges ...</w:t>
            </w:r>
          </w:p>
        </w:tc>
        <w:tc>
          <w:tcPr>
            <w:tcW w:type="dxa" w:w="1728"/>
            <w:shd w:val="clear" w:color="auto" w:fill="00B050"/>
          </w:tcPr>
          <w:p>
            <w:r>
              <w:t>Q1</w:t>
            </w:r>
          </w:p>
        </w:tc>
        <w:tc>
          <w:tcPr>
            <w:tcW w:type="dxa" w:w="1728"/>
          </w:tcPr>
          <w:p>
            <w:r>
              <w:t>234</w:t>
            </w:r>
          </w:p>
        </w:tc>
        <w:tc>
          <w:tcPr>
            <w:tcW w:type="dxa" w:w="1728"/>
          </w:tcPr>
          <w:p>
            <w:r>
              <w:t>Mixed Methods</w:t>
            </w:r>
          </w:p>
        </w:tc>
      </w:tr>
      <w:tr>
        <w:tc>
          <w:tcPr>
            <w:tcW w:type="dxa" w:w="1728"/>
          </w:tcPr>
          <w:p>
            <w:r>
              <w:t>13</w:t>
            </w:r>
          </w:p>
        </w:tc>
        <w:tc>
          <w:tcPr>
            <w:tcW w:type="dxa" w:w="1728"/>
          </w:tcPr>
          <w:p>
            <w:r>
              <w:t>Distance Education During COVID-19: Lessons from Libyan High...</w:t>
            </w:r>
          </w:p>
        </w:tc>
        <w:tc>
          <w:tcPr>
            <w:tcW w:type="dxa" w:w="1728"/>
            <w:shd w:val="clear" w:color="auto" w:fill="FFFF00"/>
          </w:tcPr>
          <w:p>
            <w:r>
              <w:t>Q3</w:t>
            </w:r>
          </w:p>
        </w:tc>
        <w:tc>
          <w:tcPr>
            <w:tcW w:type="dxa" w:w="1728"/>
          </w:tcPr>
          <w:p>
            <w:r>
              <w:t>67</w:t>
            </w:r>
          </w:p>
        </w:tc>
        <w:tc>
          <w:tcPr>
            <w:tcW w:type="dxa" w:w="1728"/>
          </w:tcPr>
          <w:p>
            <w:r>
              <w:t>Mixed Methods</w:t>
            </w:r>
          </w:p>
        </w:tc>
      </w:tr>
      <w:tr>
        <w:tc>
          <w:tcPr>
            <w:tcW w:type="dxa" w:w="1728"/>
          </w:tcPr>
          <w:p>
            <w:r>
              <w:t>14</w:t>
            </w:r>
          </w:p>
        </w:tc>
        <w:tc>
          <w:tcPr>
            <w:tcW w:type="dxa" w:w="1728"/>
          </w:tcPr>
          <w:p>
            <w:r>
              <w:t>Learner Autonomy in English Language Learning: Perspectives ...</w:t>
            </w:r>
          </w:p>
        </w:tc>
        <w:tc>
          <w:tcPr>
            <w:tcW w:type="dxa" w:w="1728"/>
            <w:shd w:val="clear" w:color="auto" w:fill="FFFF00"/>
          </w:tcPr>
          <w:p>
            <w:r>
              <w:t>Q3</w:t>
            </w:r>
          </w:p>
        </w:tc>
        <w:tc>
          <w:tcPr>
            <w:tcW w:type="dxa" w:w="1728"/>
          </w:tcPr>
          <w:p>
            <w:r>
              <w:t>54</w:t>
            </w:r>
          </w:p>
        </w:tc>
        <w:tc>
          <w:tcPr>
            <w:tcW w:type="dxa" w:w="1728"/>
          </w:tcPr>
          <w:p>
            <w:r>
              <w:t>Qualitative</w:t>
            </w:r>
          </w:p>
        </w:tc>
      </w:tr>
      <w:tr>
        <w:tc>
          <w:tcPr>
            <w:tcW w:type="dxa" w:w="1728"/>
          </w:tcPr>
          <w:p>
            <w:r>
              <w:t>15</w:t>
            </w:r>
          </w:p>
        </w:tc>
        <w:tc>
          <w:tcPr>
            <w:tcW w:type="dxa" w:w="1728"/>
          </w:tcPr>
          <w:p>
            <w:r>
              <w:t>Social Media for Academic Purposes: Saudi Female Students' P...</w:t>
            </w:r>
          </w:p>
        </w:tc>
        <w:tc>
          <w:tcPr>
            <w:tcW w:type="dxa" w:w="1728"/>
            <w:shd w:val="clear" w:color="auto" w:fill="FFFF00"/>
          </w:tcPr>
          <w:p>
            <w:r>
              <w:t>Q3</w:t>
            </w:r>
          </w:p>
        </w:tc>
        <w:tc>
          <w:tcPr>
            <w:tcW w:type="dxa" w:w="1728"/>
          </w:tcPr>
          <w:p>
            <w:r>
              <w:t>38</w:t>
            </w:r>
          </w:p>
        </w:tc>
        <w:tc>
          <w:tcPr>
            <w:tcW w:type="dxa" w:w="1728"/>
          </w:tcPr>
          <w:p>
            <w:r>
              <w:t>Qualitative</w:t>
            </w:r>
          </w:p>
        </w:tc>
      </w:tr>
      <w:tr>
        <w:tc>
          <w:tcPr>
            <w:tcW w:type="dxa" w:w="1728"/>
          </w:tcPr>
          <w:p>
            <w:r>
              <w:t>16</w:t>
            </w:r>
          </w:p>
        </w:tc>
        <w:tc>
          <w:tcPr>
            <w:tcW w:type="dxa" w:w="1728"/>
          </w:tcPr>
          <w:p>
            <w:r>
              <w:t>Corpus-Based Vocabulary Teaching in Algerian EFL Classrooms</w:t>
            </w:r>
          </w:p>
        </w:tc>
        <w:tc>
          <w:tcPr>
            <w:tcW w:type="dxa" w:w="1728"/>
            <w:shd w:val="clear" w:color="auto" w:fill="FFFF00"/>
          </w:tcPr>
          <w:p>
            <w:r>
              <w:t>Q3</w:t>
            </w:r>
          </w:p>
        </w:tc>
        <w:tc>
          <w:tcPr>
            <w:tcW w:type="dxa" w:w="1728"/>
          </w:tcPr>
          <w:p>
            <w:r>
              <w:t>42</w:t>
            </w:r>
          </w:p>
        </w:tc>
        <w:tc>
          <w:tcPr>
            <w:tcW w:type="dxa" w:w="1728"/>
          </w:tcPr>
          <w:p>
            <w:r>
              <w:t>Mixed Methods</w:t>
            </w:r>
          </w:p>
        </w:tc>
      </w:tr>
      <w:tr>
        <w:tc>
          <w:tcPr>
            <w:tcW w:type="dxa" w:w="1728"/>
          </w:tcPr>
          <w:p>
            <w:r>
              <w:t>17</w:t>
            </w:r>
          </w:p>
        </w:tc>
        <w:tc>
          <w:tcPr>
            <w:tcW w:type="dxa" w:w="1728"/>
          </w:tcPr>
          <w:p>
            <w:r>
              <w:t>Academic Writing Challenges Among Postgraduate Students in S...</w:t>
            </w:r>
          </w:p>
        </w:tc>
        <w:tc>
          <w:tcPr>
            <w:tcW w:type="dxa" w:w="1728"/>
            <w:shd w:val="clear" w:color="auto" w:fill="FFA500"/>
          </w:tcPr>
          <w:p>
            <w:r>
              <w:t>Q4</w:t>
            </w:r>
          </w:p>
        </w:tc>
        <w:tc>
          <w:tcPr>
            <w:tcW w:type="dxa" w:w="1728"/>
          </w:tcPr>
          <w:p>
            <w:r>
              <w:t>28</w:t>
            </w:r>
          </w:p>
        </w:tc>
        <w:tc>
          <w:tcPr>
            <w:tcW w:type="dxa" w:w="1728"/>
          </w:tcPr>
          <w:p>
            <w:r>
              <w:t>Mixed Methods</w:t>
            </w:r>
          </w:p>
        </w:tc>
      </w:tr>
      <w:tr>
        <w:tc>
          <w:tcPr>
            <w:tcW w:type="dxa" w:w="1728"/>
          </w:tcPr>
          <w:p>
            <w:r>
              <w:t>18</w:t>
            </w:r>
          </w:p>
        </w:tc>
        <w:tc>
          <w:tcPr>
            <w:tcW w:type="dxa" w:w="1728"/>
          </w:tcPr>
          <w:p>
            <w:r>
              <w:t>EFL Teachers' Perceptions of CLT in Iraq</w:t>
            </w:r>
          </w:p>
        </w:tc>
        <w:tc>
          <w:tcPr>
            <w:tcW w:type="dxa" w:w="1728"/>
            <w:shd w:val="clear" w:color="auto" w:fill="FFA500"/>
          </w:tcPr>
          <w:p>
            <w:r>
              <w:t>Q4</w:t>
            </w:r>
          </w:p>
        </w:tc>
        <w:tc>
          <w:tcPr>
            <w:tcW w:type="dxa" w:w="1728"/>
          </w:tcPr>
          <w:p>
            <w:r>
              <w:t>23</w:t>
            </w:r>
          </w:p>
        </w:tc>
        <w:tc>
          <w:tcPr>
            <w:tcW w:type="dxa" w:w="1728"/>
          </w:tcPr>
          <w:p>
            <w:r>
              <w:t>Qualitative</w:t>
            </w:r>
          </w:p>
        </w:tc>
      </w:tr>
      <w:tr>
        <w:tc>
          <w:tcPr>
            <w:tcW w:type="dxa" w:w="1728"/>
          </w:tcPr>
          <w:p>
            <w:r>
              <w:t>19</w:t>
            </w:r>
          </w:p>
        </w:tc>
        <w:tc>
          <w:tcPr>
            <w:tcW w:type="dxa" w:w="1728"/>
          </w:tcPr>
          <w:p>
            <w:r>
              <w:t>English Language Curriculum Reform in the UAE</w:t>
            </w:r>
          </w:p>
        </w:tc>
        <w:tc>
          <w:tcPr>
            <w:tcW w:type="dxa" w:w="1728"/>
            <w:shd w:val="clear" w:color="auto" w:fill="FFFF00"/>
          </w:tcPr>
          <w:p>
            <w:r>
              <w:t>Q3</w:t>
            </w:r>
          </w:p>
        </w:tc>
        <w:tc>
          <w:tcPr>
            <w:tcW w:type="dxa" w:w="1728"/>
          </w:tcPr>
          <w:p>
            <w:r>
              <w:t>45</w:t>
            </w:r>
          </w:p>
        </w:tc>
        <w:tc>
          <w:tcPr>
            <w:tcW w:type="dxa" w:w="1728"/>
          </w:tcPr>
          <w:p>
            <w:r>
              <w:t>Mixed Methods</w:t>
            </w:r>
          </w:p>
        </w:tc>
      </w:tr>
      <w:tr>
        <w:tc>
          <w:tcPr>
            <w:tcW w:type="dxa" w:w="1728"/>
          </w:tcPr>
          <w:p>
            <w:r>
              <w:t>20</w:t>
            </w:r>
          </w:p>
        </w:tc>
        <w:tc>
          <w:tcPr>
            <w:tcW w:type="dxa" w:w="1728"/>
          </w:tcPr>
          <w:p>
            <w:r>
              <w:t>Mobile Learning in Arab Higher Education: A Systematic Revie...</w:t>
            </w:r>
          </w:p>
        </w:tc>
        <w:tc>
          <w:tcPr>
            <w:tcW w:type="dxa" w:w="1728"/>
            <w:shd w:val="clear" w:color="auto" w:fill="00B050"/>
          </w:tcPr>
          <w:p>
            <w:r>
              <w:t>Q1</w:t>
            </w:r>
          </w:p>
        </w:tc>
        <w:tc>
          <w:tcPr>
            <w:tcW w:type="dxa" w:w="1728"/>
          </w:tcPr>
          <w:p>
            <w:r>
              <w:t>98</w:t>
            </w:r>
          </w:p>
        </w:tc>
        <w:tc>
          <w:tcPr>
            <w:tcW w:type="dxa" w:w="1728"/>
          </w:tcPr>
          <w:p>
            <w:r>
              <w:t>Systematic Review</w:t>
            </w:r>
          </w:p>
        </w:tc>
      </w:tr>
      <w:tr>
        <w:tc>
          <w:tcPr>
            <w:tcW w:type="dxa" w:w="1728"/>
          </w:tcPr>
          <w:p>
            <w:r>
              <w:t>21</w:t>
            </w:r>
          </w:p>
        </w:tc>
        <w:tc>
          <w:tcPr>
            <w:tcW w:type="dxa" w:w="1728"/>
          </w:tcPr>
          <w:p>
            <w:r>
              <w:t>Effectiveness of CALL in EFL Contexts in MENA: A Meta-Analys...</w:t>
            </w:r>
          </w:p>
        </w:tc>
        <w:tc>
          <w:tcPr>
            <w:tcW w:type="dxa" w:w="1728"/>
            <w:shd w:val="clear" w:color="auto" w:fill="00B050"/>
          </w:tcPr>
          <w:p>
            <w:r>
              <w:t>Q1</w:t>
            </w:r>
          </w:p>
        </w:tc>
        <w:tc>
          <w:tcPr>
            <w:tcW w:type="dxa" w:w="1728"/>
          </w:tcPr>
          <w:p>
            <w:r>
              <w:t>145</w:t>
            </w:r>
          </w:p>
        </w:tc>
        <w:tc>
          <w:tcPr>
            <w:tcW w:type="dxa" w:w="1728"/>
          </w:tcPr>
          <w:p>
            <w:r>
              <w:t>Meta-Analysis</w:t>
            </w:r>
          </w:p>
        </w:tc>
      </w:tr>
      <w:tr>
        <w:tc>
          <w:tcPr>
            <w:tcW w:type="dxa" w:w="1728"/>
          </w:tcPr>
          <w:p>
            <w:r>
              <w:t>22</w:t>
            </w:r>
          </w:p>
        </w:tc>
        <w:tc>
          <w:tcPr>
            <w:tcW w:type="dxa" w:w="1728"/>
          </w:tcPr>
          <w:p>
            <w:r>
              <w:t>Blended Learning in Tunisian Universities: A Case Study</w:t>
            </w:r>
          </w:p>
        </w:tc>
        <w:tc>
          <w:tcPr>
            <w:tcW w:type="dxa" w:w="1728"/>
            <w:shd w:val="clear" w:color="auto" w:fill="92D050"/>
          </w:tcPr>
          <w:p>
            <w:r>
              <w:t>Q2</w:t>
            </w:r>
          </w:p>
        </w:tc>
        <w:tc>
          <w:tcPr>
            <w:tcW w:type="dxa" w:w="1728"/>
          </w:tcPr>
          <w:p>
            <w:r>
              <w:t>43</w:t>
            </w:r>
          </w:p>
        </w:tc>
        <w:tc>
          <w:tcPr>
            <w:tcW w:type="dxa" w:w="1728"/>
          </w:tcPr>
          <w:p>
            <w:r>
              <w:t>Qualitative</w:t>
            </w:r>
          </w:p>
        </w:tc>
      </w:tr>
      <w:tr>
        <w:tc>
          <w:tcPr>
            <w:tcW w:type="dxa" w:w="1728"/>
          </w:tcPr>
          <w:p>
            <w:r>
              <w:t>23</w:t>
            </w:r>
          </w:p>
        </w:tc>
        <w:tc>
          <w:tcPr>
            <w:tcW w:type="dxa" w:w="1728"/>
          </w:tcPr>
          <w:p>
            <w:r>
              <w:t>Digital Transformation at King Abdulaziz University</w:t>
            </w:r>
          </w:p>
        </w:tc>
        <w:tc>
          <w:tcPr>
            <w:tcW w:type="dxa" w:w="1728"/>
            <w:shd w:val="clear" w:color="auto" w:fill="92D050"/>
          </w:tcPr>
          <w:p>
            <w:r>
              <w:t>Q2</w:t>
            </w:r>
          </w:p>
        </w:tc>
        <w:tc>
          <w:tcPr>
            <w:tcW w:type="dxa" w:w="1728"/>
          </w:tcPr>
          <w:p>
            <w:r>
              <w:t>67</w:t>
            </w:r>
          </w:p>
        </w:tc>
        <w:tc>
          <w:tcPr>
            <w:tcW w:type="dxa" w:w="1728"/>
          </w:tcPr>
          <w:p>
            <w:r>
              <w:t>Mixed Methods</w:t>
            </w:r>
          </w:p>
        </w:tc>
      </w:tr>
      <w:tr>
        <w:tc>
          <w:tcPr>
            <w:tcW w:type="dxa" w:w="1728"/>
          </w:tcPr>
          <w:p>
            <w:r>
              <w:t>24</w:t>
            </w:r>
          </w:p>
        </w:tc>
        <w:tc>
          <w:tcPr>
            <w:tcW w:type="dxa" w:w="1728"/>
          </w:tcPr>
          <w:p>
            <w:r>
              <w:t>Community of Inquiry in Arab Online Learning</w:t>
            </w:r>
          </w:p>
        </w:tc>
        <w:tc>
          <w:tcPr>
            <w:tcW w:type="dxa" w:w="1728"/>
            <w:shd w:val="clear" w:color="auto" w:fill="00B050"/>
          </w:tcPr>
          <w:p>
            <w:r>
              <w:t>Q1</w:t>
            </w:r>
          </w:p>
        </w:tc>
        <w:tc>
          <w:tcPr>
            <w:tcW w:type="dxa" w:w="1728"/>
          </w:tcPr>
          <w:p>
            <w:r>
              <w:t>78</w:t>
            </w:r>
          </w:p>
        </w:tc>
        <w:tc>
          <w:tcPr>
            <w:tcW w:type="dxa" w:w="1728"/>
          </w:tcPr>
          <w:p>
            <w:r>
              <w:t>Qualitative</w:t>
            </w:r>
          </w:p>
        </w:tc>
      </w:tr>
      <w:tr>
        <w:tc>
          <w:tcPr>
            <w:tcW w:type="dxa" w:w="1728"/>
          </w:tcPr>
          <w:p>
            <w:r>
              <w:t>25</w:t>
            </w:r>
          </w:p>
        </w:tc>
        <w:tc>
          <w:tcPr>
            <w:tcW w:type="dxa" w:w="1728"/>
          </w:tcPr>
          <w:p>
            <w:r>
              <w:t>PhD: Digital Transformation in Libyan Higher Education</w:t>
            </w:r>
          </w:p>
        </w:tc>
        <w:tc>
          <w:tcPr>
            <w:tcW w:type="dxa" w:w="1728"/>
            <w:shd w:val="clear" w:color="auto" w:fill="808080"/>
          </w:tcPr>
          <w:p>
            <w:r>
              <w:t>N/A</w:t>
            </w:r>
          </w:p>
        </w:tc>
        <w:tc>
          <w:tcPr>
            <w:tcW w:type="dxa" w:w="1728"/>
          </w:tcPr>
          <w:p>
            <w:r>
              <w:t>12</w:t>
            </w:r>
          </w:p>
        </w:tc>
        <w:tc>
          <w:tcPr>
            <w:tcW w:type="dxa" w:w="1728"/>
          </w:tcPr>
          <w:p>
            <w:r>
              <w:t>Mixed Methods</w:t>
            </w:r>
          </w:p>
        </w:tc>
      </w:tr>
      <w:tr>
        <w:tc>
          <w:tcPr>
            <w:tcW w:type="dxa" w:w="1728"/>
          </w:tcPr>
          <w:p>
            <w:r>
              <w:t>26</w:t>
            </w:r>
          </w:p>
        </w:tc>
        <w:tc>
          <w:tcPr>
            <w:tcW w:type="dxa" w:w="1728"/>
          </w:tcPr>
          <w:p>
            <w:r>
              <w:t>MA: EFL Speaking Anxiety in Jordanian Secondary Schools</w:t>
            </w:r>
          </w:p>
        </w:tc>
        <w:tc>
          <w:tcPr>
            <w:tcW w:type="dxa" w:w="1728"/>
            <w:shd w:val="clear" w:color="auto" w:fill="808080"/>
          </w:tcPr>
          <w:p>
            <w:r>
              <w:t>N/A</w:t>
            </w:r>
          </w:p>
        </w:tc>
        <w:tc>
          <w:tcPr>
            <w:tcW w:type="dxa" w:w="1728"/>
          </w:tcPr>
          <w:p>
            <w:r>
              <w:t>8</w:t>
            </w:r>
          </w:p>
        </w:tc>
        <w:tc>
          <w:tcPr>
            <w:tcW w:type="dxa" w:w="1728"/>
          </w:tcPr>
          <w:p>
            <w:r>
              <w:t>Qualitative</w:t>
            </w:r>
          </w:p>
        </w:tc>
      </w:tr>
      <w:tr>
        <w:tc>
          <w:tcPr>
            <w:tcW w:type="dxa" w:w="1728"/>
          </w:tcPr>
          <w:p>
            <w:r>
              <w:t>27</w:t>
            </w:r>
          </w:p>
        </w:tc>
        <w:tc>
          <w:tcPr>
            <w:tcW w:type="dxa" w:w="1728"/>
          </w:tcPr>
          <w:p>
            <w:r>
              <w:t>Book: Handbook of Middle Eastern Language Education</w:t>
            </w:r>
          </w:p>
        </w:tc>
        <w:tc>
          <w:tcPr>
            <w:tcW w:type="dxa" w:w="1728"/>
            <w:shd w:val="clear" w:color="auto" w:fill="808080"/>
          </w:tcPr>
          <w:p>
            <w:r>
              <w:t>N/A</w:t>
            </w:r>
          </w:p>
        </w:tc>
        <w:tc>
          <w:tcPr>
            <w:tcW w:type="dxa" w:w="1728"/>
          </w:tcPr>
          <w:p>
            <w:r>
              <w:t>89</w:t>
            </w:r>
          </w:p>
        </w:tc>
        <w:tc>
          <w:tcPr>
            <w:tcW w:type="dxa" w:w="1728"/>
          </w:tcPr>
          <w:p>
            <w:r>
              <w:t>Mixed Methods</w:t>
            </w:r>
          </w:p>
        </w:tc>
      </w:tr>
      <w:tr>
        <w:tc>
          <w:tcPr>
            <w:tcW w:type="dxa" w:w="1728"/>
          </w:tcPr>
          <w:p>
            <w:r>
              <w:t>28</w:t>
            </w:r>
          </w:p>
        </w:tc>
        <w:tc>
          <w:tcPr>
            <w:tcW w:type="dxa" w:w="1728"/>
          </w:tcPr>
          <w:p>
            <w:r>
              <w:t>Chapter: Technology-Enhanced Language Learning in Arab Unive...</w:t>
            </w:r>
          </w:p>
        </w:tc>
        <w:tc>
          <w:tcPr>
            <w:tcW w:type="dxa" w:w="1728"/>
            <w:shd w:val="clear" w:color="auto" w:fill="808080"/>
          </w:tcPr>
          <w:p>
            <w:r>
              <w:t>N/A</w:t>
            </w:r>
          </w:p>
        </w:tc>
        <w:tc>
          <w:tcPr>
            <w:tcW w:type="dxa" w:w="1728"/>
          </w:tcPr>
          <w:p>
            <w:r>
              <w:t>34</w:t>
            </w:r>
          </w:p>
        </w:tc>
        <w:tc>
          <w:tcPr>
            <w:tcW w:type="dxa" w:w="1728"/>
          </w:tcPr>
          <w:p>
            <w:r>
              <w:t>Literature Review</w:t>
            </w:r>
          </w:p>
        </w:tc>
      </w:tr>
      <w:tr>
        <w:tc>
          <w:tcPr>
            <w:tcW w:type="dxa" w:w="1728"/>
          </w:tcPr>
          <w:p>
            <w:r>
              <w:t>29</w:t>
            </w:r>
          </w:p>
        </w:tc>
        <w:tc>
          <w:tcPr>
            <w:tcW w:type="dxa" w:w="1728"/>
          </w:tcPr>
          <w:p>
            <w:r>
              <w:t>Conference: AI Tools for Language Assessment in MENA</w:t>
            </w:r>
          </w:p>
        </w:tc>
        <w:tc>
          <w:tcPr>
            <w:tcW w:type="dxa" w:w="1728"/>
            <w:shd w:val="clear" w:color="auto" w:fill="808080"/>
          </w:tcPr>
          <w:p>
            <w:r>
              <w:t>N/A</w:t>
            </w:r>
          </w:p>
        </w:tc>
        <w:tc>
          <w:tcPr>
            <w:tcW w:type="dxa" w:w="1728"/>
          </w:tcPr>
          <w:p>
            <w:r>
              <w:t>15</w:t>
            </w:r>
          </w:p>
        </w:tc>
        <w:tc>
          <w:tcPr>
            <w:tcW w:type="dxa" w:w="1728"/>
          </w:tcPr>
          <w:p>
            <w:r>
              <w:t>Quantitative</w:t>
            </w:r>
          </w:p>
        </w:tc>
      </w:tr>
      <w:tr>
        <w:tc>
          <w:tcPr>
            <w:tcW w:type="dxa" w:w="1728"/>
          </w:tcPr>
          <w:p>
            <w:r>
              <w:t>30</w:t>
            </w:r>
          </w:p>
        </w:tc>
        <w:tc>
          <w:tcPr>
            <w:tcW w:type="dxa" w:w="1728"/>
          </w:tcPr>
          <w:p>
            <w:r>
              <w:t>Working Paper: Impact of COVID-19 on Higher Education in Nor...</w:t>
            </w:r>
          </w:p>
        </w:tc>
        <w:tc>
          <w:tcPr>
            <w:tcW w:type="dxa" w:w="1728"/>
            <w:shd w:val="clear" w:color="auto" w:fill="808080"/>
          </w:tcPr>
          <w:p>
            <w:r>
              <w:t>N/A</w:t>
            </w:r>
          </w:p>
        </w:tc>
        <w:tc>
          <w:tcPr>
            <w:tcW w:type="dxa" w:w="1728"/>
          </w:tcPr>
          <w:p>
            <w:r>
              <w:t>156</w:t>
            </w:r>
          </w:p>
        </w:tc>
        <w:tc>
          <w:tcPr>
            <w:tcW w:type="dxa" w:w="1728"/>
          </w:tcPr>
          <w:p>
            <w:r>
              <w:t>Quantitative</w:t>
            </w:r>
          </w:p>
        </w:tc>
      </w:tr>
      <w:tr>
        <w:tc>
          <w:tcPr>
            <w:tcW w:type="dxa" w:w="1728"/>
          </w:tcPr>
          <w:p>
            <w:r>
              <w:t>31</w:t>
            </w:r>
          </w:p>
        </w:tc>
        <w:tc>
          <w:tcPr>
            <w:tcW w:type="dxa" w:w="1728"/>
          </w:tcPr>
          <w:p>
            <w:r>
              <w:t>Policy Brief: Digital Literacy Framework for Arab Youth</w:t>
            </w:r>
          </w:p>
        </w:tc>
        <w:tc>
          <w:tcPr>
            <w:tcW w:type="dxa" w:w="1728"/>
            <w:shd w:val="clear" w:color="auto" w:fill="808080"/>
          </w:tcPr>
          <w:p>
            <w:r>
              <w:t>N/A</w:t>
            </w:r>
          </w:p>
        </w:tc>
        <w:tc>
          <w:tcPr>
            <w:tcW w:type="dxa" w:w="1728"/>
          </w:tcPr>
          <w:p>
            <w:r>
              <w:t>67</w:t>
            </w:r>
          </w:p>
        </w:tc>
        <w:tc>
          <w:tcPr>
            <w:tcW w:type="dxa" w:w="1728"/>
          </w:tcPr>
          <w:p>
            <w:r>
              <w:t>Mixed Methods</w:t>
            </w:r>
          </w:p>
        </w:tc>
      </w:tr>
      <w:tr>
        <w:tc>
          <w:tcPr>
            <w:tcW w:type="dxa" w:w="1728"/>
          </w:tcPr>
          <w:p>
            <w:r>
              <w:t>32</w:t>
            </w:r>
          </w:p>
        </w:tc>
        <w:tc>
          <w:tcPr>
            <w:tcW w:type="dxa" w:w="1728"/>
          </w:tcPr>
          <w:p>
            <w:r>
              <w:t>Report: State of English Language Teaching in Libya 2023</w:t>
            </w:r>
          </w:p>
        </w:tc>
        <w:tc>
          <w:tcPr>
            <w:tcW w:type="dxa" w:w="1728"/>
            <w:shd w:val="clear" w:color="auto" w:fill="808080"/>
          </w:tcPr>
          <w:p>
            <w:r>
              <w:t>N/A</w:t>
            </w:r>
          </w:p>
        </w:tc>
        <w:tc>
          <w:tcPr>
            <w:tcW w:type="dxa" w:w="1728"/>
          </w:tcPr>
          <w:p>
            <w:r>
              <w:t>45</w:t>
            </w:r>
          </w:p>
        </w:tc>
        <w:tc>
          <w:tcPr>
            <w:tcW w:type="dxa" w:w="1728"/>
          </w:tcPr>
          <w:p>
            <w:r>
              <w:t>Mixed Methods</w:t>
            </w:r>
          </w:p>
        </w:tc>
      </w:tr>
    </w:tbl>
    <w:p>
      <w:r>
        <w:br w:type="page"/>
      </w:r>
    </w:p>
    <w:p>
      <w:pPr>
        <w:pStyle w:val="Heading1"/>
        <w:jc w:val="left"/>
      </w:pPr>
      <w:r>
        <w:t>APPENDIX B: ACCESS PLATFORMS - ANNA'S ARCHIVE</w:t>
      </w:r>
    </w:p>
    <w:p>
      <w:r>
        <w:t>For sources not directly accessible through university libraries or open access, Anna's Archive provides a valuable secondary access point. The following mirrors are available:</w:t>
      </w:r>
    </w:p>
    <w:p>
      <w:r>
        <w:rPr>
          <w:b/>
        </w:rPr>
        <w:t>• annas-archive.gl</w:t>
      </w:r>
      <w:r>
        <w:t xml:space="preserve"> - Primary mirror - most reliable</w:t>
      </w:r>
    </w:p>
    <w:p>
      <w:r>
        <w:rPr>
          <w:b/>
        </w:rPr>
        <w:t>• annas-archive.org</w:t>
      </w:r>
      <w:r>
        <w:t xml:space="preserve"> - Secondary mirror</w:t>
      </w:r>
    </w:p>
    <w:p>
      <w:r>
        <w:rPr>
          <w:b/>
        </w:rPr>
        <w:t>• annas-archive.se</w:t>
      </w:r>
      <w:r>
        <w:t xml:space="preserve"> - EU mirror</w:t>
      </w:r>
    </w:p>
    <w:p>
      <w:r>
        <w:rPr>
          <w:b/>
        </w:rPr>
        <w:t>• anna.cx</w:t>
      </w:r>
      <w:r>
        <w:t xml:space="preserve"> - Alternative domain</w:t>
      </w:r>
    </w:p>
    <w:p>
      <w:r>
        <w:br/>
        <w:t>To access papers via Anna's Archive, search using the DOI or title of the desired paper. All papers in this review are tracked in the Excel companion file with direct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