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E619E" w14:textId="77777777" w:rsidR="00B149ED" w:rsidRPr="00A60245" w:rsidRDefault="00B149ED" w:rsidP="00B149ED">
      <w:pPr>
        <w:shd w:val="clear" w:color="auto" w:fill="1F3864"/>
        <w:bidi/>
        <w:rPr>
          <w:rFonts w:ascii="Sakkal Majalla" w:hAnsi="Sakkal Majalla" w:cs="Sakkal Majalla"/>
          <w:sz w:val="28"/>
          <w:szCs w:val="28"/>
        </w:rPr>
      </w:pPr>
      <w:r w:rsidRPr="00A60245">
        <w:rPr>
          <w:rFonts w:ascii="Sakkal Majalla" w:hAnsi="Sakkal Majalla" w:cs="Sakkal Majalla"/>
          <w:b/>
          <w:bCs/>
          <w:color w:val="FFFFFF"/>
          <w:sz w:val="28"/>
          <w:szCs w:val="28"/>
          <w:rtl/>
        </w:rPr>
        <w:lastRenderedPageBreak/>
        <w:t>الفصل الرابع</w:t>
      </w:r>
    </w:p>
    <w:p w14:paraId="2863C643" w14:textId="77777777" w:rsidR="00B149ED" w:rsidRPr="00A60245" w:rsidRDefault="00B149ED" w:rsidP="00B149ED">
      <w:pPr>
        <w:shd w:val="clear" w:color="auto" w:fill="156082"/>
        <w:bidi/>
        <w:rPr>
          <w:rFonts w:ascii="Sakkal Majalla" w:hAnsi="Sakkal Majalla" w:cs="Sakkal Majalla"/>
          <w:sz w:val="28"/>
          <w:szCs w:val="28"/>
        </w:rPr>
      </w:pPr>
      <w:r w:rsidRPr="00A60245">
        <w:rPr>
          <w:rFonts w:ascii="Sakkal Majalla" w:hAnsi="Sakkal Majalla" w:cs="Sakkal Majalla"/>
          <w:b/>
          <w:bCs/>
          <w:color w:val="FFFFFF"/>
          <w:sz w:val="28"/>
          <w:szCs w:val="28"/>
          <w:rtl/>
        </w:rPr>
        <w:t>القرآن دستورًا والمصادر الشارحة</w:t>
      </w:r>
    </w:p>
    <w:p w14:paraId="16B9C658" w14:textId="77777777" w:rsidR="00B149ED" w:rsidRPr="00A60245" w:rsidRDefault="00B149ED" w:rsidP="00B149ED">
      <w:pPr>
        <w:shd w:val="clear" w:color="auto" w:fill="2E74B5"/>
        <w:bidi/>
        <w:spacing w:after="18"/>
        <w:rPr>
          <w:rFonts w:ascii="Sakkal Majalla" w:hAnsi="Sakkal Majalla" w:cs="Sakkal Majalla"/>
          <w:sz w:val="28"/>
          <w:szCs w:val="28"/>
        </w:rPr>
      </w:pPr>
      <w:r w:rsidRPr="00A60245">
        <w:rPr>
          <w:rFonts w:ascii="Sakkal Majalla" w:hAnsi="Sakkal Majalla" w:cs="Sakkal Majalla"/>
          <w:color w:val="FFFFFF"/>
          <w:sz w:val="28"/>
          <w:szCs w:val="28"/>
          <w:rtl/>
        </w:rPr>
        <w:t>هرم المرجعية الكامل</w:t>
      </w:r>
    </w:p>
    <w:p w14:paraId="6FFAD4D0" w14:textId="77777777" w:rsidR="00B149ED" w:rsidRPr="00A60245" w:rsidRDefault="00B149ED" w:rsidP="00B149ED">
      <w:pPr>
        <w:bidi/>
        <w:spacing w:after="55"/>
        <w:rPr>
          <w:rFonts w:ascii="Sakkal Majalla" w:hAnsi="Sakkal Majalla" w:cs="Sakkal Majalla"/>
          <w:sz w:val="28"/>
          <w:szCs w:val="28"/>
        </w:rPr>
      </w:pPr>
    </w:p>
    <w:p w14:paraId="04C32E45" w14:textId="77777777" w:rsidR="00B149ED" w:rsidRPr="00A60245" w:rsidRDefault="00B149ED" w:rsidP="00B149ED">
      <w:pPr>
        <w:shd w:val="clear" w:color="auto" w:fill="F5F0FF"/>
        <w:bidi/>
        <w:spacing w:before="10"/>
        <w:rPr>
          <w:rFonts w:ascii="Sakkal Majalla" w:hAnsi="Sakkal Majalla" w:cs="Sakkal Majalla"/>
          <w:sz w:val="28"/>
          <w:szCs w:val="28"/>
        </w:rPr>
      </w:pPr>
      <w:r w:rsidRPr="00A60245">
        <w:rPr>
          <w:rFonts w:ascii="Sakkal Majalla" w:hAnsi="Sakkal Majalla" w:cs="Sakkal Majalla"/>
          <w:b/>
          <w:bCs/>
          <w:color w:val="1F3864"/>
          <w:sz w:val="28"/>
          <w:szCs w:val="28"/>
          <w:rtl/>
        </w:rPr>
        <w:t>﴿وَأَنزَلْنَا إِلَيْكَ الذِّكْرَ لِتُبَيِّنَ لِلنَّاسِ مَا نُزِّلَ إِلَيْهِمْ﴾</w:t>
      </w:r>
    </w:p>
    <w:p w14:paraId="4ED2C689" w14:textId="77777777" w:rsidR="00B149ED" w:rsidRPr="00A60245" w:rsidRDefault="00B149ED" w:rsidP="00B149ED">
      <w:pPr>
        <w:bidi/>
        <w:spacing w:after="18"/>
        <w:rPr>
          <w:rFonts w:ascii="Sakkal Majalla" w:hAnsi="Sakkal Majalla" w:cs="Sakkal Majalla"/>
          <w:sz w:val="28"/>
          <w:szCs w:val="28"/>
        </w:rPr>
      </w:pPr>
      <w:r w:rsidRPr="00A60245">
        <w:rPr>
          <w:rFonts w:ascii="Sakkal Majalla" w:hAnsi="Sakkal Majalla" w:cs="Sakkal Majalla"/>
          <w:color w:val="595959"/>
          <w:sz w:val="28"/>
          <w:szCs w:val="28"/>
          <w:rtl/>
        </w:rPr>
        <w:t>النحل : 44</w:t>
      </w:r>
    </w:p>
    <w:p w14:paraId="07175BD3" w14:textId="77777777" w:rsidR="00B149ED" w:rsidRPr="00A60245" w:rsidRDefault="00B149ED" w:rsidP="00B149ED">
      <w:pPr>
        <w:pBdr>
          <w:bottom w:val="single" w:sz="14" w:space="0" w:color="1F3864"/>
        </w:pBdr>
        <w:bidi/>
        <w:spacing w:before="50" w:after="90"/>
        <w:rPr>
          <w:rFonts w:ascii="Sakkal Majalla" w:hAnsi="Sakkal Majalla" w:cs="Sakkal Majalla"/>
          <w:sz w:val="28"/>
          <w:szCs w:val="28"/>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55"/>
      </w:tblGrid>
      <w:tr w:rsidR="00B149ED" w:rsidRPr="00A60245" w14:paraId="36FEBAB3" w14:textId="77777777" w:rsidTr="00A011EA">
        <w:tc>
          <w:tcPr>
            <w:tcW w:w="9355" w:type="dxa"/>
            <w:shd w:val="clear" w:color="auto" w:fill="2E74B5"/>
            <w:tcMar>
              <w:top w:w="72" w:type="dxa"/>
              <w:left w:w="100" w:type="dxa"/>
              <w:bottom w:w="72" w:type="dxa"/>
              <w:right w:w="100" w:type="dxa"/>
            </w:tcMar>
            <w:vAlign w:val="center"/>
          </w:tcPr>
          <w:p w14:paraId="4521A689" w14:textId="77777777" w:rsidR="00B149ED" w:rsidRPr="00A60245" w:rsidRDefault="00B149ED" w:rsidP="00A011EA">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 xml:space="preserve">حين يصبح المصدر حكمًا على نفسه</w:t>
            </w:r>
          </w:p>
        </w:tc>
      </w:tr>
      <w:tr w:rsidR="00B149ED" w:rsidRPr="00A60245" w14:paraId="5D8BD22D" w14:textId="77777777" w:rsidTr="00A011EA">
        <w:tc>
          <w:tcPr>
            <w:tcW w:w="9355" w:type="dxa"/>
            <w:shd w:val="clear" w:color="auto" w:fill="EBF5FB"/>
            <w:tcMar>
              <w:top w:w="72" w:type="dxa"/>
              <w:left w:w="100" w:type="dxa"/>
              <w:bottom w:w="72" w:type="dxa"/>
              <w:right w:w="100" w:type="dxa"/>
            </w:tcMar>
            <w:vAlign w:val="center"/>
          </w:tcPr>
          <w:p w14:paraId="654D323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في برنامج لتطوير الإدارة الوقفية، سألتُ مجموعة من المديرين عن أهم مبدأ يحكم قرارات مؤسساتهم، فأجابوا بصوت واحد: «الشورى». ثم سألتهم: «استشهدوا بمصدر دقيق لفهمكم للشورى». فتفرّقت الإجابات: أحدهم استشهد بحديث لم يجد له تخريجًا حين بحث عنه لاحقًا، وثانٍ قرأ آية من سياق مختلف، سياق الأسرة لا المؤسسة، وثالث اعتمد على كتاب معاصر مشهور، تبيّن أنه نفسه يعتمد على تلخيص عابر لا على تفسير أصيل. كان كل منهم واثقًا من استشهاده، لكن حين واجه أحدهم استشهادًا مختلفًا من زميله، لم يكن لدى أحد أداة تحسم الخلاف.  </w:t>
            </w:r>
            <w:r>
              <w:rPr>
                <w:rFonts w:hint="cs"/>
                <w:color w:val="000000"/>
                <w:sz w:val="28"/>
                <w:szCs w:val="28"/>
                <w:rtl/>
              </w:rPr>
              <w:t xml:space="preserve">─────────────────────────────────────────────────────</w:t>
            </w:r>
            <w:r>
              <w:rPr>
                <w:rFonts w:ascii="Sakkal Majalla" w:hAnsi="Sakkal Majalla" w:cs="Sakkal Majalla"/>
                <w:color w:val="000000"/>
                <w:sz w:val="28"/>
                <w:szCs w:val="28"/>
                <w:rtl/>
              </w:rPr>
              <w:t xml:space="preserve"> لا يهمّني في هذا الفصل من كان منهم محقًّا، وإنما أن أبني الأداة التي يُرجع إليها عند الخلاف: هرم المصادر بمستوياته الستة، ومعايير وزن كل منها.</w:t>
            </w:r>
          </w:p>
        </w:tc>
      </w:tr>
    </w:tbl>
    <w:p w14:paraId="580AE7A8"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55"/>
      </w:tblGrid>
      <w:tr w:rsidR="00B149ED" w:rsidRPr="00A60245" w14:paraId="2D6C0557" w14:textId="77777777" w:rsidTr="00A011EA">
        <w:tc>
          <w:tcPr>
            <w:tcW w:w="9355" w:type="dxa"/>
            <w:shd w:val="clear" w:color="auto" w:fill="156082"/>
            <w:tcMar>
              <w:top w:w="72" w:type="dxa"/>
              <w:left w:w="100" w:type="dxa"/>
              <w:bottom w:w="72" w:type="dxa"/>
              <w:right w:w="100" w:type="dxa"/>
            </w:tcMar>
            <w:vAlign w:val="center"/>
          </w:tcPr>
          <w:p w14:paraId="2341C695" w14:textId="77777777" w:rsidR="00B149ED" w:rsidRPr="00A60245" w:rsidRDefault="00B149ED" w:rsidP="00A011EA">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 xml:space="preserve">في هذا الفصل</w:t>
            </w:r>
          </w:p>
        </w:tc>
      </w:tr>
      <w:tr w:rsidR="00B149ED" w:rsidRPr="00A60245" w14:paraId="6F53AF9C" w14:textId="77777777" w:rsidTr="00A011EA">
        <w:tc>
          <w:tcPr>
            <w:tcW w:w="9355" w:type="dxa"/>
            <w:shd w:val="clear" w:color="auto" w:fill="EBF5E0"/>
            <w:tcMar>
              <w:top w:w="72" w:type="dxa"/>
              <w:left w:w="100" w:type="dxa"/>
              <w:bottom w:w="72" w:type="dxa"/>
              <w:right w:w="100" w:type="dxa"/>
            </w:tcMar>
            <w:vAlign w:val="center"/>
          </w:tcPr>
          <w:p w14:paraId="2415B1D3"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يسأل الفصل: لماذا نقدّم مصدرًا على آخر حين نشتق مفهومًا إداريًا من القرآن، وما المعيار الدقيق لهذا التقديم؟ وجوابه أن يؤسس فلسفيًا لهرم مصادر الاستدلال (القرآن، ثم السنة، ثم اللغة، ثم التفسير، ثم السيرة)، ويصنّف خمس مدارس تفسيرية بمعايير صريحة، ثم يطبّق الهرم كاملًا على مفهومَي العدل والإحسان حتى يصل إلى المبدأ الإداري. ويخرج القارئ منه بهرم المصادر السداسي، وتراتبية مصادر السيرة، وأربعة مصادر لغوية لكلٍّ منها وظيفته، وضمانات تمنع الانتقاء المغرض. وأهميته للمدير أنه حين يستشهد بمصدر ديني لتسويغ قرار مؤسسي، يجد هنا ما يبيّن له هل استشهاده في موضعه أم لا.</w:t>
            </w:r>
          </w:p>
        </w:tc>
      </w:tr>
    </w:tbl>
    <w:p w14:paraId="7884EA35" w14:textId="77777777" w:rsidR="00B149ED" w:rsidRPr="00A60245" w:rsidRDefault="00B149ED" w:rsidP="00B149ED">
      <w:pPr>
        <w:bidi/>
        <w:spacing w:after="55"/>
        <w:rPr>
          <w:rFonts w:ascii="Sakkal Majalla" w:hAnsi="Sakkal Majalla" w:cs="Sakkal Majalla"/>
          <w:sz w:val="28"/>
          <w:szCs w:val="28"/>
        </w:rPr>
      </w:pPr>
    </w:p>
    <w:p w14:paraId="1E19DAE2"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60EECBAB" w14:textId="77777777" w:rsidR="00B149ED" w:rsidRPr="00A60245" w:rsidRDefault="00B149ED" w:rsidP="00B149ED">
      <w:pPr>
        <w:shd w:val="clear" w:color="auto" w:fill="D6E4F0"/>
        <w:bidi/>
        <w:spacing w:before="110" w:after="60"/>
        <w:rPr>
          <w:rFonts w:ascii="Sakkal Majalla" w:hAnsi="Sakkal Majalla" w:cs="Sakkal Majalla"/>
          <w:sz w:val="28"/>
          <w:szCs w:val="28"/>
        </w:rPr>
      </w:pPr>
      <w:r w:rsidRPr="00A60245">
        <w:rPr>
          <w:rFonts w:ascii="Sakkal Majalla" w:hAnsi="Sakkal Majalla" w:cs="Sakkal Majalla"/>
          <w:b/>
          <w:bCs/>
          <w:color w:val="1F3864"/>
          <w:sz w:val="28"/>
          <w:szCs w:val="28"/>
          <w:rtl/>
        </w:rPr>
        <w:t>مخرجات التعلم المتوقعة من هذا الفصل</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080"/>
        <w:gridCol w:w="5400"/>
        <w:gridCol w:w="1080"/>
      </w:tblGrid>
      <w:tr w:rsidR="00B149ED" w:rsidRPr="00A60245" w14:paraId="7FC3EEEA" w14:textId="77777777" w:rsidTr="00A011EA">
        <w:tc>
          <w:tcPr>
            <w:tcW w:w="1080" w:type="dxa"/>
            <w:shd w:val="clear" w:color="auto" w:fill="1F3864"/>
            <w:tcMar>
              <w:top w:w="72" w:type="dxa"/>
              <w:left w:w="100" w:type="dxa"/>
              <w:bottom w:w="72" w:type="dxa"/>
              <w:right w:w="100" w:type="dxa"/>
            </w:tcMar>
            <w:vAlign w:val="center"/>
          </w:tcPr>
          <w:p w14:paraId="4408487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CLO</w:t>
            </w:r>
          </w:p>
        </w:tc>
        <w:tc>
          <w:tcPr>
            <w:tcW w:w="1080" w:type="dxa"/>
            <w:shd w:val="clear" w:color="auto" w:fill="1F3864"/>
            <w:tcMar>
              <w:top w:w="72" w:type="dxa"/>
              <w:left w:w="100" w:type="dxa"/>
              <w:bottom w:w="72" w:type="dxa"/>
              <w:right w:w="100" w:type="dxa"/>
            </w:tcMar>
            <w:vAlign w:val="center"/>
          </w:tcPr>
          <w:p w14:paraId="0CD10C4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الفعل</w:t>
            </w:r>
          </w:p>
        </w:tc>
        <w:tc>
          <w:tcPr>
            <w:tcW w:w="5400" w:type="dxa"/>
            <w:shd w:val="clear" w:color="auto" w:fill="1F3864"/>
            <w:tcMar>
              <w:top w:w="72" w:type="dxa"/>
              <w:left w:w="100" w:type="dxa"/>
              <w:bottom w:w="72" w:type="dxa"/>
              <w:right w:w="100" w:type="dxa"/>
            </w:tcMar>
            <w:vAlign w:val="center"/>
          </w:tcPr>
          <w:p w14:paraId="4AD0836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المحتوى</w:t>
            </w:r>
          </w:p>
        </w:tc>
        <w:tc>
          <w:tcPr>
            <w:tcW w:w="1080" w:type="dxa"/>
            <w:shd w:val="clear" w:color="auto" w:fill="1F3864"/>
            <w:tcMar>
              <w:top w:w="72" w:type="dxa"/>
              <w:left w:w="100" w:type="dxa"/>
              <w:bottom w:w="72" w:type="dxa"/>
              <w:right w:w="100" w:type="dxa"/>
            </w:tcMar>
            <w:vAlign w:val="center"/>
          </w:tcPr>
          <w:p w14:paraId="3C4D626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المستوى</w:t>
            </w:r>
          </w:p>
        </w:tc>
      </w:tr>
      <w:tr w:rsidR="00B149ED" w:rsidRPr="00A60245" w14:paraId="3B0CDB68" w14:textId="77777777" w:rsidTr="00A011EA">
        <w:tc>
          <w:tcPr>
            <w:tcW w:w="1080" w:type="dxa"/>
            <w:shd w:val="clear" w:color="auto" w:fill="EBF5FB"/>
            <w:tcMar>
              <w:top w:w="72" w:type="dxa"/>
              <w:left w:w="100" w:type="dxa"/>
              <w:bottom w:w="72" w:type="dxa"/>
              <w:right w:w="100" w:type="dxa"/>
            </w:tcMar>
            <w:vAlign w:val="center"/>
          </w:tcPr>
          <w:p w14:paraId="1AB1726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lastRenderedPageBreak/>
              <w:t>4.1</w:t>
            </w:r>
          </w:p>
        </w:tc>
        <w:tc>
          <w:tcPr>
            <w:tcW w:w="1080" w:type="dxa"/>
            <w:shd w:val="clear" w:color="auto" w:fill="EBF5FB"/>
            <w:tcMar>
              <w:top w:w="72" w:type="dxa"/>
              <w:left w:w="100" w:type="dxa"/>
              <w:bottom w:w="72" w:type="dxa"/>
              <w:right w:w="100" w:type="dxa"/>
            </w:tcMar>
            <w:vAlign w:val="center"/>
          </w:tcPr>
          <w:p w14:paraId="247DD85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يُناقش</w:t>
            </w:r>
          </w:p>
        </w:tc>
        <w:tc>
          <w:tcPr>
            <w:tcW w:w="5400" w:type="dxa"/>
            <w:shd w:val="clear" w:color="auto" w:fill="F8F8F8"/>
            <w:tcMar>
              <w:top w:w="72" w:type="dxa"/>
              <w:left w:w="100" w:type="dxa"/>
              <w:bottom w:w="72" w:type="dxa"/>
              <w:right w:w="100" w:type="dxa"/>
            </w:tcMar>
            <w:vAlign w:val="center"/>
          </w:tcPr>
          <w:p w14:paraId="0AE0768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(Epistemic Authority) ويُطبقها على العلاقة بين القرآن ومصادر الاستدلال الأخرى</w:t>
            </w:r>
          </w:p>
        </w:tc>
        <w:tc>
          <w:tcPr>
            <w:tcW w:w="1080" w:type="dxa"/>
            <w:shd w:val="clear" w:color="auto" w:fill="FFF2CC"/>
            <w:tcMar>
              <w:top w:w="72" w:type="dxa"/>
              <w:left w:w="100" w:type="dxa"/>
              <w:bottom w:w="72" w:type="dxa"/>
              <w:right w:w="100" w:type="dxa"/>
            </w:tcMar>
            <w:vAlign w:val="center"/>
          </w:tcPr>
          <w:p w14:paraId="6030612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B149ED" w:rsidRPr="00A60245" w14:paraId="0497238D" w14:textId="77777777" w:rsidTr="00A011EA">
        <w:tc>
          <w:tcPr>
            <w:tcW w:w="1080" w:type="dxa"/>
            <w:shd w:val="clear" w:color="auto" w:fill="FFFFFF"/>
            <w:tcMar>
              <w:top w:w="72" w:type="dxa"/>
              <w:left w:w="100" w:type="dxa"/>
              <w:bottom w:w="72" w:type="dxa"/>
              <w:right w:w="100" w:type="dxa"/>
            </w:tcMar>
            <w:vAlign w:val="center"/>
          </w:tcPr>
          <w:p w14:paraId="7749F95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4.2</w:t>
            </w:r>
          </w:p>
        </w:tc>
        <w:tc>
          <w:tcPr>
            <w:tcW w:w="1080" w:type="dxa"/>
            <w:shd w:val="clear" w:color="auto" w:fill="FFFFFF"/>
            <w:tcMar>
              <w:top w:w="72" w:type="dxa"/>
              <w:left w:w="100" w:type="dxa"/>
              <w:bottom w:w="72" w:type="dxa"/>
              <w:right w:w="100" w:type="dxa"/>
            </w:tcMar>
            <w:vAlign w:val="center"/>
          </w:tcPr>
          <w:p w14:paraId="6BF0B47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يُحدِّد</w:t>
            </w:r>
          </w:p>
        </w:tc>
        <w:tc>
          <w:tcPr>
            <w:tcW w:w="5400" w:type="dxa"/>
            <w:shd w:val="clear" w:color="auto" w:fill="FFFFFF"/>
            <w:tcMar>
              <w:top w:w="72" w:type="dxa"/>
              <w:left w:w="100" w:type="dxa"/>
              <w:bottom w:w="72" w:type="dxa"/>
              <w:right w:w="100" w:type="dxa"/>
            </w:tcMar>
            <w:vAlign w:val="center"/>
          </w:tcPr>
          <w:p w14:paraId="0C48E65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الأساس الأصولي لكون السنة بيانًا لا منشأً، مستندًا إلى الشافعي وابن القيم</w:t>
            </w:r>
          </w:p>
        </w:tc>
        <w:tc>
          <w:tcPr>
            <w:tcW w:w="1080" w:type="dxa"/>
            <w:shd w:val="clear" w:color="auto" w:fill="FFFFFF"/>
            <w:tcMar>
              <w:top w:w="72" w:type="dxa"/>
              <w:left w:w="100" w:type="dxa"/>
              <w:bottom w:w="72" w:type="dxa"/>
              <w:right w:w="100" w:type="dxa"/>
            </w:tcMar>
            <w:vAlign w:val="center"/>
          </w:tcPr>
          <w:p w14:paraId="63BA7E9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معرفة L1</w:t>
            </w:r>
          </w:p>
        </w:tc>
      </w:tr>
      <w:tr w:rsidR="00B149ED" w:rsidRPr="00A60245" w14:paraId="587DE730" w14:textId="77777777" w:rsidTr="00A011EA">
        <w:tc>
          <w:tcPr>
            <w:tcW w:w="1080" w:type="dxa"/>
            <w:shd w:val="clear" w:color="auto" w:fill="EBF5FB"/>
            <w:tcMar>
              <w:top w:w="72" w:type="dxa"/>
              <w:left w:w="100" w:type="dxa"/>
              <w:bottom w:w="72" w:type="dxa"/>
              <w:right w:w="100" w:type="dxa"/>
            </w:tcMar>
            <w:vAlign w:val="center"/>
          </w:tcPr>
          <w:p w14:paraId="353B90A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4.3</w:t>
            </w:r>
          </w:p>
        </w:tc>
        <w:tc>
          <w:tcPr>
            <w:tcW w:w="1080" w:type="dxa"/>
            <w:shd w:val="clear" w:color="auto" w:fill="EBF5FB"/>
            <w:tcMar>
              <w:top w:w="72" w:type="dxa"/>
              <w:left w:w="100" w:type="dxa"/>
              <w:bottom w:w="72" w:type="dxa"/>
              <w:right w:w="100" w:type="dxa"/>
            </w:tcMar>
            <w:vAlign w:val="center"/>
          </w:tcPr>
          <w:p w14:paraId="4928DB2A"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يُقيِّم</w:t>
            </w:r>
          </w:p>
        </w:tc>
        <w:tc>
          <w:tcPr>
            <w:tcW w:w="5400" w:type="dxa"/>
            <w:shd w:val="clear" w:color="auto" w:fill="F8F8F8"/>
            <w:tcMar>
              <w:top w:w="72" w:type="dxa"/>
              <w:left w:w="100" w:type="dxa"/>
              <w:bottom w:w="72" w:type="dxa"/>
              <w:right w:w="100" w:type="dxa"/>
            </w:tcMar>
            <w:vAlign w:val="center"/>
          </w:tcPr>
          <w:p w14:paraId="3F6CB03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خمس مدارس تفسيرية بمعايير اختيار صريحة، ويُحلل مواطن اتفاقها واختلافها</w:t>
            </w:r>
          </w:p>
        </w:tc>
        <w:tc>
          <w:tcPr>
            <w:tcW w:w="1080" w:type="dxa"/>
            <w:shd w:val="clear" w:color="auto" w:fill="FFF2CC"/>
            <w:tcMar>
              <w:top w:w="72" w:type="dxa"/>
              <w:left w:w="100" w:type="dxa"/>
              <w:bottom w:w="72" w:type="dxa"/>
              <w:right w:w="100" w:type="dxa"/>
            </w:tcMar>
            <w:vAlign w:val="center"/>
          </w:tcPr>
          <w:p w14:paraId="47B07B7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B149ED" w:rsidRPr="00A60245" w14:paraId="5605F47F" w14:textId="77777777" w:rsidTr="00A011EA">
        <w:tc>
          <w:tcPr>
            <w:tcW w:w="1080" w:type="dxa"/>
            <w:shd w:val="clear" w:color="auto" w:fill="FFFFFF"/>
            <w:tcMar>
              <w:top w:w="72" w:type="dxa"/>
              <w:left w:w="100" w:type="dxa"/>
              <w:bottom w:w="72" w:type="dxa"/>
              <w:right w:w="100" w:type="dxa"/>
            </w:tcMar>
            <w:vAlign w:val="center"/>
          </w:tcPr>
          <w:p w14:paraId="711AFD8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4.4</w:t>
            </w:r>
          </w:p>
        </w:tc>
        <w:tc>
          <w:tcPr>
            <w:tcW w:w="1080" w:type="dxa"/>
            <w:shd w:val="clear" w:color="auto" w:fill="FFFFFF"/>
            <w:tcMar>
              <w:top w:w="72" w:type="dxa"/>
              <w:left w:w="100" w:type="dxa"/>
              <w:bottom w:w="72" w:type="dxa"/>
              <w:right w:w="100" w:type="dxa"/>
            </w:tcMar>
            <w:vAlign w:val="center"/>
          </w:tcPr>
          <w:p w14:paraId="337DA6E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يُميِّز</w:t>
            </w:r>
          </w:p>
        </w:tc>
        <w:tc>
          <w:tcPr>
            <w:tcW w:w="5400" w:type="dxa"/>
            <w:shd w:val="clear" w:color="auto" w:fill="FFFFFF"/>
            <w:tcMar>
              <w:top w:w="72" w:type="dxa"/>
              <w:left w:w="100" w:type="dxa"/>
              <w:bottom w:w="72" w:type="dxa"/>
              <w:right w:w="100" w:type="dxa"/>
            </w:tcMar>
            <w:vAlign w:val="center"/>
          </w:tcPr>
          <w:p w14:paraId="7679751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درجات الاستفادة من مصادر خارج المدرسة السنية (الطباطبائي) بضوابط منهجية دقيقة</w:t>
            </w:r>
          </w:p>
        </w:tc>
        <w:tc>
          <w:tcPr>
            <w:tcW w:w="1080" w:type="dxa"/>
            <w:shd w:val="clear" w:color="auto" w:fill="FFFFFF"/>
            <w:tcMar>
              <w:top w:w="72" w:type="dxa"/>
              <w:left w:w="100" w:type="dxa"/>
              <w:bottom w:w="72" w:type="dxa"/>
              <w:right w:w="100" w:type="dxa"/>
            </w:tcMar>
            <w:vAlign w:val="center"/>
          </w:tcPr>
          <w:p w14:paraId="2C8DC68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تحليل L4</w:t>
            </w:r>
          </w:p>
        </w:tc>
      </w:tr>
      <w:tr w:rsidR="00B149ED" w:rsidRPr="00A60245" w14:paraId="75F46A31" w14:textId="77777777" w:rsidTr="00A011EA">
        <w:tc>
          <w:tcPr>
            <w:tcW w:w="1080" w:type="dxa"/>
            <w:shd w:val="clear" w:color="auto" w:fill="EBF5FB"/>
            <w:tcMar>
              <w:top w:w="72" w:type="dxa"/>
              <w:left w:w="100" w:type="dxa"/>
              <w:bottom w:w="72" w:type="dxa"/>
              <w:right w:w="100" w:type="dxa"/>
            </w:tcMar>
            <w:vAlign w:val="center"/>
          </w:tcPr>
          <w:p w14:paraId="3D81829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4.5</w:t>
            </w:r>
          </w:p>
        </w:tc>
        <w:tc>
          <w:tcPr>
            <w:tcW w:w="1080" w:type="dxa"/>
            <w:shd w:val="clear" w:color="auto" w:fill="EBF5FB"/>
            <w:tcMar>
              <w:top w:w="72" w:type="dxa"/>
              <w:left w:w="100" w:type="dxa"/>
              <w:bottom w:w="72" w:type="dxa"/>
              <w:right w:w="100" w:type="dxa"/>
            </w:tcMar>
            <w:vAlign w:val="center"/>
          </w:tcPr>
          <w:p w14:paraId="2C7C3F5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يُرتِّب</w:t>
            </w:r>
          </w:p>
        </w:tc>
        <w:tc>
          <w:tcPr>
            <w:tcW w:w="5400" w:type="dxa"/>
            <w:shd w:val="clear" w:color="auto" w:fill="F8F8F8"/>
            <w:tcMar>
              <w:top w:w="72" w:type="dxa"/>
              <w:left w:w="100" w:type="dxa"/>
              <w:bottom w:w="72" w:type="dxa"/>
              <w:right w:w="100" w:type="dxa"/>
            </w:tcMar>
            <w:vAlign w:val="center"/>
          </w:tcPr>
          <w:p w14:paraId="3595B31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مصادر السيرة النبوية وفق تراتبية الثبوت التاريخي لا الشهرة الأدبية</w:t>
            </w:r>
          </w:p>
        </w:tc>
        <w:tc>
          <w:tcPr>
            <w:tcW w:w="1080" w:type="dxa"/>
            <w:shd w:val="clear" w:color="auto" w:fill="FFF2CC"/>
            <w:tcMar>
              <w:top w:w="72" w:type="dxa"/>
              <w:left w:w="100" w:type="dxa"/>
              <w:bottom w:w="72" w:type="dxa"/>
              <w:right w:w="100" w:type="dxa"/>
            </w:tcMar>
            <w:vAlign w:val="center"/>
          </w:tcPr>
          <w:p w14:paraId="4B04105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تطبيق L3</w:t>
            </w:r>
          </w:p>
        </w:tc>
      </w:tr>
      <w:tr w:rsidR="00B149ED" w:rsidRPr="00A60245" w14:paraId="3AD08E8E" w14:textId="77777777" w:rsidTr="00A011EA">
        <w:tc>
          <w:tcPr>
            <w:tcW w:w="1080" w:type="dxa"/>
            <w:shd w:val="clear" w:color="auto" w:fill="FFFFFF"/>
            <w:tcMar>
              <w:top w:w="72" w:type="dxa"/>
              <w:left w:w="100" w:type="dxa"/>
              <w:bottom w:w="72" w:type="dxa"/>
              <w:right w:w="100" w:type="dxa"/>
            </w:tcMar>
            <w:vAlign w:val="center"/>
          </w:tcPr>
          <w:p w14:paraId="3C9AD2A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4.6</w:t>
            </w:r>
          </w:p>
        </w:tc>
        <w:tc>
          <w:tcPr>
            <w:tcW w:w="1080" w:type="dxa"/>
            <w:shd w:val="clear" w:color="auto" w:fill="FFFFFF"/>
            <w:tcMar>
              <w:top w:w="72" w:type="dxa"/>
              <w:left w:w="100" w:type="dxa"/>
              <w:bottom w:w="72" w:type="dxa"/>
              <w:right w:w="100" w:type="dxa"/>
            </w:tcMar>
            <w:vAlign w:val="center"/>
          </w:tcPr>
          <w:p w14:paraId="1A9076C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يُطبِّق</w:t>
            </w:r>
          </w:p>
        </w:tc>
        <w:tc>
          <w:tcPr>
            <w:tcW w:w="5400" w:type="dxa"/>
            <w:shd w:val="clear" w:color="auto" w:fill="FFFFFF"/>
            <w:tcMar>
              <w:top w:w="72" w:type="dxa"/>
              <w:left w:w="100" w:type="dxa"/>
              <w:bottom w:w="72" w:type="dxa"/>
              <w:right w:w="100" w:type="dxa"/>
            </w:tcMar>
            <w:vAlign w:val="center"/>
          </w:tcPr>
          <w:p w14:paraId="3329CB3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هرم المصادر الكامل على مفهوم قرآني واحد من الدلالة إلى النموذج الإداري</w:t>
            </w:r>
          </w:p>
        </w:tc>
        <w:tc>
          <w:tcPr>
            <w:tcW w:w="1080" w:type="dxa"/>
            <w:shd w:val="clear" w:color="auto" w:fill="FFFFFF"/>
            <w:tcMar>
              <w:top w:w="72" w:type="dxa"/>
              <w:left w:w="100" w:type="dxa"/>
              <w:bottom w:w="72" w:type="dxa"/>
              <w:right w:w="100" w:type="dxa"/>
            </w:tcMar>
            <w:vAlign w:val="center"/>
          </w:tcPr>
          <w:p w14:paraId="6566FBA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تركيب L6</w:t>
            </w:r>
          </w:p>
        </w:tc>
      </w:tr>
      <w:tr w:rsidR="00B149ED" w:rsidRPr="00A60245" w14:paraId="2D2EFE60" w14:textId="77777777" w:rsidTr="00A011EA">
        <w:tc>
          <w:tcPr>
            <w:tcW w:w="1080" w:type="dxa"/>
            <w:shd w:val="clear" w:color="auto" w:fill="EBF5FB"/>
            <w:tcMar>
              <w:top w:w="72" w:type="dxa"/>
              <w:left w:w="100" w:type="dxa"/>
              <w:bottom w:w="72" w:type="dxa"/>
              <w:right w:w="100" w:type="dxa"/>
            </w:tcMar>
            <w:vAlign w:val="center"/>
          </w:tcPr>
          <w:p w14:paraId="6DF9BE7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4.7</w:t>
            </w:r>
          </w:p>
        </w:tc>
        <w:tc>
          <w:tcPr>
            <w:tcW w:w="1080" w:type="dxa"/>
            <w:shd w:val="clear" w:color="auto" w:fill="EBF5FB"/>
            <w:tcMar>
              <w:top w:w="72" w:type="dxa"/>
              <w:left w:w="100" w:type="dxa"/>
              <w:bottom w:w="72" w:type="dxa"/>
              <w:right w:w="100" w:type="dxa"/>
            </w:tcMar>
            <w:vAlign w:val="center"/>
          </w:tcPr>
          <w:p w14:paraId="210CD61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5400" w:type="dxa"/>
            <w:shd w:val="clear" w:color="auto" w:fill="F8F8F8"/>
            <w:tcMar>
              <w:top w:w="72" w:type="dxa"/>
              <w:left w:w="100" w:type="dxa"/>
              <w:bottom w:w="72" w:type="dxa"/>
              <w:right w:w="100" w:type="dxa"/>
            </w:tcMar>
            <w:vAlign w:val="center"/>
          </w:tcPr>
          <w:p w14:paraId="047EEC2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نظرية السلطة المعرفية الإسلامية بنظريات الشهادة والخبرة في الإبستيمولوجيا الغربية المعاصرة</w:t>
            </w:r>
          </w:p>
        </w:tc>
        <w:tc>
          <w:tcPr>
            <w:tcW w:w="1080" w:type="dxa"/>
            <w:shd w:val="clear" w:color="auto" w:fill="FFF2CC"/>
            <w:tcMar>
              <w:top w:w="72" w:type="dxa"/>
              <w:left w:w="100" w:type="dxa"/>
              <w:bottom w:w="72" w:type="dxa"/>
              <w:right w:w="100" w:type="dxa"/>
            </w:tcMar>
            <w:vAlign w:val="center"/>
          </w:tcPr>
          <w:p w14:paraId="14376BC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r w:rsidR="00B149ED" w:rsidRPr="00A60245" w14:paraId="77601B7A" w14:textId="77777777" w:rsidTr="00A011EA">
        <w:tc>
          <w:tcPr>
            <w:tcW w:w="1080" w:type="dxa"/>
            <w:shd w:val="clear" w:color="auto" w:fill="FFFFFF"/>
            <w:tcMar>
              <w:top w:w="72" w:type="dxa"/>
              <w:left w:w="100" w:type="dxa"/>
              <w:bottom w:w="72" w:type="dxa"/>
              <w:right w:w="100" w:type="dxa"/>
            </w:tcMar>
            <w:vAlign w:val="center"/>
          </w:tcPr>
          <w:p w14:paraId="7EE1621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56082"/>
                <w:sz w:val="28"/>
                <w:szCs w:val="28"/>
                <w:rtl/>
              </w:rPr>
              <w:t>4.8</w:t>
            </w:r>
          </w:p>
        </w:tc>
        <w:tc>
          <w:tcPr>
            <w:tcW w:w="1080" w:type="dxa"/>
            <w:shd w:val="clear" w:color="auto" w:fill="FFFFFF"/>
            <w:tcMar>
              <w:top w:w="72" w:type="dxa"/>
              <w:left w:w="100" w:type="dxa"/>
              <w:bottom w:w="72" w:type="dxa"/>
              <w:right w:w="100" w:type="dxa"/>
            </w:tcMar>
            <w:vAlign w:val="center"/>
          </w:tcPr>
          <w:p w14:paraId="277E106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يُقارن</w:t>
            </w:r>
          </w:p>
        </w:tc>
        <w:tc>
          <w:tcPr>
            <w:tcW w:w="5400" w:type="dxa"/>
            <w:shd w:val="clear" w:color="auto" w:fill="FFFFFF"/>
            <w:tcMar>
              <w:top w:w="72" w:type="dxa"/>
              <w:left w:w="100" w:type="dxa"/>
              <w:bottom w:w="72" w:type="dxa"/>
              <w:right w:w="100" w:type="dxa"/>
            </w:tcMar>
            <w:vAlign w:val="center"/>
          </w:tcPr>
          <w:p w14:paraId="2A485B3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نموذج هذا الفصل بأنظمة سلطة تفسيرية في تقاليد دينية أخرى (اليهودية، الكاثوليكية، البروتستانتية)</w:t>
            </w:r>
          </w:p>
        </w:tc>
        <w:tc>
          <w:tcPr>
            <w:tcW w:w="1080" w:type="dxa"/>
            <w:shd w:val="clear" w:color="auto" w:fill="FFFFFF"/>
            <w:tcMar>
              <w:top w:w="72" w:type="dxa"/>
              <w:left w:w="100" w:type="dxa"/>
              <w:bottom w:w="72" w:type="dxa"/>
              <w:right w:w="100" w:type="dxa"/>
            </w:tcMar>
            <w:vAlign w:val="center"/>
          </w:tcPr>
          <w:p w14:paraId="34DF58D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تقويم L5</w:t>
            </w:r>
          </w:p>
        </w:tc>
      </w:tr>
    </w:tbl>
    <w:p w14:paraId="3D0AFC53" w14:textId="77777777" w:rsidR="00B149ED" w:rsidRPr="00A60245" w:rsidRDefault="00B149ED" w:rsidP="00B149ED">
      <w:pPr>
        <w:pBdr>
          <w:bottom w:val="single" w:sz="14" w:space="0" w:color="1F3864"/>
        </w:pBdr>
        <w:bidi/>
        <w:spacing w:before="50" w:after="90"/>
        <w:rPr>
          <w:rFonts w:ascii="Sakkal Majalla" w:hAnsi="Sakkal Majalla" w:cs="Sakkal Majalla"/>
          <w:sz w:val="28"/>
          <w:szCs w:val="28"/>
        </w:rPr>
      </w:pPr>
    </w:p>
    <w:p w14:paraId="697ED04B"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4.1  لماذا يكون ترتيب المصادر مسألة فلسفية قبل أن يكون تنظيمية</w:t>
      </w: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15"/>
      </w:tblGrid>
      <w:tr w:rsidR="00B149ED" w:rsidRPr="00A60245" w14:paraId="4A880A27" w14:textId="77777777" w:rsidTr="00A011EA">
        <w:tc>
          <w:tcPr>
            <w:tcW w:w="9715" w:type="dxa"/>
            <w:shd w:val="clear" w:color="auto" w:fill="C55A11"/>
            <w:tcMar>
              <w:top w:w="72" w:type="dxa"/>
              <w:left w:w="100" w:type="dxa"/>
              <w:bottom w:w="72" w:type="dxa"/>
              <w:right w:w="100" w:type="dxa"/>
            </w:tcMar>
            <w:vAlign w:val="center"/>
          </w:tcPr>
          <w:p w14:paraId="3001A79D" w14:textId="77777777" w:rsidR="00B149ED" w:rsidRPr="00A60245" w:rsidRDefault="00B149ED" w:rsidP="00A011EA">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 xml:space="preserve">ما معنى «السلطة المعرفية» (Epistemic Authority)؟</w:t>
            </w:r>
          </w:p>
        </w:tc>
      </w:tr>
      <w:tr w:rsidR="00B149ED" w:rsidRPr="00A60245" w14:paraId="1F36BC44" w14:textId="77777777" w:rsidTr="00A011EA">
        <w:tc>
          <w:tcPr>
            <w:tcW w:w="9715" w:type="dxa"/>
            <w:shd w:val="clear" w:color="auto" w:fill="FFF5E0"/>
            <w:tcMar>
              <w:top w:w="72" w:type="dxa"/>
              <w:left w:w="100" w:type="dxa"/>
              <w:bottom w:w="72" w:type="dxa"/>
              <w:right w:w="100" w:type="dxa"/>
            </w:tcMar>
            <w:vAlign w:val="center"/>
          </w:tcPr>
          <w:p w14:paraId="5FFA4505"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السلطة المعرفية جواب عن سؤال: متى يحق لمصدر أن يقيّد حكمي، ولو خالف ما أعتقده أنا مباشرة؟ مثال ذلك في الإدارة: تعتقد أن القرار (س) صحيح، ويقول الخبير المالي العكس. فمتى تتبع الخبير رغم قناعتك؟ وبأي معيار؟ هذا ما تدرسه نظرية السلطة المعرفية، وهذا الفصل يطبّقها على أسئلة من نوع: متى نقدّم ابن كثير على ابن عاشور؟ ومتى نفعل العكس؟</w:t>
            </w:r>
          </w:p>
        </w:tc>
      </w:tr>
    </w:tbl>
    <w:p w14:paraId="11E14251" w14:textId="77777777" w:rsidR="00B149ED" w:rsidRPr="00A60245" w:rsidRDefault="00B149ED" w:rsidP="00B149ED">
      <w:pPr>
        <w:bidi/>
        <w:spacing w:after="55"/>
        <w:rPr>
          <w:rFonts w:ascii="Sakkal Majalla" w:hAnsi="Sakkal Majalla" w:cs="Sakkal Majalla"/>
          <w:sz w:val="28"/>
          <w:szCs w:val="28"/>
        </w:rPr>
      </w:pPr>
    </w:p>
    <w:p w14:paraId="09B9C717"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قد يبدو ترتيب مصادر الاستدلال مسألة تنظيمية، قائمة أولويات يضعها الباحث لتنظيم عمله. لكنه في الحقيقة تطبيق لما تسميه الإبستيمولوجيا المعاصرة «نظرية السلطة المعرفية» (Epistemic Authority Theory)، وهي الحقل الذي يسأل: متى يحق لمصدر معرفي أن يقيّد حكمنا الخاص؟</w:t>
      </w:r>
    </w:p>
    <w:p w14:paraId="37177088" w14:textId="77777777" w:rsidR="00B149ED" w:rsidRPr="00A60245" w:rsidRDefault="00B149ED" w:rsidP="00B149ED">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lastRenderedPageBreak/>
        <w:t xml:space="preserve">    Zagzebski, L. (2012). Epistemic Authority: A Theory of Trust, Authority, and Autonomy in Belief. Oxford University Press.</w:t>
      </w:r>
    </w:p>
    <w:p w14:paraId="1944ED92"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وتفرّق زغزيبسكي بين نوعين من الأسباب لقبول حكم الآخر: أسباب «الشخص الأول» (First-Person Reasons)، حين أستطيع التحقق بنفسي، وأسباب «الشخص الثالث» (Third-Person Reasons)، حين أثق بحكم غيري لأنه أهل للثقة دون أن أتحقق من كل تفصيل. والسلطة المعرفية الحقيقية تنشأ حين يكون هذا النوع الثاني من الثقة عقلانيًا.</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B149ED" w:rsidRPr="00A60245" w14:paraId="282696F3" w14:textId="77777777" w:rsidTr="00A011EA">
        <w:tc>
          <w:tcPr>
            <w:tcW w:w="8640" w:type="dxa"/>
            <w:shd w:val="clear" w:color="auto" w:fill="1F3864"/>
            <w:tcMar>
              <w:top w:w="72" w:type="dxa"/>
              <w:left w:w="100" w:type="dxa"/>
              <w:bottom w:w="72" w:type="dxa"/>
              <w:right w:w="100" w:type="dxa"/>
            </w:tcMar>
            <w:vAlign w:val="center"/>
          </w:tcPr>
          <w:p w14:paraId="045ABD8E"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القاعدة الفلسفية التي يقوم عليها الفصل</w:t>
            </w:r>
          </w:p>
        </w:tc>
      </w:tr>
      <w:tr w:rsidR="00B149ED" w:rsidRPr="00A60245" w14:paraId="3918CA92" w14:textId="77777777" w:rsidTr="00A011EA">
        <w:tc>
          <w:tcPr>
            <w:tcW w:w="8640" w:type="dxa"/>
            <w:shd w:val="clear" w:color="auto" w:fill="EBF5FB"/>
            <w:tcMar>
              <w:top w:w="72" w:type="dxa"/>
              <w:left w:w="100" w:type="dxa"/>
              <w:bottom w:w="72" w:type="dxa"/>
              <w:right w:w="100" w:type="dxa"/>
            </w:tcMar>
            <w:vAlign w:val="center"/>
          </w:tcPr>
          <w:p w14:paraId="6B79C21D"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هرم المصادر ليس تفضيلًا تعسفيًا، بل تطبيق لتفاوت أنواع السلطة المعرفية. فللقرآن سلطة يقينية (Type-1 Authority) خارج نطاق الشهادة البشرية، ولما دونه سلطة مشتقة متدرجة (Type-2 Authority) تُقاس بالخبرة والأمانة والمنهج.</w:t>
            </w:r>
          </w:p>
        </w:tc>
      </w:tr>
    </w:tbl>
    <w:p w14:paraId="07201C95" w14:textId="77777777" w:rsidR="00B149ED" w:rsidRPr="00A60245" w:rsidRDefault="00B149ED" w:rsidP="00B149ED">
      <w:pPr>
        <w:bidi/>
        <w:spacing w:after="55"/>
        <w:rPr>
          <w:rFonts w:ascii="Sakkal Majalla" w:hAnsi="Sakkal Majalla" w:cs="Sakkal Majalla"/>
          <w:sz w:val="28"/>
          <w:szCs w:val="28"/>
        </w:rPr>
      </w:pPr>
    </w:p>
    <w:p w14:paraId="75F535ED"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تاريخ مبدأ الترتيب في علم أصول التفسير</w:t>
      </w:r>
    </w:p>
    <w:p w14:paraId="5B22AEF8"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ولم يُخترع مبدأ ترتيب مصادر التفسير في هذا الكتاب، فهو امتداد لتقليد علمي إسلامي طويل:</w:t>
      </w:r>
    </w:p>
    <w:tbl>
      <w:tblPr>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7645"/>
      </w:tblGrid>
      <w:tr w:rsidR="00B149ED" w:rsidRPr="00A60245" w14:paraId="19E74B93" w14:textId="77777777" w:rsidTr="00A011EA">
        <w:tc>
          <w:tcPr>
            <w:tcW w:w="2160" w:type="dxa"/>
            <w:shd w:val="clear" w:color="auto" w:fill="1F3864"/>
            <w:tcMar>
              <w:top w:w="72" w:type="dxa"/>
              <w:left w:w="100" w:type="dxa"/>
              <w:bottom w:w="72" w:type="dxa"/>
              <w:right w:w="100" w:type="dxa"/>
            </w:tcMar>
            <w:vAlign w:val="center"/>
          </w:tcPr>
          <w:p w14:paraId="5C9F534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العالِم والعمل</w:t>
            </w:r>
          </w:p>
        </w:tc>
        <w:tc>
          <w:tcPr>
            <w:tcW w:w="7645" w:type="dxa"/>
            <w:shd w:val="clear" w:color="auto" w:fill="1F3864"/>
            <w:tcMar>
              <w:top w:w="72" w:type="dxa"/>
              <w:left w:w="100" w:type="dxa"/>
              <w:bottom w:w="72" w:type="dxa"/>
              <w:right w:w="100" w:type="dxa"/>
            </w:tcMar>
            <w:vAlign w:val="center"/>
          </w:tcPr>
          <w:p w14:paraId="6749EBC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الإسهام في مبدأ التراتبية</w:t>
            </w:r>
          </w:p>
        </w:tc>
      </w:tr>
      <w:tr w:rsidR="00B149ED" w:rsidRPr="00A60245" w14:paraId="31C671A5" w14:textId="77777777" w:rsidTr="00A011EA">
        <w:tc>
          <w:tcPr>
            <w:tcW w:w="2160" w:type="dxa"/>
            <w:shd w:val="clear" w:color="auto" w:fill="EBF5FB"/>
            <w:tcMar>
              <w:top w:w="72" w:type="dxa"/>
              <w:left w:w="100" w:type="dxa"/>
              <w:bottom w:w="72" w:type="dxa"/>
              <w:right w:w="100" w:type="dxa"/>
            </w:tcMar>
            <w:vAlign w:val="center"/>
          </w:tcPr>
          <w:p w14:paraId="594AF9C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الطبري (ت.310ه) جامع البيان</w:t>
            </w:r>
          </w:p>
        </w:tc>
        <w:tc>
          <w:tcPr>
            <w:tcW w:w="7645" w:type="dxa"/>
            <w:shd w:val="clear" w:color="auto" w:fill="F5FAFF"/>
            <w:tcMar>
              <w:top w:w="72" w:type="dxa"/>
              <w:left w:w="100" w:type="dxa"/>
              <w:bottom w:w="72" w:type="dxa"/>
              <w:right w:w="100" w:type="dxa"/>
            </w:tcMar>
            <w:vAlign w:val="center"/>
          </w:tcPr>
          <w:p w14:paraId="2C5E1E8A"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من أوائل من قعّدوا صراحةً لطبقات التفسير: القرآن بالقرآن، ثم بالسنة، ثم بأقوال الصحابة، ثم التابعين، ثم اللغة المنضبطة. وعليه يقوم كثير مما بُني في هذا الفصل.</w:t>
            </w:r>
          </w:p>
        </w:tc>
      </w:tr>
      <w:tr w:rsidR="00B149ED" w:rsidRPr="00A60245" w14:paraId="46CE4366" w14:textId="77777777" w:rsidTr="00A011EA">
        <w:tc>
          <w:tcPr>
            <w:tcW w:w="2160" w:type="dxa"/>
            <w:shd w:val="clear" w:color="auto" w:fill="FFFFFF"/>
            <w:tcMar>
              <w:top w:w="72" w:type="dxa"/>
              <w:left w:w="100" w:type="dxa"/>
              <w:bottom w:w="72" w:type="dxa"/>
              <w:right w:w="100" w:type="dxa"/>
            </w:tcMar>
            <w:vAlign w:val="center"/>
          </w:tcPr>
          <w:p w14:paraId="250294C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ابن تيمية (ت.728ه) مقدمة في أصول التفسير</w:t>
            </w:r>
          </w:p>
        </w:tc>
        <w:tc>
          <w:tcPr>
            <w:tcW w:w="7645" w:type="dxa"/>
            <w:shd w:val="clear" w:color="auto" w:fill="FFFFFF"/>
            <w:tcMar>
              <w:top w:w="72" w:type="dxa"/>
              <w:left w:w="100" w:type="dxa"/>
              <w:bottom w:w="72" w:type="dxa"/>
              <w:right w:w="100" w:type="dxa"/>
            </w:tcMar>
            <w:vAlign w:val="center"/>
          </w:tcPr>
          <w:p w14:paraId="6F12FF05"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طوّر الترتيب بصياغة أكثر تنظيمًا، وميّز بين إجماع الصحابة وآرائهم المتفرقة. و«طرق التفسير» عنده هي الأصل التاريخي المباشر لهرم هذا الفصل.</w:t>
            </w:r>
          </w:p>
        </w:tc>
      </w:tr>
      <w:tr w:rsidR="00B149ED" w:rsidRPr="00A60245" w14:paraId="4D2A4705" w14:textId="77777777" w:rsidTr="00A011EA">
        <w:tc>
          <w:tcPr>
            <w:tcW w:w="2160" w:type="dxa"/>
            <w:shd w:val="clear" w:color="auto" w:fill="EBF5FB"/>
            <w:tcMar>
              <w:top w:w="72" w:type="dxa"/>
              <w:left w:w="100" w:type="dxa"/>
              <w:bottom w:w="72" w:type="dxa"/>
              <w:right w:w="100" w:type="dxa"/>
            </w:tcMar>
            <w:vAlign w:val="center"/>
          </w:tcPr>
          <w:p w14:paraId="71FC7F2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الزركشي والسيوطي (ق.8-9ه)</w:t>
            </w:r>
          </w:p>
        </w:tc>
        <w:tc>
          <w:tcPr>
            <w:tcW w:w="7645" w:type="dxa"/>
            <w:shd w:val="clear" w:color="auto" w:fill="F5FAFF"/>
            <w:tcMar>
              <w:top w:w="72" w:type="dxa"/>
              <w:left w:w="100" w:type="dxa"/>
              <w:bottom w:w="72" w:type="dxa"/>
              <w:right w:w="100" w:type="dxa"/>
            </w:tcMar>
            <w:vAlign w:val="center"/>
          </w:tcPr>
          <w:p w14:paraId="7EA64ECF"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دوّنا «علوم القرآن» حقلًا مستقلًا بقواعده: شروط المفسّر المقبول، ومراتب الاختلاف في التفسير، وضوابط قبول الإسرائيليات.</w:t>
            </w:r>
          </w:p>
        </w:tc>
      </w:tr>
      <w:tr w:rsidR="00B149ED" w:rsidRPr="00A60245" w14:paraId="067FAF5B" w14:textId="77777777" w:rsidTr="00A011EA">
        <w:tc>
          <w:tcPr>
            <w:tcW w:w="2160" w:type="dxa"/>
            <w:shd w:val="clear" w:color="auto" w:fill="FFFFFF"/>
            <w:tcMar>
              <w:top w:w="72" w:type="dxa"/>
              <w:left w:w="100" w:type="dxa"/>
              <w:bottom w:w="72" w:type="dxa"/>
              <w:right w:w="100" w:type="dxa"/>
            </w:tcMar>
            <w:vAlign w:val="center"/>
          </w:tcPr>
          <w:p w14:paraId="69F3735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هذا الكتاب (معاصر)</w:t>
            </w:r>
          </w:p>
        </w:tc>
        <w:tc>
          <w:tcPr>
            <w:tcW w:w="7645" w:type="dxa"/>
            <w:shd w:val="clear" w:color="auto" w:fill="FFFFFF"/>
            <w:tcMar>
              <w:top w:w="72" w:type="dxa"/>
              <w:left w:w="100" w:type="dxa"/>
              <w:bottom w:w="72" w:type="dxa"/>
              <w:right w:w="100" w:type="dxa"/>
            </w:tcMar>
            <w:vAlign w:val="center"/>
          </w:tcPr>
          <w:p w14:paraId="3B9CB95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يأخذ التراتبية الأساسية من الطبري وابن تيمية، ويضيف تصنيف المدارس الخمس، ويعرضها بلغة فلسفية معاصرة (نظرية السلطة المعرفية) تيسّر الحوار مع القارئ الأكاديمي.</w:t>
            </w:r>
          </w:p>
        </w:tc>
      </w:tr>
    </w:tbl>
    <w:p w14:paraId="6B76DA9F" w14:textId="77777777" w:rsidR="00B149ED" w:rsidRPr="00A60245" w:rsidRDefault="00B149ED" w:rsidP="00B149ED">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فهرم المصادر امتداد للتراث لا قطيعة معه: يأخذ منه التراتبية الأساسية، ويضيف إليها تصنيف المدارس ولغة فلسفية معاصرة.</w:t>
      </w:r>
    </w:p>
    <w:p w14:paraId="49ADF82D" w14:textId="77777777" w:rsidR="00B149ED" w:rsidRPr="00A60245" w:rsidRDefault="00B149ED" w:rsidP="00B149ED">
      <w:pPr>
        <w:bidi/>
        <w:spacing w:after="55"/>
        <w:rPr>
          <w:rFonts w:ascii="Sakkal Majalla" w:hAnsi="Sakkal Majalla" w:cs="Sakkal Majalla"/>
          <w:sz w:val="28"/>
          <w:szCs w:val="28"/>
        </w:rPr>
      </w:pPr>
    </w:p>
    <w:p w14:paraId="3216BE46"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مثال: كيف يُحسم الخلاف حين تختلف المدارس فعلًا؟</w:t>
      </w:r>
    </w:p>
    <w:p w14:paraId="2D8E5ACC"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اختلف المفسرون في درجة إلزام الشورى للحاكم في تفسير ﴿وَشَاوِرْهُمْ فِي الْأَمْرِ﴾ (آل عمران:159). فالطبري، وهو من عمد التفسير الأثري وإن لم يكن ممثل المدرسة في هذا الكتاب، ينقل عن ابن عباس أن الأمر للاستحباب. والقرطبي (المدرسة الفقهية) يعرض قولين: الوجوب عند جمهور الفقهاء، والاستحباب عند فريق آخر. وابن عاشور (المدرسة اللغوية) يستدل بصيغة الأمر الصريحة على الوجوب، مقيَّدًا بوجوب الفعل لا بلزوم النتيجة.</w:t>
      </w:r>
    </w:p>
    <w:p w14:paraId="493E1601"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وهذه طريقة الحسم التي يتبعها الكتاب في مثل هذا الخلاف:</w:t>
      </w:r>
    </w:p>
    <w:p w14:paraId="6DDF12A8"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تحديد نوع الخلاف: هل هو خلاف في الرواية (نصوص متعارضة) أم في الاستنباط (نص واحد وتأويلات مختلفة)؟ والخلاف هنا استنباطي.</w:t>
      </w:r>
    </w:p>
    <w:p w14:paraId="21DB9F42"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الترجيح بما اجتمعت عليه أقوى المدارس في هذا الجانب: ويُرجَّح هنا قول ابن عاشور (وجوب الفعل لا النتيجة)، لموافقته الدلالة اللغوية الصريحة وقول جمهور الفقهاء الذي نقله القرطبي.</w:t>
      </w:r>
    </w:p>
    <w:p w14:paraId="017973EF"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توثيق الخلاف لا إخفاؤه: تسجّل بطاقة الهوية المعرفية لمفهوم الشورى هذا الخلاف صراحة، بدل ادعاء إجماع لا وجود له.</w:t>
      </w:r>
    </w:p>
    <w:p w14:paraId="2B6139D8"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بيان أثر الخلاف في الاشتقاق الإداري: فوجوب الفعل ينتج مبدأً غير الذي ينتجه الاستحباب المحض، ويُذكر هذا الأثر في حقل «الاختلاف التفسيري وأثره» من البطاقة.</w:t>
      </w:r>
    </w:p>
    <w:p w14:paraId="4BF4D8C7" w14:textId="77777777" w:rsidR="00B149ED" w:rsidRPr="00A60245" w:rsidRDefault="00B149ED" w:rsidP="00B149ED">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والدرس أن التكامل بين المدارس لا يعني أن الخلاف يُحسم دائمًا بسهولة؛ فقد ينتهي إلى ترجيح معلَّل، وقد يبقى موثَّقًا بلا حسم. والأمانة أن نفرّق بين الحالتين.</w:t>
      </w:r>
    </w:p>
    <w:p w14:paraId="0B2D3050" w14:textId="77777777" w:rsidR="00B149ED" w:rsidRPr="00A60245" w:rsidRDefault="00B149ED" w:rsidP="00B149ED">
      <w:pPr>
        <w:bidi/>
        <w:spacing w:after="55"/>
        <w:rPr>
          <w:rFonts w:ascii="Sakkal Majalla" w:hAnsi="Sakkal Majalla" w:cs="Sakkal Majalla"/>
          <w:sz w:val="28"/>
          <w:szCs w:val="28"/>
        </w:rPr>
      </w:pPr>
    </w:p>
    <w:p w14:paraId="5FA318F8"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0F01CCDF"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4.2  السنة بيانًا لا منشأً: التأصيل من علم أصول الفقه</w:t>
      </w:r>
    </w:p>
    <w:p w14:paraId="531D3444"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ذكر الفصل الأول أن القرآن منشأ الأفكار، وأن السنة بيان لا منشأ مستقل. وليس هذا اختراعًا منهجيًا، بل تطبيق لما أرساه علم أصول الفقه منذ نشأته:</w:t>
      </w:r>
    </w:p>
    <w:p w14:paraId="226B09D1"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 xml:space="preserve">الشافعي في «الرسالة»: التأسيس الأول</w:t>
      </w:r>
    </w:p>
    <w:p w14:paraId="7F646D17"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يُعدّ الإمام الشافعي (ت.204ه) أول من قعّد منهجيًا لمنزلة السنة من القرآن في «الرسالة»، أول مصنَّف مستقل في أصول الفقه. ويقسّم بيان السنة للقرآن إلى: تفصيل لمجمل، وتخصيص لعام، وإنشاء حكم سكت عنه القرآن.</w:t>
      </w:r>
    </w:p>
    <w:p w14:paraId="4ABA0736" w14:textId="77777777" w:rsidR="00B149ED" w:rsidRPr="00A60245" w:rsidRDefault="00B149ED" w:rsidP="00B149ED">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الشافعي، محمد بن إدريس (ت.204ه). الرسالة. تحقيق أحمد شاكر، مكتبة الحلبي، القاهرة، 1940. الفصل الخاص بـ"بيان السنة للكتاب."</w:t>
      </w:r>
    </w:p>
    <w:p w14:paraId="5DB38632"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 xml:space="preserve">ابن القيم في «إعلام الموقعين»: تقسيم أدق</w:t>
      </w:r>
    </w:p>
    <w:p w14:paraId="4B30155D"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ويطوّر ابن القيم (ت.751ه) هذا التأصيل بتقسيم أدق: فالسنة إما مؤكِّدة لما في القرآن (بيان تأكيدي)، أو مفسّرة لمجمله (بيان تفسيري، وهو الأكثر)، أو منشئة حكمًا سكت عنه القرآن دون أن تخالف أصلًا قرآنيًا (بيان إنشائي مقيّد).</w:t>
      </w:r>
    </w:p>
    <w:p w14:paraId="0EB06B87" w14:textId="77777777" w:rsidR="00B149ED" w:rsidRPr="00A60245" w:rsidRDefault="00B149ED" w:rsidP="00B149ED">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ابن القيم، محمد بن أبي بكر (ت.751ه). إعلام الموقعين. تحقيق طه عبد الرؤوف سعد، دار الجيل، بيروت. الجزء الثاني، مبحث "أقسام بيان السنة للقرآن."</w:t>
      </w:r>
    </w:p>
    <w:p w14:paraId="2119CC3F"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 xml:space="preserve">لماذا يقتصر هذا الكتاب على النوعين الأول والثاني</w:t>
      </w:r>
    </w:p>
    <w:p w14:paraId="75BD5B2F"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يأخذ هذا الكتاب من تقسيم ابن القيم النوعين الأول والثاني (التأكيد والتفسير)، ويتحفّظ عمدًا عن الثالث (الإنشاء المقيّد) مصدرًا مستقلًا. ولا أفعل ذلك لأن النوع الثالث غير معتبر أصوليًا، بل لأن غاية الكتاب أضيق: أن يكون لكل مفهوم إداري أصل قرآني مباشر. وهذا تشدد منهجي فوق ما يشترطه علم الأصول، يخدم الفرضية الصفرية بجعل «الأصالة القرآنية» أصعب تحقيقًا لا أسهل. ويدخل تفصيل المجمل وتخصيص العام عند الشافعي في البيان التفسيري نفسه. أما التصنيف الذي ذكره الفصل الأول (تفسيري، وتطبيقي، ونطاقي) فيصف طريقة البيان داخل هذين النوعين، ولا يضيف نوعًا ثالثًا.</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B149ED" w:rsidRPr="00A60245" w14:paraId="0CCBD3C1" w14:textId="77777777" w:rsidTr="00A011EA">
        <w:tc>
          <w:tcPr>
            <w:tcW w:w="8640" w:type="dxa"/>
            <w:shd w:val="clear" w:color="auto" w:fill="156082"/>
            <w:tcMar>
              <w:top w:w="72" w:type="dxa"/>
              <w:left w:w="100" w:type="dxa"/>
              <w:bottom w:w="72" w:type="dxa"/>
              <w:right w:w="100" w:type="dxa"/>
            </w:tcMar>
            <w:vAlign w:val="center"/>
          </w:tcPr>
          <w:p w14:paraId="7C60132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خلاصة أصولية</w:t>
            </w:r>
          </w:p>
        </w:tc>
      </w:tr>
      <w:tr w:rsidR="00B149ED" w:rsidRPr="00A60245" w14:paraId="1BCB5399" w14:textId="77777777" w:rsidTr="00A011EA">
        <w:tc>
          <w:tcPr>
            <w:tcW w:w="8640" w:type="dxa"/>
            <w:shd w:val="clear" w:color="auto" w:fill="EBF5FB"/>
            <w:tcMar>
              <w:top w:w="72" w:type="dxa"/>
              <w:left w:w="100" w:type="dxa"/>
              <w:bottom w:w="72" w:type="dxa"/>
              <w:right w:w="100" w:type="dxa"/>
            </w:tcMar>
            <w:vAlign w:val="center"/>
          </w:tcPr>
          <w:p w14:paraId="02874E16"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حين يقول هذا الكتاب «السنة بيان لا منشأ»، فهو يستعمل «البيان» بمعناه الأصولي عند الشافعي وابن القيم (التفصيل والتفسير والتأكيد)، ويتحفّظ عمدًا، بتشدد أعلى مما تقتضيه الأصول، عن البيان الإنشائي المقيّد مصدرًا مستقلًا للمفاهيم.</w:t>
            </w:r>
          </w:p>
        </w:tc>
      </w:tr>
    </w:tbl>
    <w:p w:rsidR="00B149ED" w:rsidRPr="00A60245" w:rsidRDefault="00B149ED" w:rsidP="00B149ED">
      <w:pPr>
        <w:bidi/>
        <w:spacing w:after="55"/>
        <w:rPr>
          <w:rFonts w:ascii="Sakkal Majalla" w:hAnsi="Sakkal Majalla" w:cs="Sakkal Majalla"/>
          <w:sz w:val="28"/>
          <w:szCs w:val="28"/>
        </w:rPr>
      </w:pPr>
    </w:p>
    <w:p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وتؤدي السنة في هذا الكتاب وظيفة البيان والتطبيق والتجسيد، ولا تُستعمل غطاءً يضيف شرعية شكلية إلى مفهوم سبق بناؤه. فحين نستشهد بحديث، قولًا كان أو فعلًا أو تقريرًا، نوضح نوع علاقته بالآية أو بالمفهوم: هل يفسّر مجملًا، أم يخصّص معنى عامًا، أم يقدّم نموذجًا سلوكيًا، أم يضيء سياقًا تاريخيًا؟ فالحديث لا يؤدي الوظيفة نفسها في كل موضع. ثم إن صحة الحديث لا تعني تلقائيًا أن الانتقال منه إلى إجراء إداري تمّ بصورة صحيحة؛ فذلك الانتقال نفسه يحتاج إلى شرح واختبار.</w:t>
      </w:r>
    </w:p>
    <w:p w14:paraId="6252D180" w14:textId="77777777" w:rsidR="00B149ED" w:rsidRPr="00A60245" w:rsidRDefault="00B149ED" w:rsidP="00B149ED">
      <w:pPr>
        <w:bidi/>
        <w:spacing w:after="55"/>
        <w:rPr>
          <w:rFonts w:ascii="Sakkal Majalla" w:hAnsi="Sakkal Majalla" w:cs="Sakkal Majalla"/>
          <w:sz w:val="28"/>
          <w:szCs w:val="28"/>
        </w:rPr>
      </w:pPr>
    </w:p>
    <w:p w14:paraId="1E3BFFD5"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7ED24A2B"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4.3  خمس مدارس تفسيرية: معايير الاختيار والتحليل النقدي</w:t>
      </w:r>
    </w:p>
    <w:p w14:paraId="647451E0"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يكفي أن نذكر «خمس مدارس تفسيرية»؛ ينبغي أن نبيّن لماذا هذه الخمس، وما معيار اختيار ممثل كل مدرسة، وما حدود سلطته. ومعايير الاختيار أربعة:</w:t>
      </w:r>
    </w:p>
    <w:p w14:paraId="5D75DAC3"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التمثيل المنهجي: أن يكون العالِم صاحب منهج تفسيري متكامل، لا ناقلًا فقط.</w:t>
      </w:r>
    </w:p>
    <w:p w14:paraId="0D564342"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الاعتراف العلمي الواسع: أن يحظى تفسيره بقبول ممتد عبر القرون، لا بشهرة عابرة.</w:t>
      </w:r>
    </w:p>
    <w:p w14:paraId="415EFB57"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الاكتمال: أن يغطي التفسير القرآن كاملًا لا أجزاء متفرقة منه.</w:t>
      </w:r>
    </w:p>
    <w:p w14:paraId="73DD1391"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إتاحة النص: أن يكون التفسير محقَّقًا ومطبوعًا طباعة موثوقة.</w:t>
      </w:r>
    </w:p>
    <w:p w14:paraId="03448F26" w14:textId="77777777" w:rsidR="00B149ED" w:rsidRPr="00A60245" w:rsidRDefault="00B149ED" w:rsidP="00B149ED">
      <w:pPr>
        <w:bidi/>
        <w:spacing w:after="55"/>
        <w:rPr>
          <w:rFonts w:ascii="Sakkal Majalla" w:hAnsi="Sakkal Majalla" w:cs="Sakkal Majalla"/>
          <w:sz w:val="28"/>
          <w:szCs w:val="28"/>
        </w:rPr>
      </w:pP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2160"/>
        <w:gridCol w:w="1800"/>
        <w:gridCol w:w="2965"/>
      </w:tblGrid>
      <w:tr w:rsidR="00B149ED" w:rsidRPr="00A60245" w14:paraId="34E5C1F7" w14:textId="77777777" w:rsidTr="00A011EA">
        <w:tc>
          <w:tcPr>
            <w:tcW w:w="360" w:type="dxa"/>
            <w:shd w:val="clear" w:color="auto" w:fill="1F3864"/>
            <w:tcMar>
              <w:top w:w="72" w:type="dxa"/>
              <w:left w:w="100" w:type="dxa"/>
              <w:bottom w:w="72" w:type="dxa"/>
              <w:right w:w="100" w:type="dxa"/>
            </w:tcMar>
            <w:vAlign w:val="center"/>
          </w:tcPr>
          <w:p w14:paraId="783466D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w:t>
            </w:r>
          </w:p>
        </w:tc>
        <w:tc>
          <w:tcPr>
            <w:tcW w:w="2160" w:type="dxa"/>
            <w:shd w:val="clear" w:color="auto" w:fill="1F3864"/>
            <w:tcMar>
              <w:top w:w="72" w:type="dxa"/>
              <w:left w:w="100" w:type="dxa"/>
              <w:bottom w:w="72" w:type="dxa"/>
              <w:right w:w="100" w:type="dxa"/>
            </w:tcMar>
            <w:vAlign w:val="center"/>
          </w:tcPr>
          <w:p w14:paraId="0D593AB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المدرسة والممثل</w:t>
            </w:r>
          </w:p>
        </w:tc>
        <w:tc>
          <w:tcPr>
            <w:tcW w:w="2160" w:type="dxa"/>
            <w:shd w:val="clear" w:color="auto" w:fill="1F3864"/>
            <w:tcMar>
              <w:top w:w="72" w:type="dxa"/>
              <w:left w:w="100" w:type="dxa"/>
              <w:bottom w:w="72" w:type="dxa"/>
              <w:right w:w="100" w:type="dxa"/>
            </w:tcMar>
            <w:vAlign w:val="center"/>
          </w:tcPr>
          <w:p w14:paraId="332F5B4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المنهج المميِّز</w:t>
            </w:r>
          </w:p>
        </w:tc>
        <w:tc>
          <w:tcPr>
            <w:tcW w:w="1800" w:type="dxa"/>
            <w:shd w:val="clear" w:color="auto" w:fill="1F3864"/>
            <w:tcMar>
              <w:top w:w="72" w:type="dxa"/>
              <w:left w:w="100" w:type="dxa"/>
              <w:bottom w:w="72" w:type="dxa"/>
              <w:right w:w="100" w:type="dxa"/>
            </w:tcMar>
            <w:vAlign w:val="center"/>
          </w:tcPr>
          <w:p w14:paraId="3ACD548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نقاط القوة لهذا الكتاب</w:t>
            </w:r>
          </w:p>
        </w:tc>
        <w:tc>
          <w:tcPr>
            <w:tcW w:w="2965" w:type="dxa"/>
            <w:shd w:val="clear" w:color="auto" w:fill="1F3864"/>
            <w:tcMar>
              <w:top w:w="72" w:type="dxa"/>
              <w:left w:w="100" w:type="dxa"/>
              <w:bottom w:w="72" w:type="dxa"/>
              <w:right w:w="100" w:type="dxa"/>
            </w:tcMar>
            <w:vAlign w:val="center"/>
          </w:tcPr>
          <w:p w14:paraId="722FF56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الحدود والتحفظات</w:t>
            </w:r>
          </w:p>
        </w:tc>
      </w:tr>
      <w:tr w:rsidR="00B149ED" w:rsidRPr="00A60245" w14:paraId="19173037" w14:textId="77777777" w:rsidTr="00A011EA">
        <w:tc>
          <w:tcPr>
            <w:tcW w:w="360" w:type="dxa"/>
            <w:shd w:val="clear" w:color="auto" w:fill="EBF5FB"/>
            <w:tcMar>
              <w:top w:w="72" w:type="dxa"/>
              <w:left w:w="100" w:type="dxa"/>
              <w:bottom w:w="72" w:type="dxa"/>
              <w:right w:w="100" w:type="dxa"/>
            </w:tcMar>
            <w:vAlign w:val="center"/>
          </w:tcPr>
          <w:p w14:paraId="6D4EE2E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١</w:t>
            </w:r>
          </w:p>
        </w:tc>
        <w:tc>
          <w:tcPr>
            <w:tcW w:w="2160" w:type="dxa"/>
            <w:shd w:val="clear" w:color="auto" w:fill="F8F8F8"/>
            <w:tcMar>
              <w:top w:w="72" w:type="dxa"/>
              <w:left w:w="100" w:type="dxa"/>
              <w:bottom w:w="72" w:type="dxa"/>
              <w:right w:w="100" w:type="dxa"/>
            </w:tcMar>
            <w:vAlign w:val="center"/>
          </w:tcPr>
          <w:p w14:paraId="06632D9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الأثرية ابن كثير (ت.774ه) تفسير القرآن العظيم</w:t>
            </w:r>
          </w:p>
        </w:tc>
        <w:tc>
          <w:tcPr>
            <w:tcW w:w="2160" w:type="dxa"/>
            <w:shd w:val="clear" w:color="auto" w:fill="F8F8F8"/>
            <w:tcMar>
              <w:top w:w="72" w:type="dxa"/>
              <w:left w:w="100" w:type="dxa"/>
              <w:bottom w:w="72" w:type="dxa"/>
              <w:right w:w="100" w:type="dxa"/>
            </w:tcMar>
            <w:vAlign w:val="center"/>
          </w:tcPr>
          <w:p w14:paraId="25D85E3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تفسير القرآن بالقرآن أولاً، ثم بالسنة، ثم بأقوال الصحابة والتابعين. يُقدِّم النقل على العقل عند التعارض.</w:t>
            </w:r>
          </w:p>
        </w:tc>
        <w:tc>
          <w:tcPr>
            <w:tcW w:w="1800" w:type="dxa"/>
            <w:shd w:val="clear" w:color="auto" w:fill="EBF5E0"/>
            <w:tcMar>
              <w:top w:w="72" w:type="dxa"/>
              <w:left w:w="100" w:type="dxa"/>
              <w:bottom w:w="72" w:type="dxa"/>
              <w:right w:w="100" w:type="dxa"/>
            </w:tcMar>
            <w:vAlign w:val="center"/>
          </w:tcPr>
          <w:p w14:paraId="78A2F01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أعلى درجة من الضبط في نسبة الأقوال ومصادرها — يمنع الانزلاق للرأي المحض.</w:t>
            </w:r>
          </w:p>
        </w:tc>
        <w:tc>
          <w:tcPr>
            <w:tcW w:w="2965" w:type="dxa"/>
            <w:shd w:val="clear" w:color="auto" w:fill="FFF5F5"/>
            <w:tcMar>
              <w:top w:w="72" w:type="dxa"/>
              <w:left w:w="100" w:type="dxa"/>
              <w:bottom w:w="72" w:type="dxa"/>
              <w:right w:w="100" w:type="dxa"/>
            </w:tcMar>
            <w:vAlign w:val="center"/>
          </w:tcPr>
          <w:p w14:paraId="1DE2991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00000"/>
                <w:sz w:val="28"/>
                <w:szCs w:val="28"/>
                <w:rtl/>
              </w:rPr>
              <w:t>قد يُهمل أحياناً الدلالات اللغوية الدقيقة لصالح النقل المباشر — يُستكمَل بالمدرسة اللغوية.</w:t>
            </w:r>
          </w:p>
        </w:tc>
      </w:tr>
      <w:tr w:rsidR="00B149ED" w:rsidRPr="00A60245" w14:paraId="3FA5D061" w14:textId="77777777" w:rsidTr="00A011EA">
        <w:tc>
          <w:tcPr>
            <w:tcW w:w="360" w:type="dxa"/>
            <w:shd w:val="clear" w:color="auto" w:fill="FFF2CC"/>
            <w:tcMar>
              <w:top w:w="72" w:type="dxa"/>
              <w:left w:w="100" w:type="dxa"/>
              <w:bottom w:w="72" w:type="dxa"/>
              <w:right w:w="100" w:type="dxa"/>
            </w:tcMar>
            <w:vAlign w:val="center"/>
          </w:tcPr>
          <w:p w14:paraId="29A17E4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٢</w:t>
            </w:r>
          </w:p>
        </w:tc>
        <w:tc>
          <w:tcPr>
            <w:tcW w:w="2160" w:type="dxa"/>
            <w:shd w:val="clear" w:color="auto" w:fill="FFFFFF"/>
            <w:tcMar>
              <w:top w:w="72" w:type="dxa"/>
              <w:left w:w="100" w:type="dxa"/>
              <w:bottom w:w="72" w:type="dxa"/>
              <w:right w:w="100" w:type="dxa"/>
            </w:tcMar>
            <w:vAlign w:val="center"/>
          </w:tcPr>
          <w:p w14:paraId="3377456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اللغوية والبيانية ابن عاشور (ت.1393ه) التحرير والتنوير</w:t>
            </w:r>
          </w:p>
        </w:tc>
        <w:tc>
          <w:tcPr>
            <w:tcW w:w="2160" w:type="dxa"/>
            <w:shd w:val="clear" w:color="auto" w:fill="FFFFFF"/>
            <w:tcMar>
              <w:top w:w="72" w:type="dxa"/>
              <w:left w:w="100" w:type="dxa"/>
              <w:bottom w:w="72" w:type="dxa"/>
              <w:right w:w="100" w:type="dxa"/>
            </w:tcMar>
            <w:vAlign w:val="center"/>
          </w:tcPr>
          <w:p w14:paraId="01ADB2A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تحليل لغوي ومقاصدي عميق يربط الدلالة اللفظية بالمقصد الكلي للسورة — امتداد لمنهج الزمخشري مُهذَّباً من اعتزاله.</w:t>
            </w:r>
          </w:p>
        </w:tc>
        <w:tc>
          <w:tcPr>
            <w:tcW w:w="1800" w:type="dxa"/>
            <w:shd w:val="clear" w:color="auto" w:fill="FFFFFF"/>
            <w:tcMar>
              <w:top w:w="72" w:type="dxa"/>
              <w:left w:w="100" w:type="dxa"/>
              <w:bottom w:w="72" w:type="dxa"/>
              <w:right w:w="100" w:type="dxa"/>
            </w:tcMar>
            <w:vAlign w:val="center"/>
          </w:tcPr>
          <w:p w14:paraId="7FAB28F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أدق تحليل نحوي وصرفي وبلاغي متاح في التفسير الحديث.</w:t>
            </w:r>
          </w:p>
        </w:tc>
        <w:tc>
          <w:tcPr>
            <w:tcW w:w="2965" w:type="dxa"/>
            <w:shd w:val="clear" w:color="auto" w:fill="FFFFFF"/>
            <w:tcMar>
              <w:top w:w="72" w:type="dxa"/>
              <w:left w:w="100" w:type="dxa"/>
              <w:bottom w:w="72" w:type="dxa"/>
              <w:right w:w="100" w:type="dxa"/>
            </w:tcMar>
            <w:vAlign w:val="center"/>
          </w:tcPr>
          <w:p w14:paraId="644ED74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00000"/>
                <w:sz w:val="28"/>
                <w:szCs w:val="28"/>
                <w:rtl/>
              </w:rPr>
              <w:t>تأثره بالفلسفة المقاصدية يستوجب تمييز ما هو استنباط من النص عما هو إسقاط مقاصدي لاحق.</w:t>
            </w:r>
          </w:p>
        </w:tc>
      </w:tr>
      <w:tr w:rsidR="00B149ED" w:rsidRPr="00A60245" w14:paraId="077DE2DB" w14:textId="77777777" w:rsidTr="00A011EA">
        <w:tc>
          <w:tcPr>
            <w:tcW w:w="360" w:type="dxa"/>
            <w:shd w:val="clear" w:color="auto" w:fill="EBF5E0"/>
            <w:tcMar>
              <w:top w:w="72" w:type="dxa"/>
              <w:left w:w="100" w:type="dxa"/>
              <w:bottom w:w="72" w:type="dxa"/>
              <w:right w:w="100" w:type="dxa"/>
            </w:tcMar>
            <w:vAlign w:val="center"/>
          </w:tcPr>
          <w:p w14:paraId="5737F04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٣</w:t>
            </w:r>
          </w:p>
        </w:tc>
        <w:tc>
          <w:tcPr>
            <w:tcW w:w="2160" w:type="dxa"/>
            <w:shd w:val="clear" w:color="auto" w:fill="F8F8F8"/>
            <w:tcMar>
              <w:top w:w="72" w:type="dxa"/>
              <w:left w:w="100" w:type="dxa"/>
              <w:bottom w:w="72" w:type="dxa"/>
              <w:right w:w="100" w:type="dxa"/>
            </w:tcMar>
            <w:vAlign w:val="center"/>
          </w:tcPr>
          <w:p w14:paraId="180ABCBA"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الفقهية القرطبي (ت.671ه) الجامع لأحكام القرآن</w:t>
            </w:r>
          </w:p>
        </w:tc>
        <w:tc>
          <w:tcPr>
            <w:tcW w:w="2160" w:type="dxa"/>
            <w:shd w:val="clear" w:color="auto" w:fill="F8F8F8"/>
            <w:tcMar>
              <w:top w:w="72" w:type="dxa"/>
              <w:left w:w="100" w:type="dxa"/>
              <w:bottom w:w="72" w:type="dxa"/>
              <w:right w:w="100" w:type="dxa"/>
            </w:tcMar>
            <w:vAlign w:val="center"/>
          </w:tcPr>
          <w:p w14:paraId="6EF6DD9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 xml:space="preserve">استخراج الأحكام الفقهية من الآيات مع استعراض خلاف المذاهب الأربعة </w:t>
            </w:r>
            <w:r w:rsidRPr="00A60245">
              <w:rPr>
                <w:rFonts w:ascii="Sakkal Majalla" w:hAnsi="Sakkal Majalla" w:cs="Sakkal Majalla"/>
                <w:color w:val="000000"/>
                <w:sz w:val="28"/>
                <w:szCs w:val="28"/>
                <w:rtl/>
              </w:rPr>
              <w:lastRenderedPageBreak/>
              <w:t>وترجيح القرطبي الخاص (مالكي الأصل).</w:t>
            </w:r>
          </w:p>
        </w:tc>
        <w:tc>
          <w:tcPr>
            <w:tcW w:w="1800" w:type="dxa"/>
            <w:shd w:val="clear" w:color="auto" w:fill="EBF5E0"/>
            <w:tcMar>
              <w:top w:w="72" w:type="dxa"/>
              <w:left w:w="100" w:type="dxa"/>
              <w:bottom w:w="72" w:type="dxa"/>
              <w:right w:w="100" w:type="dxa"/>
            </w:tcMar>
            <w:vAlign w:val="center"/>
          </w:tcPr>
          <w:p w14:paraId="0FA1037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lastRenderedPageBreak/>
              <w:t xml:space="preserve">لا نظير له في ربط النص بالتطبيق العملي المُحدَّد — يخدم مباشرةً هدف </w:t>
            </w:r>
            <w:r w:rsidRPr="00A60245">
              <w:rPr>
                <w:rFonts w:ascii="Sakkal Majalla" w:hAnsi="Sakkal Majalla" w:cs="Sakkal Majalla"/>
                <w:color w:val="000000"/>
                <w:sz w:val="28"/>
                <w:szCs w:val="28"/>
                <w:rtl/>
              </w:rPr>
              <w:lastRenderedPageBreak/>
              <w:t>اشتقاق مبادئ إدارية تطبيقية.</w:t>
            </w:r>
          </w:p>
        </w:tc>
        <w:tc>
          <w:tcPr>
            <w:tcW w:w="2965" w:type="dxa"/>
            <w:shd w:val="clear" w:color="auto" w:fill="FFF5F5"/>
            <w:tcMar>
              <w:top w:w="72" w:type="dxa"/>
              <w:left w:w="100" w:type="dxa"/>
              <w:bottom w:w="72" w:type="dxa"/>
              <w:right w:w="100" w:type="dxa"/>
            </w:tcMar>
            <w:vAlign w:val="center"/>
          </w:tcPr>
          <w:p w14:paraId="2F0FAD7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00000"/>
                <w:sz w:val="28"/>
                <w:szCs w:val="28"/>
                <w:rtl/>
              </w:rPr>
              <w:lastRenderedPageBreak/>
              <w:t>الأحكام الفقهية أحياناً مقيَّدة بسياق تاريخي تشريعي يحتاج تمييزاً عن المبدأ الكلي.</w:t>
            </w:r>
          </w:p>
        </w:tc>
      </w:tr>
      <w:tr w:rsidR="00B149ED" w:rsidRPr="00A60245" w14:paraId="1D619D2B" w14:textId="77777777" w:rsidTr="00A011EA">
        <w:tc>
          <w:tcPr>
            <w:tcW w:w="360" w:type="dxa"/>
            <w:shd w:val="clear" w:color="auto" w:fill="F2E8F8"/>
            <w:tcMar>
              <w:top w:w="72" w:type="dxa"/>
              <w:left w:w="100" w:type="dxa"/>
              <w:bottom w:w="72" w:type="dxa"/>
              <w:right w:w="100" w:type="dxa"/>
            </w:tcMar>
            <w:vAlign w:val="center"/>
          </w:tcPr>
          <w:p w14:paraId="0374A96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٤</w:t>
            </w:r>
          </w:p>
        </w:tc>
        <w:tc>
          <w:tcPr>
            <w:tcW w:w="2160" w:type="dxa"/>
            <w:shd w:val="clear" w:color="auto" w:fill="FFFFFF"/>
            <w:tcMar>
              <w:top w:w="72" w:type="dxa"/>
              <w:left w:w="100" w:type="dxa"/>
              <w:bottom w:w="72" w:type="dxa"/>
              <w:right w:w="100" w:type="dxa"/>
            </w:tcMar>
            <w:vAlign w:val="center"/>
          </w:tcPr>
          <w:p w14:paraId="2D929C1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الكلامية الرازي (ت.606ه) مفاتيح الغيب</w:t>
            </w:r>
          </w:p>
        </w:tc>
        <w:tc>
          <w:tcPr>
            <w:tcW w:w="2160" w:type="dxa"/>
            <w:shd w:val="clear" w:color="auto" w:fill="FFFFFF"/>
            <w:tcMar>
              <w:top w:w="72" w:type="dxa"/>
              <w:left w:w="100" w:type="dxa"/>
              <w:bottom w:w="72" w:type="dxa"/>
              <w:right w:w="100" w:type="dxa"/>
            </w:tcMar>
            <w:vAlign w:val="center"/>
          </w:tcPr>
          <w:p w14:paraId="6C7B24D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تفسير موسوعي يستقصي الإشكالات العقدية والفلسفية والعلمية في كل آية — أشمل تفسير في مناقشة الاعتراضات.</w:t>
            </w:r>
          </w:p>
        </w:tc>
        <w:tc>
          <w:tcPr>
            <w:tcW w:w="1800" w:type="dxa"/>
            <w:shd w:val="clear" w:color="auto" w:fill="FFFFFF"/>
            <w:tcMar>
              <w:top w:w="72" w:type="dxa"/>
              <w:left w:w="100" w:type="dxa"/>
              <w:bottom w:w="72" w:type="dxa"/>
              <w:right w:w="100" w:type="dxa"/>
            </w:tcMar>
            <w:vAlign w:val="center"/>
          </w:tcPr>
          <w:p w14:paraId="4B419AC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لا مثيل له في استقصاء كل احتمال تأويلي — يخدم منهجية مواجهة الاعتراضات.</w:t>
            </w:r>
          </w:p>
        </w:tc>
        <w:tc>
          <w:tcPr>
            <w:tcW w:w="2965" w:type="dxa"/>
            <w:shd w:val="clear" w:color="auto" w:fill="FFFFFF"/>
            <w:tcMar>
              <w:top w:w="72" w:type="dxa"/>
              <w:left w:w="100" w:type="dxa"/>
              <w:bottom w:w="72" w:type="dxa"/>
              <w:right w:w="100" w:type="dxa"/>
            </w:tcMar>
            <w:vAlign w:val="center"/>
          </w:tcPr>
          <w:p w14:paraId="2EDADD1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00000"/>
                <w:sz w:val="28"/>
                <w:szCs w:val="28"/>
                <w:rtl/>
              </w:rPr>
              <w:t>إطالته الكلامية أحياناً تُبعد عن السياق المباشر للآية.</w:t>
            </w:r>
          </w:p>
        </w:tc>
      </w:tr>
      <w:tr w:rsidR="00B149ED" w:rsidRPr="00A60245" w14:paraId="2D049A48" w14:textId="77777777" w:rsidTr="00A011EA">
        <w:tc>
          <w:tcPr>
            <w:tcW w:w="360" w:type="dxa"/>
            <w:shd w:val="clear" w:color="auto" w:fill="FFF0F0"/>
            <w:tcMar>
              <w:top w:w="72" w:type="dxa"/>
              <w:left w:w="100" w:type="dxa"/>
              <w:bottom w:w="72" w:type="dxa"/>
              <w:right w:w="100" w:type="dxa"/>
            </w:tcMar>
            <w:vAlign w:val="center"/>
          </w:tcPr>
          <w:p w14:paraId="44D7493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٥</w:t>
            </w:r>
          </w:p>
        </w:tc>
        <w:tc>
          <w:tcPr>
            <w:tcW w:w="2160" w:type="dxa"/>
            <w:shd w:val="clear" w:color="auto" w:fill="F8F8F8"/>
            <w:tcMar>
              <w:top w:w="72" w:type="dxa"/>
              <w:left w:w="100" w:type="dxa"/>
              <w:bottom w:w="72" w:type="dxa"/>
              <w:right w:w="100" w:type="dxa"/>
            </w:tcMar>
            <w:vAlign w:val="center"/>
          </w:tcPr>
          <w:p w14:paraId="1220D7F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الأدبية والحركية سيد قطب (ت.1966م) في ظلال القرآن</w:t>
            </w:r>
          </w:p>
        </w:tc>
        <w:tc>
          <w:tcPr>
            <w:tcW w:w="2160" w:type="dxa"/>
            <w:shd w:val="clear" w:color="auto" w:fill="F8F8F8"/>
            <w:tcMar>
              <w:top w:w="72" w:type="dxa"/>
              <w:left w:w="100" w:type="dxa"/>
              <w:bottom w:w="72" w:type="dxa"/>
              <w:right w:w="100" w:type="dxa"/>
            </w:tcMar>
            <w:vAlign w:val="center"/>
          </w:tcPr>
          <w:p w14:paraId="1108EFE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قراءة القرآن كنص حي يخاطب الوجدان قبل العقل — يُبرز "الصورة الفنية" والبُعد الحركي التطبيقي للآيات.</w:t>
            </w:r>
          </w:p>
        </w:tc>
        <w:tc>
          <w:tcPr>
            <w:tcW w:w="1800" w:type="dxa"/>
            <w:shd w:val="clear" w:color="auto" w:fill="EBF5E0"/>
            <w:tcMar>
              <w:top w:w="72" w:type="dxa"/>
              <w:left w:w="100" w:type="dxa"/>
              <w:bottom w:w="72" w:type="dxa"/>
              <w:right w:w="100" w:type="dxa"/>
            </w:tcMar>
            <w:vAlign w:val="center"/>
          </w:tcPr>
          <w:p w14:paraId="1EE9137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يكشف أبعاداً نفسية وحركية تُغفلها المدارس الأربع — ضروري لفهم "كيف تُحرِّك الآية الإنسان."</w:t>
            </w:r>
          </w:p>
        </w:tc>
        <w:tc>
          <w:tcPr>
            <w:tcW w:w="2965" w:type="dxa"/>
            <w:shd w:val="clear" w:color="auto" w:fill="FFF5F5"/>
            <w:tcMar>
              <w:top w:w="72" w:type="dxa"/>
              <w:left w:w="100" w:type="dxa"/>
              <w:bottom w:w="72" w:type="dxa"/>
              <w:right w:w="100" w:type="dxa"/>
            </w:tcMar>
            <w:vAlign w:val="center"/>
          </w:tcPr>
          <w:p w14:paraId="6E9D8BA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00000"/>
                <w:sz w:val="28"/>
                <w:szCs w:val="28"/>
                <w:rtl/>
              </w:rPr>
              <w:t>أقل التزاماً بالضبط الإسنادي الدقيق من ابن كثير — يُستخدَم مُكمِّلاً لا أساساً وحيداً.</w:t>
            </w:r>
          </w:p>
        </w:tc>
      </w:tr>
    </w:tbl>
    <w:p w14:paraId="249F909A" w14:textId="77777777" w:rsidR="00B149ED" w:rsidRPr="00A60245" w:rsidRDefault="00B149ED" w:rsidP="00B149ED">
      <w:pPr>
        <w:bidi/>
        <w:spacing w:after="55"/>
        <w:rPr>
          <w:rFonts w:ascii="Sakkal Majalla" w:hAnsi="Sakkal Majalla" w:cs="Sakkal Majalla"/>
          <w:sz w:val="28"/>
          <w:szCs w:val="28"/>
        </w:rPr>
      </w:pPr>
      <w:r w:rsidRPr="00A60245">
        <w:rPr>
          <w:rFonts w:ascii="Sakkal Majalla" w:hAnsi="Sakkal Majalla" w:cs="Sakkal Majalla"/>
          <w:i/>
          <w:iCs/>
          <w:color w:val="595959"/>
          <w:sz w:val="28"/>
          <w:szCs w:val="28"/>
          <w:rtl/>
        </w:rPr>
        <w:t>جدول 4.1 — خمس مدارس تفسيرية بمعايير الاختيار الأربعة، مع نقاط القوة والحدود الصريحة لكل منها.</w:t>
      </w:r>
    </w:p>
    <w:p w14:paraId="187B329F" w14:textId="77777777" w:rsidR="00B149ED" w:rsidRPr="00A60245" w:rsidRDefault="00B149ED" w:rsidP="00B149ED">
      <w:pPr>
        <w:bidi/>
        <w:spacing w:after="55"/>
        <w:rPr>
          <w:rFonts w:ascii="Sakkal Majalla" w:hAnsi="Sakkal Majalla" w:cs="Sakkal Majalla"/>
          <w:sz w:val="28"/>
          <w:szCs w:val="28"/>
        </w:rPr>
      </w:pPr>
    </w:p>
    <w:p w14:paraId="4951CCF6" w14:textId="77777777" w:rsidR="00B149ED" w:rsidRPr="00A60245" w:rsidRDefault="00B149ED" w:rsidP="00B149ED">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ويلتزم الكتاب بالجمع التكاملي بين المدارس لا بالتلفيق بينها: ابن كثير للضبط الإسنادي، وابن عاشور للتحليل اللغوي، والقرطبي للتطبيق الفقهي، والرازي لمواجهة الاعتراضات، وسيد قطب للبعد الحركي؛ فلكل مدرسة السؤال الذي صُمّمت للإجابة عنه.</w:t>
      </w:r>
    </w:p>
    <w:p w:rsidR="00B149ED" w:rsidRPr="00A60245" w:rsidRDefault="00B149ED" w:rsidP="00B149ED">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ولا أعالج اختلاف المفسرين بوصفه مشكلة ينبغي إخفاؤها حتى تظهر نتيجة موحّدة؛ فالاختلاف جزء من المادة العلمية نفسها. فحين تتعدد الأقوال، أعرض موضع الاتفاق، وموضع الاختلاف، وسبب الترجيح إن وُجد، وأثر كل تفسير في المفهوم الإداري. وإذا بقي الخلاف مؤثرًا ولم يمكن حسمه بالأدلة المتاحة، صرّحت بذلك. ولا يعني التواضع في الترجيح أن الأقوال كلها متساوية، كما لا يعني اختيار قول واحد أن الخلاف لم يكن موجودًا.</w:t>
      </w:r>
    </w:p>
    <w:p w14:paraId="6230D2FB" w14:textId="77777777" w:rsidR="00B149ED" w:rsidRPr="00A60245" w:rsidRDefault="00B149ED" w:rsidP="00B149ED">
      <w:pPr>
        <w:bidi/>
        <w:spacing w:after="55"/>
        <w:rPr>
          <w:rFonts w:ascii="Sakkal Majalla" w:hAnsi="Sakkal Majalla" w:cs="Sakkal Majalla"/>
          <w:sz w:val="28"/>
          <w:szCs w:val="28"/>
        </w:rPr>
      </w:pPr>
    </w:p>
    <w:p w14:paraId="061ACA51"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منظور مقارن: كيف تعالج تقاليد دينية أخرى علاقة النص بالتفسير؟</w:t>
      </w:r>
    </w:p>
    <w:p w14:paraId="4CD044D1"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ويفيد هنا أن ننظر في كيفية معالجة تقاليد دينية أخرى للإشكالية البنيوية نفسها: نص مقدّس يحتاج إلى تفسير بشري يتراكم عبر الأجيال. والغرض بيان أن الإشكالية إنسانية عامة، لا الحكم بتفوق نظام على آخر:</w:t>
      </w: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515"/>
        <w:gridCol w:w="2340"/>
      </w:tblGrid>
      <w:tr w:rsidR="00B149ED" w:rsidRPr="00A60245" w14:paraId="2F6FD4FC" w14:textId="77777777" w:rsidTr="00A011EA">
        <w:tc>
          <w:tcPr>
            <w:tcW w:w="1440" w:type="dxa"/>
            <w:shd w:val="clear" w:color="auto" w:fill="1F3864"/>
            <w:tcMar>
              <w:top w:w="72" w:type="dxa"/>
              <w:left w:w="100" w:type="dxa"/>
              <w:bottom w:w="72" w:type="dxa"/>
              <w:right w:w="100" w:type="dxa"/>
            </w:tcMar>
            <w:vAlign w:val="center"/>
          </w:tcPr>
          <w:p w14:paraId="6CECD30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النموذج</w:t>
            </w:r>
          </w:p>
        </w:tc>
        <w:tc>
          <w:tcPr>
            <w:tcW w:w="3240" w:type="dxa"/>
            <w:shd w:val="clear" w:color="auto" w:fill="1F3864"/>
            <w:tcMar>
              <w:top w:w="72" w:type="dxa"/>
              <w:left w:w="100" w:type="dxa"/>
              <w:bottom w:w="72" w:type="dxa"/>
              <w:right w:w="100" w:type="dxa"/>
            </w:tcMar>
            <w:vAlign w:val="center"/>
          </w:tcPr>
          <w:p w14:paraId="546889D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آلية السلطة</w:t>
            </w:r>
          </w:p>
        </w:tc>
        <w:tc>
          <w:tcPr>
            <w:tcW w:w="2515" w:type="dxa"/>
            <w:shd w:val="clear" w:color="auto" w:fill="1F3864"/>
            <w:tcMar>
              <w:top w:w="72" w:type="dxa"/>
              <w:left w:w="100" w:type="dxa"/>
              <w:bottom w:w="72" w:type="dxa"/>
              <w:right w:w="100" w:type="dxa"/>
            </w:tcMar>
            <w:vAlign w:val="center"/>
          </w:tcPr>
          <w:p w14:paraId="497DA05A"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نقطة القوة</w:t>
            </w:r>
          </w:p>
        </w:tc>
        <w:tc>
          <w:tcPr>
            <w:tcW w:w="2340" w:type="dxa"/>
            <w:shd w:val="clear" w:color="auto" w:fill="1F3864"/>
            <w:tcMar>
              <w:top w:w="72" w:type="dxa"/>
              <w:left w:w="100" w:type="dxa"/>
              <w:bottom w:w="72" w:type="dxa"/>
              <w:right w:w="100" w:type="dxa"/>
            </w:tcMar>
            <w:vAlign w:val="center"/>
          </w:tcPr>
          <w:p w14:paraId="737D77F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نقطة الضعف</w:t>
            </w:r>
          </w:p>
        </w:tc>
      </w:tr>
      <w:tr w:rsidR="00B149ED" w:rsidRPr="00A60245" w14:paraId="4DBDE5CC" w14:textId="77777777" w:rsidTr="00A011EA">
        <w:tc>
          <w:tcPr>
            <w:tcW w:w="1440" w:type="dxa"/>
            <w:shd w:val="clear" w:color="auto" w:fill="EBF5FB"/>
            <w:tcMar>
              <w:top w:w="72" w:type="dxa"/>
              <w:left w:w="100" w:type="dxa"/>
              <w:bottom w:w="72" w:type="dxa"/>
              <w:right w:w="100" w:type="dxa"/>
            </w:tcMar>
            <w:vAlign w:val="center"/>
          </w:tcPr>
          <w:p w14:paraId="704A9F6F"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F3864"/>
                <w:sz w:val="28"/>
                <w:szCs w:val="28"/>
                <w:rtl/>
              </w:rPr>
              <w:t xml:space="preserve">اليهودي (التقليد الحاخامي: المشنا والتلمود)</w:t>
            </w:r>
          </w:p>
        </w:tc>
        <w:tc>
          <w:tcPr>
            <w:tcW w:w="3240" w:type="dxa"/>
            <w:shd w:val="clear" w:color="auto" w:fill="F5F5F5"/>
            <w:tcMar>
              <w:top w:w="72" w:type="dxa"/>
              <w:left w:w="100" w:type="dxa"/>
              <w:bottom w:w="72" w:type="dxa"/>
              <w:right w:w="100" w:type="dxa"/>
            </w:tcMar>
            <w:vAlign w:val="center"/>
          </w:tcPr>
          <w:p w14:paraId="79D367FF"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سلسلة تعليم حاخامية متصلة عبر الأجيال، مع تراكم تفسيري (تلمودي) يُضاف باستمرار.</w:t>
            </w:r>
          </w:p>
        </w:tc>
        <w:tc>
          <w:tcPr>
            <w:tcW w:w="2515" w:type="dxa"/>
            <w:shd w:val="clear" w:color="auto" w:fill="EBF5E0"/>
            <w:tcMar>
              <w:top w:w="72" w:type="dxa"/>
              <w:left w:w="100" w:type="dxa"/>
              <w:bottom w:w="72" w:type="dxa"/>
              <w:right w:w="100" w:type="dxa"/>
            </w:tcMar>
            <w:vAlign w:val="center"/>
          </w:tcPr>
          <w:p w14:paraId="3E49997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مرونة تراكمية عبر العصور.</w:t>
            </w:r>
          </w:p>
        </w:tc>
        <w:tc>
          <w:tcPr>
            <w:tcW w:w="2340" w:type="dxa"/>
            <w:shd w:val="clear" w:color="auto" w:fill="FFF5F5"/>
            <w:tcMar>
              <w:top w:w="72" w:type="dxa"/>
              <w:left w:w="100" w:type="dxa"/>
              <w:bottom w:w="72" w:type="dxa"/>
              <w:right w:w="100" w:type="dxa"/>
            </w:tcMar>
            <w:vAlign w:val="center"/>
          </w:tcPr>
          <w:p w14:paraId="2890955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تعدد المدارس الحاخامية قد يُنتج أحكاماً متضاربة دون آلية حسم مركزية.</w:t>
            </w:r>
          </w:p>
        </w:tc>
      </w:tr>
      <w:tr w:rsidR="00B149ED" w:rsidRPr="00A60245" w14:paraId="2DA4E5D0" w14:textId="77777777" w:rsidTr="00A011EA">
        <w:tc>
          <w:tcPr>
            <w:tcW w:w="1440" w:type="dxa"/>
            <w:shd w:val="clear" w:color="auto" w:fill="FFFFFF"/>
            <w:tcMar>
              <w:top w:w="72" w:type="dxa"/>
              <w:left w:w="100" w:type="dxa"/>
              <w:bottom w:w="72" w:type="dxa"/>
              <w:right w:w="100" w:type="dxa"/>
            </w:tcMar>
            <w:vAlign w:val="center"/>
          </w:tcPr>
          <w:p w14:paraId="0925AFF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lastRenderedPageBreak/>
              <w:t>الكاثوليكي (Magisterium)</w:t>
            </w:r>
          </w:p>
        </w:tc>
        <w:tc>
          <w:tcPr>
            <w:tcW w:w="3240" w:type="dxa"/>
            <w:shd w:val="clear" w:color="auto" w:fill="FFFFFF"/>
            <w:tcMar>
              <w:top w:w="72" w:type="dxa"/>
              <w:left w:w="100" w:type="dxa"/>
              <w:bottom w:w="72" w:type="dxa"/>
              <w:right w:w="100" w:type="dxa"/>
            </w:tcMar>
            <w:vAlign w:val="center"/>
          </w:tcPr>
          <w:p w14:paraId="05DD071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سلطة مركزية (البابا والمجامع) تملك التفسير الرسمي الملزم (Dei Verbum، §10).</w:t>
            </w:r>
          </w:p>
        </w:tc>
        <w:tc>
          <w:tcPr>
            <w:tcW w:w="2515" w:type="dxa"/>
            <w:shd w:val="clear" w:color="auto" w:fill="FFFFFF"/>
            <w:tcMar>
              <w:top w:w="72" w:type="dxa"/>
              <w:left w:w="100" w:type="dxa"/>
              <w:bottom w:w="72" w:type="dxa"/>
              <w:right w:w="100" w:type="dxa"/>
            </w:tcMar>
            <w:vAlign w:val="center"/>
          </w:tcPr>
          <w:p w14:paraId="0B663EE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وحدة الموقف العقدي وسرعة الحسم.</w:t>
            </w:r>
          </w:p>
        </w:tc>
        <w:tc>
          <w:tcPr>
            <w:tcW w:w="2340" w:type="dxa"/>
            <w:shd w:val="clear" w:color="auto" w:fill="FFFFFF"/>
            <w:tcMar>
              <w:top w:w="72" w:type="dxa"/>
              <w:left w:w="100" w:type="dxa"/>
              <w:bottom w:w="72" w:type="dxa"/>
              <w:right w:w="100" w:type="dxa"/>
            </w:tcMar>
            <w:vAlign w:val="center"/>
          </w:tcPr>
          <w:p w14:paraId="6C87B7D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مركزية السلطة قد تُقصي اجتهادات مشروعة وتُركِّز الخطأ في جهة واحدة.</w:t>
            </w:r>
          </w:p>
        </w:tc>
      </w:tr>
      <w:tr w:rsidR="00B149ED" w:rsidRPr="00A60245" w14:paraId="2515D754" w14:textId="77777777" w:rsidTr="00A011EA">
        <w:tc>
          <w:tcPr>
            <w:tcW w:w="1440" w:type="dxa"/>
            <w:shd w:val="clear" w:color="auto" w:fill="EBF5FB"/>
            <w:tcMar>
              <w:top w:w="72" w:type="dxa"/>
              <w:left w:w="100" w:type="dxa"/>
              <w:bottom w:w="72" w:type="dxa"/>
              <w:right w:w="100" w:type="dxa"/>
            </w:tcMar>
            <w:vAlign w:val="center"/>
          </w:tcPr>
          <w:p w14:paraId="2A11184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البروتستانتي (Sola Scriptura)</w:t>
            </w:r>
          </w:p>
        </w:tc>
        <w:tc>
          <w:tcPr>
            <w:tcW w:w="3240" w:type="dxa"/>
            <w:shd w:val="clear" w:color="auto" w:fill="F5F5F5"/>
            <w:tcMar>
              <w:top w:w="72" w:type="dxa"/>
              <w:left w:w="100" w:type="dxa"/>
              <w:bottom w:w="72" w:type="dxa"/>
              <w:right w:w="100" w:type="dxa"/>
            </w:tcMar>
            <w:vAlign w:val="center"/>
          </w:tcPr>
          <w:p w14:paraId="6CDD531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سلطة وسيطة؛ فلكل قارئ حق التفسير المباشر دون سلسلة نقل.</w:t>
            </w:r>
          </w:p>
        </w:tc>
        <w:tc>
          <w:tcPr>
            <w:tcW w:w="2515" w:type="dxa"/>
            <w:shd w:val="clear" w:color="auto" w:fill="EBF5E0"/>
            <w:tcMar>
              <w:top w:w="72" w:type="dxa"/>
              <w:left w:w="100" w:type="dxa"/>
              <w:bottom w:w="72" w:type="dxa"/>
              <w:right w:w="100" w:type="dxa"/>
            </w:tcMar>
            <w:vAlign w:val="center"/>
          </w:tcPr>
          <w:p w14:paraId="01C906B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تحرير كامل من الوساطة الكهنوتية.</w:t>
            </w:r>
          </w:p>
        </w:tc>
        <w:tc>
          <w:tcPr>
            <w:tcW w:w="2340" w:type="dxa"/>
            <w:shd w:val="clear" w:color="auto" w:fill="FFF5F5"/>
            <w:tcMar>
              <w:top w:w="72" w:type="dxa"/>
              <w:left w:w="100" w:type="dxa"/>
              <w:bottom w:w="72" w:type="dxa"/>
              <w:right w:w="100" w:type="dxa"/>
            </w:tcMar>
            <w:vAlign w:val="center"/>
          </w:tcPr>
          <w:p w14:paraId="1812D22D"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تعدّدت عنه تاريخيًا طوائف كثيرة مختلفة، ولم يستقر على آلية مشتركة لحسم الخلاف.</w:t>
            </w:r>
          </w:p>
        </w:tc>
      </w:tr>
      <w:tr w:rsidR="00B149ED" w:rsidRPr="00A60245" w14:paraId="224FFC4B" w14:textId="77777777" w:rsidTr="00A011EA">
        <w:tc>
          <w:tcPr>
            <w:tcW w:w="1440" w:type="dxa"/>
            <w:shd w:val="clear" w:color="auto" w:fill="EBF5E0"/>
            <w:tcMar>
              <w:top w:w="72" w:type="dxa"/>
              <w:left w:w="100" w:type="dxa"/>
              <w:bottom w:w="72" w:type="dxa"/>
              <w:right w:w="100" w:type="dxa"/>
            </w:tcMar>
            <w:vAlign w:val="center"/>
          </w:tcPr>
          <w:p w14:paraId="51F266D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375623"/>
                <w:sz w:val="28"/>
                <w:szCs w:val="28"/>
                <w:rtl/>
              </w:rPr>
              <w:t>هذا الكتاب (تعددية منضبطة)</w:t>
            </w:r>
          </w:p>
        </w:tc>
        <w:tc>
          <w:tcPr>
            <w:tcW w:w="3240" w:type="dxa"/>
            <w:shd w:val="clear" w:color="auto" w:fill="FFFFFF"/>
            <w:tcMar>
              <w:top w:w="72" w:type="dxa"/>
              <w:left w:w="100" w:type="dxa"/>
              <w:bottom w:w="72" w:type="dxa"/>
              <w:right w:w="100" w:type="dxa"/>
            </w:tcMar>
            <w:vAlign w:val="center"/>
          </w:tcPr>
          <w:p w14:paraId="5B6112B6"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خمس مدارس بمعايير اختيار صريحة، وآلية حسم عند التعارض، وتراتبية للمصادر الأخرى.</w:t>
            </w:r>
          </w:p>
        </w:tc>
        <w:tc>
          <w:tcPr>
            <w:tcW w:w="2515" w:type="dxa"/>
            <w:shd w:val="clear" w:color="auto" w:fill="FFFFFF"/>
            <w:tcMar>
              <w:top w:w="72" w:type="dxa"/>
              <w:left w:w="100" w:type="dxa"/>
              <w:bottom w:w="72" w:type="dxa"/>
              <w:right w:w="100" w:type="dxa"/>
            </w:tcMar>
            <w:vAlign w:val="center"/>
          </w:tcPr>
          <w:p w14:paraId="3617B59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يحاول الجمع بين مرونة التعدد وانضباط الحسم دون مركزية بشرية مطلقة؛ فالسلطة النهائية للنص لا لمؤسسة.</w:t>
            </w:r>
          </w:p>
        </w:tc>
        <w:tc>
          <w:tcPr>
            <w:tcW w:w="2340" w:type="dxa"/>
            <w:shd w:val="clear" w:color="auto" w:fill="FFFFFF"/>
            <w:tcMar>
              <w:top w:w="72" w:type="dxa"/>
              <w:left w:w="100" w:type="dxa"/>
              <w:bottom w:w="72" w:type="dxa"/>
              <w:right w:w="100" w:type="dxa"/>
            </w:tcMar>
            <w:vAlign w:val="center"/>
          </w:tcPr>
          <w:p w14:paraId="469D79A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يحتاج إلى باحثين يلتزمون بالمعايير فعلًا، ويبقى الترجيح فيه اجتهادًا قابلًا للخطأ.</w:t>
            </w:r>
          </w:p>
        </w:tc>
      </w:tr>
    </w:tbl>
    <w:p w14:paraId="718E84D0" w14:textId="77777777" w:rsidR="00B149ED" w:rsidRPr="00A60245" w:rsidRDefault="00B149ED" w:rsidP="00B149ED">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4.2 — مقارنة بين نماذج إدارة السلطة التفسيرية. والمقارنة بنيوية توضيحية، لا مفاضلة بين الأديان.</w:t>
      </w:r>
    </w:p>
    <w:p w14:paraId="038A08EA"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وما أستفيده من هذه المقارنة: أن التعددية التفسيرية بلا معايير اختيار صريحة يصعب أن تحسم الخلاف، وأن الأحادية التفسيرية الكاملة قد تُقصي اجتهادات مشروعة. والنموذج الذي يتبناه هذا الفصل، أي التعددية المنضبطة بمعايير صريحة، محاولة للتوسط بين الطرفين.</w:t>
      </w:r>
    </w:p>
    <w:tbl>
      <w:tblPr>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805"/>
      </w:tblGrid>
      <w:tr w:rsidR="00B149ED" w:rsidRPr="00A60245" w14:paraId="3C18C8DB" w14:textId="77777777" w:rsidTr="00A011EA">
        <w:tc>
          <w:tcPr>
            <w:tcW w:w="9805" w:type="dxa"/>
            <w:shd w:val="clear" w:color="auto" w:fill="C55A11"/>
            <w:tcMar>
              <w:top w:w="72" w:type="dxa"/>
              <w:left w:w="100" w:type="dxa"/>
              <w:bottom w:w="72" w:type="dxa"/>
              <w:right w:w="100" w:type="dxa"/>
            </w:tcMar>
            <w:vAlign w:val="center"/>
          </w:tcPr>
          <w:p w14:paraId="6184BB7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تفصيل المقارنة: مبدأ «الكتاب المقدس وحده» (Sola Scriptura)</w:t>
            </w:r>
          </w:p>
        </w:tc>
      </w:tr>
      <w:tr w:rsidR="00B149ED" w:rsidRPr="00A60245" w14:paraId="72582293" w14:textId="77777777" w:rsidTr="00A011EA">
        <w:tc>
          <w:tcPr>
            <w:tcW w:w="9805" w:type="dxa"/>
            <w:shd w:val="clear" w:color="auto" w:fill="FFF5E0"/>
            <w:tcMar>
              <w:top w:w="72" w:type="dxa"/>
              <w:left w:w="100" w:type="dxa"/>
              <w:bottom w:w="72" w:type="dxa"/>
              <w:right w:w="100" w:type="dxa"/>
            </w:tcMar>
            <w:vAlign w:val="center"/>
          </w:tcPr>
          <w:p w14:paraId="1DDE405E"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طرح الإصلاح البروتستانتي في القرن السادس عشر مبدأ «الكتاب المقدس وحده»، رفضًا لسلطة التقليد الكنسي والمجامع، على أساس أن لكل مؤمن حق التفسير المباشر (مبدأ وضوح الكتاب بذاته، Perspicuity of Scripture). ويسجّل المؤرخون أن هذا المبدأ، على نبل غايته في تحرير القارئ من الوساطة، ترافق تاريخيًا مع تعدد كبير في الطوائف، يدّعي كلٌّ منها فهمًا مباشرًا للنص نفسه، دون آلية مشتركة للحسم (McGrath, 2007). وما آخذه من ذلك لهذا الكتاب: أن تعدد القراءات يحتاج إلى معايير اختيار معلنة، وإلا صعب التمييز بين الاجتهاد المنضبط والرأي المجرد.</w:t>
            </w:r>
          </w:p>
        </w:tc>
      </w:tr>
    </w:tbl>
    <w:p w14:paraId="3A3345BB"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وأما التقليد الحاخامي اليهودي، بسلسلة التعليم المتصلة والتراكم التلمودي، فيلتقي مع هرم هذا الفصل في نقطة جوهرية: كلاهما يرفض الفصل التام بين النص المؤسِّس والتفسير المتراكم، ويحافظ على تراتبية بينهما، فلا يسوّي بينهما في السلطة، ولا يلغي أحدهما لصالح الآخر.</w:t>
      </w:r>
    </w:p>
    <w:p w14:paraId="5C06F92A" w14:textId="77777777" w:rsidR="00B149ED" w:rsidRPr="00A60245" w:rsidRDefault="00B149ED" w:rsidP="00B149ED">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Neusner, J. (1994). Introduction to Rabbinic Literature. Doubleday. | McGrath, A. (2007). Christianity's Dangerous Idea: The Protestant Revolution. HarperOne.</w:t>
      </w:r>
    </w:p>
    <w:p w14:paraId="12919F1F" w14:textId="77777777" w:rsidR="00B149ED" w:rsidRPr="00A60245" w:rsidRDefault="00B149ED" w:rsidP="00B149ED">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وأنبّه إلى أن هذه المقارنة بنيوية محضة، تصف كيف تُدار السلطة التفسيرية إجرائيًا، ولا تحمل أي حكم عقدي على أي دين. فالمعيار المقارَن هو «آلية إدارة التعدد التفسيري» وحدها.</w:t>
      </w:r>
    </w:p>
    <w:p w14:paraId="77921A16"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3AFFB62E"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4.4  مسألة الطباطبائي: ضوابط الاستفادة من مصدر خارج المدرسة السنية</w:t>
      </w:r>
    </w:p>
    <w:p w14:paraId="7EFCC3AC"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يستفيد هذا الكتاب أحيانًا من «الميزان في تفسير القرآن» للعلامة الطباطبائي (ت.1981م)، وهو أهم تفسير فلسفي شيعي معاصر، في البعد الفلسفي التحليلي وحده. وهذا الاستخدام يحتاج إلى تسويغ منهجي:</w:t>
      </w:r>
    </w:p>
    <w:p w14:paraId="41EB89D5"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فالميزان يلتزم بتفسير القرآن بالقرآن بصرامة منهجية عالية قبل الانتقال إلى أي مصدر آخر، وهذا يجعل الطبقة الأولى من تحليله الفلسفي بعيدة نسبيًا عن المسائل العقدية المذهبية الخاصة، كالإمامة والعصمة.</w:t>
      </w:r>
    </w:p>
    <w:p w14:paraId="04137D09"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ثلاثة ضوابط للاستخدام</w:t>
      </w: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095"/>
      </w:tblGrid>
      <w:tr w:rsidR="00B149ED" w:rsidRPr="00A60245" w14:paraId="763B8B14" w14:textId="77777777" w:rsidTr="00A011EA">
        <w:tc>
          <w:tcPr>
            <w:tcW w:w="1440" w:type="dxa"/>
            <w:shd w:val="clear" w:color="auto" w:fill="C55A11"/>
            <w:tcMar>
              <w:top w:w="72" w:type="dxa"/>
              <w:left w:w="100" w:type="dxa"/>
              <w:bottom w:w="72" w:type="dxa"/>
              <w:right w:w="100" w:type="dxa"/>
            </w:tcMar>
            <w:vAlign w:val="center"/>
          </w:tcPr>
          <w:p w14:paraId="7AB06EC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الضابط</w:t>
            </w:r>
          </w:p>
        </w:tc>
        <w:tc>
          <w:tcPr>
            <w:tcW w:w="8095" w:type="dxa"/>
            <w:shd w:val="clear" w:color="auto" w:fill="C55A11"/>
            <w:tcMar>
              <w:top w:w="72" w:type="dxa"/>
              <w:left w:w="100" w:type="dxa"/>
              <w:bottom w:w="72" w:type="dxa"/>
              <w:right w:w="100" w:type="dxa"/>
            </w:tcMar>
            <w:vAlign w:val="center"/>
          </w:tcPr>
          <w:p w14:paraId="5D969E1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التفصيل</w:t>
            </w:r>
          </w:p>
        </w:tc>
      </w:tr>
      <w:tr w:rsidR="00B149ED" w:rsidRPr="00A60245" w14:paraId="46293CBC" w14:textId="77777777" w:rsidTr="00A011EA">
        <w:tc>
          <w:tcPr>
            <w:tcW w:w="1440" w:type="dxa"/>
            <w:shd w:val="clear" w:color="auto" w:fill="FFF5E0"/>
            <w:tcMar>
              <w:top w:w="72" w:type="dxa"/>
              <w:left w:w="100" w:type="dxa"/>
              <w:bottom w:w="72" w:type="dxa"/>
              <w:right w:w="100" w:type="dxa"/>
            </w:tcMar>
            <w:vAlign w:val="center"/>
          </w:tcPr>
          <w:p w14:paraId="65537D5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C55A11"/>
                <w:sz w:val="28"/>
                <w:szCs w:val="28"/>
                <w:rtl/>
              </w:rPr>
              <w:t>ضابط الموضع</w:t>
            </w:r>
          </w:p>
        </w:tc>
        <w:tc>
          <w:tcPr>
            <w:tcW w:w="8095" w:type="dxa"/>
            <w:shd w:val="clear" w:color="auto" w:fill="FFFCF5"/>
            <w:tcMar>
              <w:top w:w="72" w:type="dxa"/>
              <w:left w:w="100" w:type="dxa"/>
              <w:bottom w:w="72" w:type="dxa"/>
              <w:right w:w="100" w:type="dxa"/>
            </w:tcMar>
            <w:vAlign w:val="center"/>
          </w:tcPr>
          <w:p w14:paraId="4EFC753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يُستعمل الطباطبائي إلا في مواضع التحليل الفلسفي العام (نظرية المعرفة، والوجود)، ولا في أي موضع يتصل بالإمامة أو العصمة.</w:t>
            </w:r>
          </w:p>
        </w:tc>
      </w:tr>
      <w:tr w:rsidR="00B149ED" w:rsidRPr="00A60245" w14:paraId="2C1A3E81" w14:textId="77777777" w:rsidTr="00A011EA">
        <w:tc>
          <w:tcPr>
            <w:tcW w:w="1440" w:type="dxa"/>
            <w:shd w:val="clear" w:color="auto" w:fill="FFFFFF"/>
            <w:tcMar>
              <w:top w:w="72" w:type="dxa"/>
              <w:left w:w="100" w:type="dxa"/>
              <w:bottom w:w="72" w:type="dxa"/>
              <w:right w:w="100" w:type="dxa"/>
            </w:tcMar>
            <w:vAlign w:val="center"/>
          </w:tcPr>
          <w:p w14:paraId="370BC0E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C55A11"/>
                <w:sz w:val="28"/>
                <w:szCs w:val="28"/>
                <w:rtl/>
              </w:rPr>
              <w:t>ضابط التصريح</w:t>
            </w:r>
          </w:p>
        </w:tc>
        <w:tc>
          <w:tcPr>
            <w:tcW w:w="8095" w:type="dxa"/>
            <w:shd w:val="clear" w:color="auto" w:fill="FFFFFF"/>
            <w:tcMar>
              <w:top w:w="72" w:type="dxa"/>
              <w:left w:w="100" w:type="dxa"/>
              <w:bottom w:w="72" w:type="dxa"/>
              <w:right w:w="100" w:type="dxa"/>
            </w:tcMar>
            <w:vAlign w:val="center"/>
          </w:tcPr>
          <w:p w14:paraId="58F4382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كل استشهاد بالطباطبائي يُصرَّح فيه بمذهبه وبحدود الاستفادة منه، دون إخفاء ولا تعميم.</w:t>
            </w:r>
          </w:p>
        </w:tc>
      </w:tr>
      <w:tr w:rsidR="00B149ED" w:rsidRPr="00A60245" w14:paraId="2C8916ED" w14:textId="77777777" w:rsidTr="00A011EA">
        <w:tc>
          <w:tcPr>
            <w:tcW w:w="1440" w:type="dxa"/>
            <w:shd w:val="clear" w:color="auto" w:fill="FFF5E0"/>
            <w:tcMar>
              <w:top w:w="72" w:type="dxa"/>
              <w:left w:w="100" w:type="dxa"/>
              <w:bottom w:w="72" w:type="dxa"/>
              <w:right w:w="100" w:type="dxa"/>
            </w:tcMar>
            <w:vAlign w:val="center"/>
          </w:tcPr>
          <w:p w14:paraId="05DC9FA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C55A11"/>
                <w:sz w:val="28"/>
                <w:szCs w:val="28"/>
                <w:rtl/>
              </w:rPr>
              <w:t>ضابط التبعية</w:t>
            </w:r>
          </w:p>
        </w:tc>
        <w:tc>
          <w:tcPr>
            <w:tcW w:w="8095" w:type="dxa"/>
            <w:shd w:val="clear" w:color="auto" w:fill="FFFCF5"/>
            <w:tcMar>
              <w:top w:w="72" w:type="dxa"/>
              <w:left w:w="100" w:type="dxa"/>
              <w:bottom w:w="72" w:type="dxa"/>
              <w:right w:w="100" w:type="dxa"/>
            </w:tcMar>
            <w:vAlign w:val="center"/>
          </w:tcPr>
          <w:p w14:paraId="7BE57366"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يُعتمد رأيه مستقلًا، بل يُستعمل مكمّلًا ومحاورًا لما استقرت عليه المدارس الخمس، لا معادلًا لها في السلطة المعرفية.</w:t>
            </w:r>
          </w:p>
        </w:tc>
      </w:tr>
    </w:tbl>
    <w:p w14:paraId="22415A24" w14:textId="77777777" w:rsidR="00B149ED" w:rsidRPr="00A60245" w:rsidRDefault="00B149ED" w:rsidP="00B149ED">
      <w:pPr>
        <w:bidi/>
        <w:spacing w:after="55"/>
        <w:rPr>
          <w:rFonts w:ascii="Sakkal Majalla" w:hAnsi="Sakkal Majalla" w:cs="Sakkal Majalla"/>
          <w:sz w:val="28"/>
          <w:szCs w:val="28"/>
        </w:rPr>
      </w:pPr>
    </w:p>
    <w:p w14:paraId="402BDAF7"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6D7BFEEF"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4.5  تراتبية مصادر السيرة: الثبوت التاريخي قبل الشهرة الأدبية</w:t>
      </w:r>
    </w:p>
    <w:p w14:paraId="48F0026C"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وتقع كتابات معاصرة كثيرة في خطأ متكرر: الاستشهاد بواقعة من السيرة لشهرتها الأدبية قبل التحقق من ثبوتها التاريخي. ولهذا يلتزم الكتاب بتراتبية صارمة: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2160"/>
        <w:gridCol w:w="2880"/>
        <w:gridCol w:w="2880"/>
      </w:tblGrid>
      <w:tr w:rsidR="00B149ED" w:rsidRPr="00A60245" w14:paraId="5C728B36" w14:textId="77777777" w:rsidTr="00A011EA">
        <w:tc>
          <w:tcPr>
            <w:tcW w:w="720" w:type="dxa"/>
            <w:shd w:val="clear" w:color="auto" w:fill="1F3864"/>
            <w:tcMar>
              <w:top w:w="72" w:type="dxa"/>
              <w:left w:w="100" w:type="dxa"/>
              <w:bottom w:w="72" w:type="dxa"/>
              <w:right w:w="100" w:type="dxa"/>
            </w:tcMar>
            <w:vAlign w:val="center"/>
          </w:tcPr>
          <w:p w14:paraId="3A99BCC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المرتبة</w:t>
            </w:r>
          </w:p>
        </w:tc>
        <w:tc>
          <w:tcPr>
            <w:tcW w:w="2160" w:type="dxa"/>
            <w:shd w:val="clear" w:color="auto" w:fill="1F3864"/>
            <w:tcMar>
              <w:top w:w="72" w:type="dxa"/>
              <w:left w:w="100" w:type="dxa"/>
              <w:bottom w:w="72" w:type="dxa"/>
              <w:right w:w="100" w:type="dxa"/>
            </w:tcMar>
            <w:vAlign w:val="center"/>
          </w:tcPr>
          <w:p w14:paraId="36EC0C7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المصدر</w:t>
            </w:r>
          </w:p>
        </w:tc>
        <w:tc>
          <w:tcPr>
            <w:tcW w:w="2880" w:type="dxa"/>
            <w:shd w:val="clear" w:color="auto" w:fill="1F3864"/>
            <w:tcMar>
              <w:top w:w="72" w:type="dxa"/>
              <w:left w:w="100" w:type="dxa"/>
              <w:bottom w:w="72" w:type="dxa"/>
              <w:right w:w="100" w:type="dxa"/>
            </w:tcMar>
            <w:vAlign w:val="center"/>
          </w:tcPr>
          <w:p w14:paraId="18A5FEF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ما تُثبته</w:t>
            </w:r>
          </w:p>
        </w:tc>
        <w:tc>
          <w:tcPr>
            <w:tcW w:w="2880" w:type="dxa"/>
            <w:shd w:val="clear" w:color="auto" w:fill="1F3864"/>
            <w:tcMar>
              <w:top w:w="72" w:type="dxa"/>
              <w:left w:w="100" w:type="dxa"/>
              <w:bottom w:w="72" w:type="dxa"/>
              <w:right w:w="100" w:type="dxa"/>
            </w:tcMar>
            <w:vAlign w:val="center"/>
          </w:tcPr>
          <w:p w14:paraId="333391F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كيف تُستخدَم</w:t>
            </w:r>
          </w:p>
        </w:tc>
      </w:tr>
      <w:tr w:rsidR="00B149ED" w:rsidRPr="00A60245" w14:paraId="3DF7C505" w14:textId="77777777" w:rsidTr="00A011EA">
        <w:tc>
          <w:tcPr>
            <w:tcW w:w="720" w:type="dxa"/>
            <w:shd w:val="clear" w:color="auto" w:fill="EBF5FB"/>
            <w:tcMar>
              <w:top w:w="72" w:type="dxa"/>
              <w:left w:w="100" w:type="dxa"/>
              <w:bottom w:w="72" w:type="dxa"/>
              <w:right w:w="100" w:type="dxa"/>
            </w:tcMar>
            <w:vAlign w:val="center"/>
          </w:tcPr>
          <w:p w14:paraId="31538D7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الأولى</w:t>
            </w:r>
          </w:p>
        </w:tc>
        <w:tc>
          <w:tcPr>
            <w:tcW w:w="2160" w:type="dxa"/>
            <w:shd w:val="clear" w:color="auto" w:fill="F8F8F8"/>
            <w:tcMar>
              <w:top w:w="72" w:type="dxa"/>
              <w:left w:w="100" w:type="dxa"/>
              <w:bottom w:w="72" w:type="dxa"/>
              <w:right w:w="100" w:type="dxa"/>
            </w:tcMar>
            <w:vAlign w:val="center"/>
          </w:tcPr>
          <w:p w14:paraId="6D66782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البخاري ومسلم وأحد السنن الأربعة بإسناد صحيح أو حسن</w:t>
            </w:r>
          </w:p>
        </w:tc>
        <w:tc>
          <w:tcPr>
            <w:tcW w:w="2880" w:type="dxa"/>
            <w:shd w:val="clear" w:color="auto" w:fill="EBF5E0"/>
            <w:tcMar>
              <w:top w:w="72" w:type="dxa"/>
              <w:left w:w="100" w:type="dxa"/>
              <w:bottom w:w="72" w:type="dxa"/>
              <w:right w:w="100" w:type="dxa"/>
            </w:tcMar>
            <w:vAlign w:val="center"/>
          </w:tcPr>
          <w:p w14:paraId="0F1B4D6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أصل وقوع الحدث تاريخياً بمعيار علم الحديث الصارم (نقد الإسناد)</w:t>
            </w:r>
          </w:p>
        </w:tc>
        <w:tc>
          <w:tcPr>
            <w:tcW w:w="2880" w:type="dxa"/>
            <w:shd w:val="clear" w:color="auto" w:fill="EBF5FB"/>
            <w:tcMar>
              <w:top w:w="72" w:type="dxa"/>
              <w:left w:w="100" w:type="dxa"/>
              <w:bottom w:w="72" w:type="dxa"/>
              <w:right w:w="100" w:type="dxa"/>
            </w:tcMar>
            <w:vAlign w:val="center"/>
          </w:tcPr>
          <w:p w14:paraId="2576145C"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وحدها تُثبت الواقعة ابتداءً؛ فلا يُستشهد بواقعة دليلًا إداريًا بغير هذه المرتبة</w:t>
            </w:r>
          </w:p>
        </w:tc>
      </w:tr>
      <w:tr w:rsidR="00B149ED" w:rsidRPr="00A60245" w14:paraId="3DAEDD4A" w14:textId="77777777" w:rsidTr="00A011EA">
        <w:tc>
          <w:tcPr>
            <w:tcW w:w="720" w:type="dxa"/>
            <w:shd w:val="clear" w:color="auto" w:fill="FFFFFF"/>
            <w:tcMar>
              <w:top w:w="72" w:type="dxa"/>
              <w:left w:w="100" w:type="dxa"/>
              <w:bottom w:w="72" w:type="dxa"/>
              <w:right w:w="100" w:type="dxa"/>
            </w:tcMar>
            <w:vAlign w:val="center"/>
          </w:tcPr>
          <w:p w14:paraId="654E221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الثانية</w:t>
            </w:r>
          </w:p>
        </w:tc>
        <w:tc>
          <w:tcPr>
            <w:tcW w:w="2160" w:type="dxa"/>
            <w:shd w:val="clear" w:color="auto" w:fill="FFFFFF"/>
            <w:tcMar>
              <w:top w:w="72" w:type="dxa"/>
              <w:left w:w="100" w:type="dxa"/>
              <w:bottom w:w="72" w:type="dxa"/>
              <w:right w:w="100" w:type="dxa"/>
            </w:tcMar>
            <w:vAlign w:val="center"/>
          </w:tcPr>
          <w:p w14:paraId="017F8F7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السيرة لابن هشام (ت.213ه) — تهذيب لسيرة ابن إسحاق</w:t>
            </w:r>
          </w:p>
        </w:tc>
        <w:tc>
          <w:tcPr>
            <w:tcW w:w="2880" w:type="dxa"/>
            <w:shd w:val="clear" w:color="auto" w:fill="FFFFFF"/>
            <w:tcMar>
              <w:top w:w="72" w:type="dxa"/>
              <w:left w:w="100" w:type="dxa"/>
              <w:bottom w:w="72" w:type="dxa"/>
              <w:right w:w="100" w:type="dxa"/>
            </w:tcMar>
            <w:vAlign w:val="center"/>
          </w:tcPr>
          <w:p w14:paraId="15AEEB3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التفاصيل الإضافية: التواريخ، الأسماء، الترتيب الزمني</w:t>
            </w:r>
          </w:p>
        </w:tc>
        <w:tc>
          <w:tcPr>
            <w:tcW w:w="2880" w:type="dxa"/>
            <w:shd w:val="clear" w:color="auto" w:fill="FFFFFF"/>
            <w:tcMar>
              <w:top w:w="72" w:type="dxa"/>
              <w:left w:w="100" w:type="dxa"/>
              <w:bottom w:w="72" w:type="dxa"/>
              <w:right w:w="100" w:type="dxa"/>
            </w:tcMar>
            <w:vAlign w:val="center"/>
          </w:tcPr>
          <w:p w14:paraId="728399C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للتفاصيل بعد إثبات أصل الواقعة من المرتبة الأولى، لا لإثبات وقوعها ابتداءً</w:t>
            </w:r>
          </w:p>
        </w:tc>
      </w:tr>
      <w:tr w:rsidR="00B149ED" w:rsidRPr="00A60245" w14:paraId="45391BA6" w14:textId="77777777" w:rsidTr="00A011EA">
        <w:tc>
          <w:tcPr>
            <w:tcW w:w="720" w:type="dxa"/>
            <w:shd w:val="clear" w:color="auto" w:fill="EBF5FB"/>
            <w:tcMar>
              <w:top w:w="72" w:type="dxa"/>
              <w:left w:w="100" w:type="dxa"/>
              <w:bottom w:w="72" w:type="dxa"/>
              <w:right w:w="100" w:type="dxa"/>
            </w:tcMar>
            <w:vAlign w:val="center"/>
          </w:tcPr>
          <w:p w14:paraId="786C437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الثالثة</w:t>
            </w:r>
          </w:p>
        </w:tc>
        <w:tc>
          <w:tcPr>
            <w:tcW w:w="2160" w:type="dxa"/>
            <w:shd w:val="clear" w:color="auto" w:fill="F8F8F8"/>
            <w:tcMar>
              <w:top w:w="72" w:type="dxa"/>
              <w:left w:w="100" w:type="dxa"/>
              <w:bottom w:w="72" w:type="dxa"/>
              <w:right w:w="100" w:type="dxa"/>
            </w:tcMar>
            <w:vAlign w:val="center"/>
          </w:tcPr>
          <w:p w14:paraId="6C64EF10"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فقه السيرة لمحمد الغزالي | الفقه الحركي للسيرة النبوية لمنير الغضبان</w:t>
            </w:r>
          </w:p>
        </w:tc>
        <w:tc>
          <w:tcPr>
            <w:tcW w:w="2880" w:type="dxa"/>
            <w:shd w:val="clear" w:color="auto" w:fill="EBF5E0"/>
            <w:tcMar>
              <w:top w:w="72" w:type="dxa"/>
              <w:left w:w="100" w:type="dxa"/>
              <w:bottom w:w="72" w:type="dxa"/>
              <w:right w:w="100" w:type="dxa"/>
            </w:tcMar>
            <w:vAlign w:val="center"/>
          </w:tcPr>
          <w:p w14:paraId="773439E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التحليل الإداري والحركي للوقائع المُثبَتة</w:t>
            </w:r>
          </w:p>
        </w:tc>
        <w:tc>
          <w:tcPr>
            <w:tcW w:w="2880" w:type="dxa"/>
            <w:shd w:val="clear" w:color="auto" w:fill="EBF5FB"/>
            <w:tcMar>
              <w:top w:w="72" w:type="dxa"/>
              <w:left w:w="100" w:type="dxa"/>
              <w:bottom w:w="72" w:type="dxa"/>
              <w:right w:w="100" w:type="dxa"/>
            </w:tcMar>
            <w:vAlign w:val="center"/>
          </w:tcPr>
          <w:p w14:paraId="299E9EA6"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لفهم الدلالة الإدارية للوقائع، لا لإثبات وقوعها</w:t>
            </w:r>
          </w:p>
        </w:tc>
      </w:tr>
      <w:tr w:rsidR="00B149ED" w:rsidRPr="00A60245" w14:paraId="2D0834E0" w14:textId="77777777" w:rsidTr="00A011EA">
        <w:tc>
          <w:tcPr>
            <w:tcW w:w="720" w:type="dxa"/>
            <w:shd w:val="clear" w:color="auto" w:fill="FFFFFF"/>
            <w:tcMar>
              <w:top w:w="72" w:type="dxa"/>
              <w:left w:w="100" w:type="dxa"/>
              <w:bottom w:w="72" w:type="dxa"/>
              <w:right w:w="100" w:type="dxa"/>
            </w:tcMar>
            <w:vAlign w:val="center"/>
          </w:tcPr>
          <w:p w14:paraId="3AE684E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lastRenderedPageBreak/>
              <w:t>الرابعة</w:t>
            </w:r>
          </w:p>
        </w:tc>
        <w:tc>
          <w:tcPr>
            <w:tcW w:w="2160" w:type="dxa"/>
            <w:shd w:val="clear" w:color="auto" w:fill="FFFFFF"/>
            <w:tcMar>
              <w:top w:w="72" w:type="dxa"/>
              <w:left w:w="100" w:type="dxa"/>
              <w:bottom w:w="72" w:type="dxa"/>
              <w:right w:w="100" w:type="dxa"/>
            </w:tcMar>
            <w:vAlign w:val="center"/>
          </w:tcPr>
          <w:p w14:paraId="3884497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الرحيق المختوم للمباركفوري | السيرة في ضوء المصادر لمهدي رزق الله</w:t>
            </w:r>
          </w:p>
        </w:tc>
        <w:tc>
          <w:tcPr>
            <w:tcW w:w="2880" w:type="dxa"/>
            <w:shd w:val="clear" w:color="auto" w:fill="FFFFFF"/>
            <w:tcMar>
              <w:top w:w="72" w:type="dxa"/>
              <w:left w:w="100" w:type="dxa"/>
              <w:bottom w:w="72" w:type="dxa"/>
              <w:right w:w="100" w:type="dxa"/>
            </w:tcMar>
            <w:vAlign w:val="center"/>
          </w:tcPr>
          <w:p w14:paraId="4603F82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السياق التاريخي العام والتسلسل</w:t>
            </w:r>
          </w:p>
        </w:tc>
        <w:tc>
          <w:tcPr>
            <w:tcW w:w="2880" w:type="dxa"/>
            <w:shd w:val="clear" w:color="auto" w:fill="FFFFFF"/>
            <w:tcMar>
              <w:top w:w="72" w:type="dxa"/>
              <w:left w:w="100" w:type="dxa"/>
              <w:bottom w:w="72" w:type="dxa"/>
              <w:right w:w="100" w:type="dxa"/>
            </w:tcMar>
            <w:vAlign w:val="center"/>
          </w:tcPr>
          <w:p w14:paraId="2153F5C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للخلفية والسياق، لا للاستشهاد المباشر على تفصيل يحتاج توثيقًا مستقلًا</w:t>
            </w:r>
          </w:p>
        </w:tc>
      </w:tr>
    </w:tbl>
    <w:p w14:paraId="2EE13298" w14:textId="77777777" w:rsidR="00B149ED" w:rsidRPr="00A60245" w:rsidRDefault="00B149ED" w:rsidP="00B149ED">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4.3 — تراتبية مصادر السيرة الأربع، من الأعلى ثبوتًا تاريخيًا إلى الأوسع سياقًا.</w:t>
      </w:r>
    </w:p>
    <w:p w14:paraId="105EB40F"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تطبيق: تراتبية السيرة على واقعة صلح الحديبية</w:t>
      </w: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75"/>
        <w:gridCol w:w="7470"/>
      </w:tblGrid>
      <w:tr w:rsidR="00B149ED" w:rsidRPr="00A60245" w14:paraId="5383BCA5" w14:textId="77777777" w:rsidTr="00A011EA">
        <w:tc>
          <w:tcPr>
            <w:tcW w:w="1975" w:type="dxa"/>
            <w:shd w:val="clear" w:color="auto" w:fill="1F3864"/>
            <w:tcMar>
              <w:top w:w="72" w:type="dxa"/>
              <w:left w:w="100" w:type="dxa"/>
              <w:bottom w:w="72" w:type="dxa"/>
              <w:right w:w="100" w:type="dxa"/>
            </w:tcMar>
            <w:vAlign w:val="center"/>
          </w:tcPr>
          <w:p w14:paraId="1C2E57D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المرتبة</w:t>
            </w:r>
          </w:p>
        </w:tc>
        <w:tc>
          <w:tcPr>
            <w:tcW w:w="7470" w:type="dxa"/>
            <w:shd w:val="clear" w:color="auto" w:fill="1F3864"/>
            <w:tcMar>
              <w:top w:w="72" w:type="dxa"/>
              <w:left w:w="100" w:type="dxa"/>
              <w:bottom w:w="72" w:type="dxa"/>
              <w:right w:w="100" w:type="dxa"/>
            </w:tcMar>
            <w:vAlign w:val="center"/>
          </w:tcPr>
          <w:p w14:paraId="38EC123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ما تُقدِّمه لواقعة الحديبية تحديداً</w:t>
            </w:r>
          </w:p>
        </w:tc>
      </w:tr>
      <w:tr w:rsidR="00B149ED" w:rsidRPr="00A60245" w14:paraId="22F99D5E" w14:textId="77777777" w:rsidTr="00A011EA">
        <w:tc>
          <w:tcPr>
            <w:tcW w:w="1975" w:type="dxa"/>
            <w:shd w:val="clear" w:color="auto" w:fill="EBF5FB"/>
            <w:tcMar>
              <w:top w:w="72" w:type="dxa"/>
              <w:left w:w="100" w:type="dxa"/>
              <w:bottom w:w="72" w:type="dxa"/>
              <w:right w:w="100" w:type="dxa"/>
            </w:tcMar>
            <w:vAlign w:val="center"/>
          </w:tcPr>
          <w:p w14:paraId="7FE8D8A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الأولى (البخاري)</w:t>
            </w:r>
          </w:p>
        </w:tc>
        <w:tc>
          <w:tcPr>
            <w:tcW w:w="7470" w:type="dxa"/>
            <w:shd w:val="clear" w:color="auto" w:fill="F5FAFF"/>
            <w:tcMar>
              <w:top w:w="72" w:type="dxa"/>
              <w:left w:w="100" w:type="dxa"/>
              <w:bottom w:w="72" w:type="dxa"/>
              <w:right w:w="100" w:type="dxa"/>
            </w:tcMar>
            <w:vAlign w:val="center"/>
          </w:tcPr>
          <w:p w14:paraId="22CCB99E"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تُثبت بإسناد صحيح: خروج النبي ﷺ للعمرة، وصدّ قريش، وشروط الاتفاق، واعتراض عمر. وبهذا نعرف «ماذا حدث» بيقين تاريخي عالٍ.</w:t>
            </w:r>
          </w:p>
        </w:tc>
      </w:tr>
      <w:tr w:rsidR="00B149ED" w:rsidRPr="00A60245" w14:paraId="53937D40" w14:textId="77777777" w:rsidTr="00A011EA">
        <w:tc>
          <w:tcPr>
            <w:tcW w:w="1975" w:type="dxa"/>
            <w:shd w:val="clear" w:color="auto" w:fill="FFFFFF"/>
            <w:tcMar>
              <w:top w:w="72" w:type="dxa"/>
              <w:left w:w="100" w:type="dxa"/>
              <w:bottom w:w="72" w:type="dxa"/>
              <w:right w:w="100" w:type="dxa"/>
            </w:tcMar>
            <w:vAlign w:val="center"/>
          </w:tcPr>
          <w:p w14:paraId="5D16F71D"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الثانية (ابن هشام)</w:t>
            </w:r>
          </w:p>
        </w:tc>
        <w:tc>
          <w:tcPr>
            <w:tcW w:w="7470" w:type="dxa"/>
            <w:shd w:val="clear" w:color="auto" w:fill="FFFFFF"/>
            <w:tcMar>
              <w:top w:w="72" w:type="dxa"/>
              <w:left w:w="100" w:type="dxa"/>
              <w:bottom w:w="72" w:type="dxa"/>
              <w:right w:w="100" w:type="dxa"/>
            </w:tcMar>
            <w:vAlign w:val="center"/>
          </w:tcPr>
          <w:p w14:paraId="5512F6D0"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تضيف تفاصيل الحوار بين النبي ﷺ وسهيل بن عمرو، ونص الشروط كاملًا، واعتراض عمر بلفظه. وتُستعمل للفهم الدقيق بثقة أقل.</w:t>
            </w:r>
          </w:p>
        </w:tc>
      </w:tr>
      <w:tr w:rsidR="00B149ED" w:rsidRPr="00A60245" w14:paraId="5173BA91" w14:textId="77777777" w:rsidTr="00A011EA">
        <w:tc>
          <w:tcPr>
            <w:tcW w:w="1975" w:type="dxa"/>
            <w:shd w:val="clear" w:color="auto" w:fill="EBF5FB"/>
            <w:tcMar>
              <w:top w:w="72" w:type="dxa"/>
              <w:left w:w="100" w:type="dxa"/>
              <w:bottom w:w="72" w:type="dxa"/>
              <w:right w:w="100" w:type="dxa"/>
            </w:tcMar>
            <w:vAlign w:val="center"/>
          </w:tcPr>
          <w:p w14:paraId="5C38EB7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الثالثة (الغضبان)</w:t>
            </w:r>
          </w:p>
        </w:tc>
        <w:tc>
          <w:tcPr>
            <w:tcW w:w="7470" w:type="dxa"/>
            <w:shd w:val="clear" w:color="auto" w:fill="F5FAFF"/>
            <w:tcMar>
              <w:top w:w="72" w:type="dxa"/>
              <w:left w:w="100" w:type="dxa"/>
              <w:bottom w:w="72" w:type="dxa"/>
              <w:right w:w="100" w:type="dxa"/>
            </w:tcMar>
            <w:vAlign w:val="center"/>
          </w:tcPr>
          <w:p w14:paraId="0EAE5807"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يحلّل الواقعة نموذجًا لـ«القيادة الاستراتيجية بعيدة المدى»: قبول خسارة تكتيكية ظاهرة لتحقيق مكسب استراتيجي أعمق. وهذا تحليل إداري مبني على الوقائع الثابتة، لا مصدر إثبات مستقل.</w:t>
            </w:r>
          </w:p>
        </w:tc>
      </w:tr>
      <w:tr w:rsidR="00B149ED" w:rsidRPr="00A60245" w14:paraId="2D756298" w14:textId="77777777" w:rsidTr="00A011EA">
        <w:tc>
          <w:tcPr>
            <w:tcW w:w="1975" w:type="dxa"/>
            <w:shd w:val="clear" w:color="auto" w:fill="FFFFFF"/>
            <w:tcMar>
              <w:top w:w="72" w:type="dxa"/>
              <w:left w:w="100" w:type="dxa"/>
              <w:bottom w:w="72" w:type="dxa"/>
              <w:right w:w="100" w:type="dxa"/>
            </w:tcMar>
            <w:vAlign w:val="center"/>
          </w:tcPr>
          <w:p w14:paraId="5FC9251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المبدأ الإداري</w:t>
            </w:r>
          </w:p>
        </w:tc>
        <w:tc>
          <w:tcPr>
            <w:tcW w:w="7470" w:type="dxa"/>
            <w:shd w:val="clear" w:color="auto" w:fill="FFFFFF"/>
            <w:tcMar>
              <w:top w:w="72" w:type="dxa"/>
              <w:left w:w="100" w:type="dxa"/>
              <w:bottom w:w="72" w:type="dxa"/>
              <w:right w:w="100" w:type="dxa"/>
            </w:tcMar>
            <w:vAlign w:val="center"/>
          </w:tcPr>
          <w:p w14:paraId="42A0CA15"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مبدأ «الحزم الاستراتيجي المرن»: قبول شروط ظاهرها الخسارة حين تخدم غاية أبعد، مع إدارة الاعتراض الداخلي، كموقف عمر، بحكمة دون قمعه.</w:t>
            </w:r>
          </w:p>
        </w:tc>
      </w:tr>
    </w:tbl>
    <w:p w14:paraId="0B542854" w14:textId="77777777" w:rsidR="00B149ED" w:rsidRPr="00A60245" w:rsidRDefault="00B149ED" w:rsidP="00B149ED">
      <w:pPr>
        <w:bidi/>
        <w:spacing w:after="55"/>
        <w:rPr>
          <w:rFonts w:ascii="Sakkal Majalla" w:hAnsi="Sakkal Majalla" w:cs="Sakkal Majalla"/>
          <w:sz w:val="28"/>
          <w:szCs w:val="28"/>
        </w:rPr>
      </w:pPr>
    </w:p>
    <w:p w14:paraId="369BE074"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14FE95FD"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4.6  المصادر اللغوية: من الجذر إلى البلاغة</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2880"/>
        <w:gridCol w:w="3600"/>
      </w:tblGrid>
      <w:tr w:rsidR="00B149ED" w:rsidRPr="00A60245" w14:paraId="27905619" w14:textId="77777777" w:rsidTr="00A011EA">
        <w:tc>
          <w:tcPr>
            <w:tcW w:w="2160" w:type="dxa"/>
            <w:shd w:val="clear" w:color="auto" w:fill="1F3864"/>
            <w:tcMar>
              <w:top w:w="72" w:type="dxa"/>
              <w:left w:w="100" w:type="dxa"/>
              <w:bottom w:w="72" w:type="dxa"/>
              <w:right w:w="100" w:type="dxa"/>
            </w:tcMar>
            <w:vAlign w:val="center"/>
          </w:tcPr>
          <w:p w14:paraId="05CCC83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المصدر</w:t>
            </w:r>
          </w:p>
        </w:tc>
        <w:tc>
          <w:tcPr>
            <w:tcW w:w="2880" w:type="dxa"/>
            <w:shd w:val="clear" w:color="auto" w:fill="1F3864"/>
            <w:tcMar>
              <w:top w:w="72" w:type="dxa"/>
              <w:left w:w="100" w:type="dxa"/>
              <w:bottom w:w="72" w:type="dxa"/>
              <w:right w:w="100" w:type="dxa"/>
            </w:tcMar>
            <w:vAlign w:val="center"/>
          </w:tcPr>
          <w:p w14:paraId="1C293CB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الوظيفة المحددة</w:t>
            </w:r>
          </w:p>
        </w:tc>
        <w:tc>
          <w:tcPr>
            <w:tcW w:w="3600" w:type="dxa"/>
            <w:shd w:val="clear" w:color="auto" w:fill="1F3864"/>
            <w:tcMar>
              <w:top w:w="72" w:type="dxa"/>
              <w:left w:w="100" w:type="dxa"/>
              <w:bottom w:w="72" w:type="dxa"/>
              <w:right w:w="100" w:type="dxa"/>
            </w:tcMar>
            <w:vAlign w:val="center"/>
          </w:tcPr>
          <w:p w14:paraId="750A4F4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مثال تطبيقي على الاستخدام الصحيح</w:t>
            </w:r>
          </w:p>
        </w:tc>
      </w:tr>
      <w:tr w:rsidR="00B149ED" w:rsidRPr="00A60245" w14:paraId="7B4E25A7" w14:textId="77777777" w:rsidTr="00A011EA">
        <w:tc>
          <w:tcPr>
            <w:tcW w:w="2160" w:type="dxa"/>
            <w:shd w:val="clear" w:color="auto" w:fill="EBF5FB"/>
            <w:tcMar>
              <w:top w:w="72" w:type="dxa"/>
              <w:left w:w="100" w:type="dxa"/>
              <w:bottom w:w="72" w:type="dxa"/>
              <w:right w:w="100" w:type="dxa"/>
            </w:tcMar>
            <w:vAlign w:val="center"/>
          </w:tcPr>
          <w:p w14:paraId="6743C7E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مقاييس اللغة ابن فارس (ت.395ه)</w:t>
            </w:r>
          </w:p>
        </w:tc>
        <w:tc>
          <w:tcPr>
            <w:tcW w:w="2880" w:type="dxa"/>
            <w:shd w:val="clear" w:color="auto" w:fill="F8F8F8"/>
            <w:tcMar>
              <w:top w:w="72" w:type="dxa"/>
              <w:left w:w="100" w:type="dxa"/>
              <w:bottom w:w="72" w:type="dxa"/>
              <w:right w:w="100" w:type="dxa"/>
            </w:tcMar>
            <w:vAlign w:val="center"/>
          </w:tcPr>
          <w:p w14:paraId="2E5A0746"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ردّ الجذر الثلاثي إلى معنى مركزي واحد، وهو منهج يتميز به هذا المعجم.</w:t>
            </w:r>
          </w:p>
        </w:tc>
        <w:tc>
          <w:tcPr>
            <w:tcW w:w="3600" w:type="dxa"/>
            <w:shd w:val="clear" w:color="auto" w:fill="EBF5FB"/>
            <w:tcMar>
              <w:top w:w="72" w:type="dxa"/>
              <w:left w:w="100" w:type="dxa"/>
              <w:bottom w:w="72" w:type="dxa"/>
              <w:right w:w="100" w:type="dxa"/>
            </w:tcMar>
            <w:vAlign w:val="center"/>
          </w:tcPr>
          <w:p w14:paraId="4ED5CE0A"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جذر أ-م-ن: «الأمن والطمأنينة»، ومنه تتفرع الأمانة والإيمان والأمن فروعًا لأصل واحد.</w:t>
            </w:r>
          </w:p>
        </w:tc>
      </w:tr>
      <w:tr w:rsidR="00B149ED" w:rsidRPr="00A60245" w14:paraId="4DDB01AC" w14:textId="77777777" w:rsidTr="00A011EA">
        <w:tc>
          <w:tcPr>
            <w:tcW w:w="2160" w:type="dxa"/>
            <w:shd w:val="clear" w:color="auto" w:fill="FFFFFF"/>
            <w:tcMar>
              <w:top w:w="72" w:type="dxa"/>
              <w:left w:w="100" w:type="dxa"/>
              <w:bottom w:w="72" w:type="dxa"/>
              <w:right w:w="100" w:type="dxa"/>
            </w:tcMar>
            <w:vAlign w:val="center"/>
          </w:tcPr>
          <w:p w14:paraId="0007779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المفردات في غريب القرآن الراغب الأصفهاني (ت.502ه)</w:t>
            </w:r>
          </w:p>
        </w:tc>
        <w:tc>
          <w:tcPr>
            <w:tcW w:w="2880" w:type="dxa"/>
            <w:shd w:val="clear" w:color="auto" w:fill="FFFFFF"/>
            <w:tcMar>
              <w:top w:w="72" w:type="dxa"/>
              <w:left w:w="100" w:type="dxa"/>
              <w:bottom w:w="72" w:type="dxa"/>
              <w:right w:w="100" w:type="dxa"/>
            </w:tcMar>
            <w:vAlign w:val="center"/>
          </w:tcPr>
          <w:p w14:paraId="3982F847"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معجم خاص بمفردات القرآن، يفرّق بدقة بين الدلالة القرآنية الخاصة والاستعمال العربي العام.</w:t>
            </w:r>
          </w:p>
        </w:tc>
        <w:tc>
          <w:tcPr>
            <w:tcW w:w="3600" w:type="dxa"/>
            <w:shd w:val="clear" w:color="auto" w:fill="FFFFFF"/>
            <w:tcMar>
              <w:top w:w="72" w:type="dxa"/>
              <w:left w:w="100" w:type="dxa"/>
              <w:bottom w:w="72" w:type="dxa"/>
              <w:right w:w="100" w:type="dxa"/>
            </w:tcMar>
            <w:vAlign w:val="center"/>
          </w:tcPr>
          <w:p w14:paraId="707B864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لفظ "الإحسان": يُميّز الراغب بين الإحسان العام (إجادة الفعل) والدلالة القرآنية الخاصة (حديث جبريل — حالة استحضار وجودي).</w:t>
            </w:r>
          </w:p>
        </w:tc>
      </w:tr>
      <w:tr w:rsidR="00B149ED" w:rsidRPr="00A60245" w14:paraId="57864D85" w14:textId="77777777" w:rsidTr="00A011EA">
        <w:tc>
          <w:tcPr>
            <w:tcW w:w="2160" w:type="dxa"/>
            <w:shd w:val="clear" w:color="auto" w:fill="EBF5FB"/>
            <w:tcMar>
              <w:top w:w="72" w:type="dxa"/>
              <w:left w:w="100" w:type="dxa"/>
              <w:bottom w:w="72" w:type="dxa"/>
              <w:right w:w="100" w:type="dxa"/>
            </w:tcMar>
            <w:vAlign w:val="center"/>
          </w:tcPr>
          <w:p w14:paraId="65DC000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lastRenderedPageBreak/>
              <w:t>لسان العرب ابن منظور (ت.711ه)</w:t>
            </w:r>
          </w:p>
        </w:tc>
        <w:tc>
          <w:tcPr>
            <w:tcW w:w="2880" w:type="dxa"/>
            <w:shd w:val="clear" w:color="auto" w:fill="F8F8F8"/>
            <w:tcMar>
              <w:top w:w="72" w:type="dxa"/>
              <w:left w:w="100" w:type="dxa"/>
              <w:bottom w:w="72" w:type="dxa"/>
              <w:right w:w="100" w:type="dxa"/>
            </w:tcMar>
            <w:vAlign w:val="center"/>
          </w:tcPr>
          <w:p w14:paraId="43F9A62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أوسع المعاجم استيعابًا للاستعمالات التاريخية، ويُرجع إليه للتحقق من اتساع الاستعمال.</w:t>
            </w:r>
          </w:p>
        </w:tc>
        <w:tc>
          <w:tcPr>
            <w:tcW w:w="3600" w:type="dxa"/>
            <w:shd w:val="clear" w:color="auto" w:fill="EBF5FB"/>
            <w:tcMar>
              <w:top w:w="72" w:type="dxa"/>
              <w:left w:w="100" w:type="dxa"/>
              <w:bottom w:w="72" w:type="dxa"/>
              <w:right w:w="100" w:type="dxa"/>
            </w:tcMar>
            <w:vAlign w:val="center"/>
          </w:tcPr>
          <w:p w14:paraId="5B689E1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التحقق من استعمالات «الشورى» في الشعر الجاهلي والنثر العربي القديم، لبيان أن الدلالة القرآنية ليست معزولة عن اللغة.</w:t>
            </w:r>
          </w:p>
        </w:tc>
      </w:tr>
      <w:tr w:rsidR="00B149ED" w:rsidRPr="00A60245" w14:paraId="1ADCE373" w14:textId="77777777" w:rsidTr="00A011EA">
        <w:tc>
          <w:tcPr>
            <w:tcW w:w="2160" w:type="dxa"/>
            <w:shd w:val="clear" w:color="auto" w:fill="FFFFFF"/>
            <w:tcMar>
              <w:top w:w="72" w:type="dxa"/>
              <w:left w:w="100" w:type="dxa"/>
              <w:bottom w:w="72" w:type="dxa"/>
              <w:right w:w="100" w:type="dxa"/>
            </w:tcMar>
            <w:vAlign w:val="center"/>
          </w:tcPr>
          <w:p w14:paraId="5658CDB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الكشّاف الزمخشري (ت.538ه)</w:t>
            </w:r>
          </w:p>
        </w:tc>
        <w:tc>
          <w:tcPr>
            <w:tcW w:w="2880" w:type="dxa"/>
            <w:shd w:val="clear" w:color="auto" w:fill="FFFFFF"/>
            <w:tcMar>
              <w:top w:w="72" w:type="dxa"/>
              <w:left w:w="100" w:type="dxa"/>
              <w:bottom w:w="72" w:type="dxa"/>
              <w:right w:w="100" w:type="dxa"/>
            </w:tcMar>
            <w:vAlign w:val="center"/>
          </w:tcPr>
          <w:p w14:paraId="27D9D77A"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التحليل البلاغي والنحوي الدقيق، والأعلى سلطة في سؤال «لماذا هذا التركيب دون غيره».</w:t>
            </w:r>
          </w:p>
        </w:tc>
        <w:tc>
          <w:tcPr>
            <w:tcW w:w="3600" w:type="dxa"/>
            <w:shd w:val="clear" w:color="auto" w:fill="FFFFFF"/>
            <w:tcMar>
              <w:top w:w="72" w:type="dxa"/>
              <w:left w:w="100" w:type="dxa"/>
              <w:bottom w:w="72" w:type="dxa"/>
              <w:right w:w="100" w:type="dxa"/>
            </w:tcMar>
            <w:vAlign w:val="center"/>
          </w:tcPr>
          <w:p w14:paraId="6B2C3AE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سؤال: لماذا "وشاورهم" بصيغة الأمر المباشر لا "ينبغي أن تشاورهم"؟ الزمخشري يُحلل الفارق البلاغي ودلالته على الإلزام.</w:t>
            </w:r>
          </w:p>
        </w:tc>
      </w:tr>
    </w:tbl>
    <w:p w14:paraId="270E6E59" w14:textId="77777777" w:rsidR="00B149ED" w:rsidRPr="00A60245" w:rsidRDefault="00B149ED" w:rsidP="00B149ED">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4.4 — أربعة مصادر لغوية لكلٍّ منها وظيفته: التأصيل الجذري، والخصوصية القرآنية، واتساع الاستعمال، والتحليل البلاغي.</w:t>
      </w:r>
    </w:p>
    <w:p w14:paraId="6FAC0F51" w14:textId="77777777" w:rsidR="00B149ED" w:rsidRPr="00A60245" w:rsidRDefault="00B149ED" w:rsidP="00B149ED">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والقاعدة: لا يُكتفى بمصدر لغوي واحد في أي تحليل جذري في بطاقة الهوية المعرفية؛ فالحقل الثاني يستوجب مراجعة المصادر الأربعة معًا.</w:t>
      </w:r>
    </w:p>
    <w:p w14:paraId="36D47F1A" w14:textId="77777777" w:rsidR="00B149ED" w:rsidRPr="00A60245" w:rsidRDefault="00B149ED" w:rsidP="00B149ED">
      <w:pPr>
        <w:bidi/>
        <w:spacing w:after="55"/>
        <w:rPr>
          <w:rFonts w:ascii="Sakkal Majalla" w:hAnsi="Sakkal Majalla" w:cs="Sakkal Majalla"/>
          <w:sz w:val="28"/>
          <w:szCs w:val="28"/>
        </w:rPr>
      </w:pPr>
    </w:p>
    <w:p w14:paraId="111CD8D9"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ضمانات منهجية ضد الانتقاء المغرض بين المصادر</w:t>
      </w:r>
    </w:p>
    <w:p w14:paraId="1AB7AC7D"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وأكبر خطر في أي نظام يسمح بتعدد المصادر هو الانتقاء المغرض (Cherry-Picking). وهذه ثلاث ضمانات إجرائية تحدّ منه:</w:t>
      </w:r>
    </w:p>
    <w:p w14:paraId="1360FEF8"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الاستقصاء قبل الانتقاء: يُلزَم الباحث بعرض مواقف المدارس الخمس كلها في بطاقة الهوية (الحقل السابع)، لا بالاكتفاء بالمدرسة التي تؤيد استنتاجه وإسقاط غيرها بصمت. وغياب مدرسة يحتاج إلى تسويغ صريح.</w:t>
      </w:r>
    </w:p>
    <w:p w14:paraId="0B22357B"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تسجيل الخلاف قبل الترجيح: يُسجَّل الخلاف بين المدارس أولًا بأمانة، ثم يُرجَّح بمعايير معلنة. والترجيح المباشر دون عرض الخلاف ممنوع.</w:t>
      </w:r>
    </w:p>
    <w:p w14:paraId="3A6A6ACD" w14:textId="77777777" w:rsidR="00B149ED" w:rsidRPr="00A60245" w:rsidRDefault="00B149ED" w:rsidP="00B149ED">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المراجعة الخارجية: كما في محك الأصالة (الفصل الثالث)، يخضع كل استعمال لمصدر تفسيري لمراجعة محكّم مستقل متخصص في التفسير، يتحقق من أمانة عرض المدارس.</w:t>
      </w:r>
    </w:p>
    <w:p w14:paraId="1F902061"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7736DDE9"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4.7  تطبيق كامل لهرم المصادر: مفهوم «العدل» من الدلالة إلى المبدأ</w:t>
      </w:r>
    </w:p>
    <w:p w14:paraId="0EEC2816"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ولكي نرى كيف تعمل مستويات الهرم معًا لا منفصلة، أطبّقه على مفهوم العدل من أوله إلى آخره:</w:t>
      </w:r>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275"/>
      </w:tblGrid>
      <w:tr w:rsidR="00B149ED" w:rsidRPr="00A60245" w14:paraId="67E66AC9" w14:textId="77777777" w:rsidTr="00A011EA">
        <w:tc>
          <w:tcPr>
            <w:tcW w:w="1440" w:type="dxa"/>
            <w:shd w:val="clear" w:color="auto" w:fill="1F3864"/>
            <w:tcMar>
              <w:top w:w="72" w:type="dxa"/>
              <w:left w:w="100" w:type="dxa"/>
              <w:bottom w:w="72" w:type="dxa"/>
              <w:right w:w="100" w:type="dxa"/>
            </w:tcMar>
            <w:vAlign w:val="center"/>
          </w:tcPr>
          <w:p w14:paraId="14CA91F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المصدر</w:t>
            </w:r>
          </w:p>
        </w:tc>
        <w:tc>
          <w:tcPr>
            <w:tcW w:w="8275" w:type="dxa"/>
            <w:shd w:val="clear" w:color="auto" w:fill="1F3864"/>
            <w:tcMar>
              <w:top w:w="72" w:type="dxa"/>
              <w:left w:w="100" w:type="dxa"/>
              <w:bottom w:w="72" w:type="dxa"/>
              <w:right w:w="100" w:type="dxa"/>
            </w:tcMar>
            <w:vAlign w:val="center"/>
          </w:tcPr>
          <w:p w14:paraId="3A4E462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ما يُقدِّمه لمفهوم العدل تحديداً</w:t>
            </w:r>
          </w:p>
        </w:tc>
      </w:tr>
      <w:tr w:rsidR="00B149ED" w:rsidRPr="00A60245" w14:paraId="7BD415FF" w14:textId="77777777" w:rsidTr="00A011EA">
        <w:tc>
          <w:tcPr>
            <w:tcW w:w="1440" w:type="dxa"/>
            <w:shd w:val="clear" w:color="auto" w:fill="EBF5FB"/>
            <w:tcMar>
              <w:top w:w="72" w:type="dxa"/>
              <w:left w:w="100" w:type="dxa"/>
              <w:bottom w:w="72" w:type="dxa"/>
              <w:right w:w="100" w:type="dxa"/>
            </w:tcMar>
            <w:vAlign w:val="center"/>
          </w:tcPr>
          <w:p w14:paraId="0D9B7D56"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①</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القرآن</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المنشأ</w:t>
            </w:r>
            <w:r w:rsidRPr="00A60245">
              <w:rPr>
                <w:rFonts w:ascii="Sakkal Majalla" w:hAnsi="Sakkal Majalla" w:cs="Sakkal Majalla"/>
                <w:b/>
                <w:bCs/>
                <w:color w:val="1F3864"/>
                <w:sz w:val="28"/>
                <w:szCs w:val="28"/>
                <w:rtl/>
              </w:rPr>
              <w:t>)</w:t>
            </w:r>
          </w:p>
        </w:tc>
        <w:tc>
          <w:tcPr>
            <w:tcW w:w="8275" w:type="dxa"/>
            <w:shd w:val="clear" w:color="auto" w:fill="F5FAFF"/>
            <w:tcMar>
              <w:top w:w="72" w:type="dxa"/>
              <w:left w:w="100" w:type="dxa"/>
              <w:bottom w:w="72" w:type="dxa"/>
              <w:right w:w="100" w:type="dxa"/>
            </w:tcMar>
            <w:vAlign w:val="center"/>
          </w:tcPr>
          <w:p w14:paraId="2123F75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﴿إِنَّ اللَّهَ يَأْمُرُ بِالْعَدْلِ وَالْإِحْسَانِ﴾ (النحل:90) — العدل أمر إلهي مباشر يُقرَن بالإحسان في مرتبة تعلو على العدل ذاته. وردت مادة ع-د-ل أكثر من 28 مرة بصيغ مختلفة.</w:t>
            </w:r>
          </w:p>
        </w:tc>
      </w:tr>
      <w:tr w:rsidR="00B149ED" w:rsidRPr="00A60245" w14:paraId="573FC275" w14:textId="77777777" w:rsidTr="00A011EA">
        <w:tc>
          <w:tcPr>
            <w:tcW w:w="1440" w:type="dxa"/>
            <w:shd w:val="clear" w:color="auto" w:fill="FFFFFF"/>
            <w:tcMar>
              <w:top w:w="72" w:type="dxa"/>
              <w:left w:w="100" w:type="dxa"/>
              <w:bottom w:w="72" w:type="dxa"/>
              <w:right w:w="100" w:type="dxa"/>
            </w:tcMar>
            <w:vAlign w:val="center"/>
          </w:tcPr>
          <w:p w14:paraId="125CD897"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lastRenderedPageBreak/>
              <w:t>②</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السنة</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البيان</w:t>
            </w:r>
            <w:r w:rsidRPr="00A60245">
              <w:rPr>
                <w:rFonts w:ascii="Sakkal Majalla" w:hAnsi="Sakkal Majalla" w:cs="Sakkal Majalla"/>
                <w:b/>
                <w:bCs/>
                <w:color w:val="1F3864"/>
                <w:sz w:val="28"/>
                <w:szCs w:val="28"/>
                <w:rtl/>
              </w:rPr>
              <w:t>)</w:t>
            </w:r>
          </w:p>
        </w:tc>
        <w:tc>
          <w:tcPr>
            <w:tcW w:w="8275" w:type="dxa"/>
            <w:shd w:val="clear" w:color="auto" w:fill="FFFFFF"/>
            <w:tcMar>
              <w:top w:w="72" w:type="dxa"/>
              <w:left w:w="100" w:type="dxa"/>
              <w:bottom w:w="72" w:type="dxa"/>
              <w:right w:w="100" w:type="dxa"/>
            </w:tcMar>
            <w:vAlign w:val="center"/>
          </w:tcPr>
          <w:p w14:paraId="0EEDE390"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«أعطوا الأجير أجره قبل أن يجف عرقه» (ابن ماجه). وتبيّن السنة هنا بعدًا زمنيًا فوريًا للعدل لم يُفصَّل في الآية المجملة، وهو من النوع الثاني (التفسيري) من بيان ابن القيم.</w:t>
            </w:r>
          </w:p>
        </w:tc>
      </w:tr>
      <w:tr w:rsidR="00B149ED" w:rsidRPr="00A60245" w14:paraId="31931F7B" w14:textId="77777777" w:rsidTr="00A011EA">
        <w:tc>
          <w:tcPr>
            <w:tcW w:w="1440" w:type="dxa"/>
            <w:shd w:val="clear" w:color="auto" w:fill="EBF5FB"/>
            <w:tcMar>
              <w:top w:w="72" w:type="dxa"/>
              <w:left w:w="100" w:type="dxa"/>
              <w:bottom w:w="72" w:type="dxa"/>
              <w:right w:w="100" w:type="dxa"/>
            </w:tcMar>
            <w:vAlign w:val="center"/>
          </w:tcPr>
          <w:p w14:paraId="4413F6B8"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③</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اللغة</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ابن</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فارس</w:t>
            </w:r>
            <w:r w:rsidRPr="00A60245">
              <w:rPr>
                <w:rFonts w:ascii="Sakkal Majalla" w:hAnsi="Sakkal Majalla" w:cs="Sakkal Majalla"/>
                <w:b/>
                <w:bCs/>
                <w:color w:val="1F3864"/>
                <w:sz w:val="28"/>
                <w:szCs w:val="28"/>
                <w:rtl/>
              </w:rPr>
              <w:t>)</w:t>
            </w:r>
          </w:p>
        </w:tc>
        <w:tc>
          <w:tcPr>
            <w:tcW w:w="8275" w:type="dxa"/>
            <w:shd w:val="clear" w:color="auto" w:fill="F5FAFF"/>
            <w:tcMar>
              <w:top w:w="72" w:type="dxa"/>
              <w:left w:w="100" w:type="dxa"/>
              <w:bottom w:w="72" w:type="dxa"/>
              <w:right w:w="100" w:type="dxa"/>
            </w:tcMar>
            <w:vAlign w:val="center"/>
          </w:tcPr>
          <w:p w14:paraId="4CECC01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جذر ع-د-ل: "التسوية والاستقامة" — معنى مركزي واحد يجمع "العدل ضد الجور" و"العِدل" (المثيل الذي يُساوي في الوزن) في أصل دلالي: وضع الشيء في موضعه المُستقيم دون جور.</w:t>
            </w:r>
          </w:p>
        </w:tc>
      </w:tr>
      <w:tr w:rsidR="00B149ED" w:rsidRPr="00A60245" w14:paraId="21FB919E" w14:textId="77777777" w:rsidTr="00A011EA">
        <w:tc>
          <w:tcPr>
            <w:tcW w:w="1440" w:type="dxa"/>
            <w:shd w:val="clear" w:color="auto" w:fill="FFFFFF"/>
            <w:tcMar>
              <w:top w:w="72" w:type="dxa"/>
              <w:left w:w="100" w:type="dxa"/>
              <w:bottom w:w="72" w:type="dxa"/>
              <w:right w:w="100" w:type="dxa"/>
            </w:tcMar>
            <w:vAlign w:val="center"/>
          </w:tcPr>
          <w:p w14:paraId="742B90B1"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④</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التفسير</w:t>
            </w:r>
            <w:r w:rsidRPr="00A60245">
              <w:rPr>
                <w:rFonts w:ascii="Sakkal Majalla" w:hAnsi="Sakkal Majalla" w:cs="Sakkal Majalla"/>
                <w:b/>
                <w:bCs/>
                <w:color w:val="1F3864"/>
                <w:sz w:val="28"/>
                <w:szCs w:val="28"/>
                <w:rtl/>
              </w:rPr>
              <w:t xml:space="preserve"> (5 </w:t>
            </w:r>
            <w:r w:rsidRPr="00A60245">
              <w:rPr>
                <w:rFonts w:ascii="Sakkal Majalla" w:hAnsi="Sakkal Majalla" w:cs="Sakkal Majalla" w:hint="cs"/>
                <w:b/>
                <w:bCs/>
                <w:color w:val="1F3864"/>
                <w:sz w:val="28"/>
                <w:szCs w:val="28"/>
                <w:rtl/>
              </w:rPr>
              <w:t>مدارس</w:t>
            </w:r>
            <w:r w:rsidRPr="00A60245">
              <w:rPr>
                <w:rFonts w:ascii="Sakkal Majalla" w:hAnsi="Sakkal Majalla" w:cs="Sakkal Majalla"/>
                <w:b/>
                <w:bCs/>
                <w:color w:val="1F3864"/>
                <w:sz w:val="28"/>
                <w:szCs w:val="28"/>
                <w:rtl/>
              </w:rPr>
              <w:t>)</w:t>
            </w:r>
          </w:p>
        </w:tc>
        <w:tc>
          <w:tcPr>
            <w:tcW w:w="8275" w:type="dxa"/>
            <w:shd w:val="clear" w:color="auto" w:fill="FFFFFF"/>
            <w:tcMar>
              <w:top w:w="72" w:type="dxa"/>
              <w:left w:w="100" w:type="dxa"/>
              <w:bottom w:w="72" w:type="dxa"/>
              <w:right w:w="100" w:type="dxa"/>
            </w:tcMar>
            <w:vAlign w:val="center"/>
          </w:tcPr>
          <w:p w14:paraId="465ABC6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ابن كثير: العدل هو التوحيد وأداء الفرائض. ابن عاشور: نظام اجتماعي يسبق الإحسان رتبةً. القرطبي: تفصيل فقهي للعدل في القضاء والمعاملات. الرازي: مناقشة فلسفية لعلاقة العدل بالحكمة الإلهية. سيد قطب: العدل صورة حياة متكاملة لا حكم قانوني مجرد.</w:t>
            </w:r>
          </w:p>
        </w:tc>
      </w:tr>
      <w:tr w:rsidR="00B149ED" w:rsidRPr="00A60245" w14:paraId="4612E0CE" w14:textId="77777777" w:rsidTr="00A011EA">
        <w:tc>
          <w:tcPr>
            <w:tcW w:w="1440" w:type="dxa"/>
            <w:shd w:val="clear" w:color="auto" w:fill="EBF5FB"/>
            <w:tcMar>
              <w:top w:w="72" w:type="dxa"/>
              <w:left w:w="100" w:type="dxa"/>
              <w:bottom w:w="72" w:type="dxa"/>
              <w:right w:w="100" w:type="dxa"/>
            </w:tcMar>
            <w:vAlign w:val="center"/>
          </w:tcPr>
          <w:p w14:paraId="4B0E2314"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1F3864"/>
                <w:sz w:val="28"/>
                <w:szCs w:val="28"/>
                <w:rtl/>
              </w:rPr>
              <w:t xml:space="preserve">⑤ السيرة</w:t>
            </w:r>
          </w:p>
        </w:tc>
        <w:tc>
          <w:tcPr>
            <w:tcW w:w="8275" w:type="dxa"/>
            <w:shd w:val="clear" w:color="auto" w:fill="F5FAFF"/>
            <w:tcMar>
              <w:top w:w="72" w:type="dxa"/>
              <w:left w:w="100" w:type="dxa"/>
              <w:bottom w:w="72" w:type="dxa"/>
              <w:right w:w="100" w:type="dxa"/>
            </w:tcMar>
            <w:vAlign w:val="center"/>
          </w:tcPr>
          <w:p w14:paraId="7864977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قضاء النبي ﷺ بين المتخاصمين دون تفريق بين شريف ووضيع، كما في واقعة المرأة المخزومية (البخاري، كتاب الحدود) وقوله ﷺ: «والله لو أن فاطمة بنت محمد سرقت لقطعت يدها»، نموذجًا مؤسسيًا لعدالة لا تراعي المكانة الاجتماعية.</w:t>
            </w:r>
          </w:p>
        </w:tc>
      </w:tr>
      <w:tr w:rsidR="00B149ED" w:rsidRPr="00A60245" w14:paraId="02DB43E8" w14:textId="77777777" w:rsidTr="00A011EA">
        <w:tc>
          <w:tcPr>
            <w:tcW w:w="1440" w:type="dxa"/>
            <w:shd w:val="clear" w:color="auto" w:fill="1F3864"/>
            <w:tcMar>
              <w:top w:w="72" w:type="dxa"/>
              <w:left w:w="100" w:type="dxa"/>
              <w:bottom w:w="72" w:type="dxa"/>
              <w:right w:w="100" w:type="dxa"/>
            </w:tcMar>
            <w:vAlign w:val="center"/>
          </w:tcPr>
          <w:p w14:paraId="5D472A5B"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FFFFFF"/>
                <w:sz w:val="28"/>
                <w:szCs w:val="28"/>
                <w:rtl/>
              </w:rPr>
              <w:t>⑥</w:t>
            </w:r>
            <w:r w:rsidRPr="00A60245">
              <w:rPr>
                <w:rFonts w:ascii="Sakkal Majalla" w:hAnsi="Sakkal Majalla" w:cs="Sakkal Majalla"/>
                <w:b/>
                <w:bCs/>
                <w:color w:val="FFFFFF"/>
                <w:sz w:val="28"/>
                <w:szCs w:val="28"/>
                <w:rtl/>
              </w:rPr>
              <w:t xml:space="preserve"> </w:t>
            </w:r>
            <w:r w:rsidRPr="00A60245">
              <w:rPr>
                <w:rFonts w:ascii="Sakkal Majalla" w:hAnsi="Sakkal Majalla" w:cs="Sakkal Majalla" w:hint="cs"/>
                <w:b/>
                <w:bCs/>
                <w:color w:val="FFFFFF"/>
                <w:sz w:val="28"/>
                <w:szCs w:val="28"/>
                <w:rtl/>
              </w:rPr>
              <w:t>المبدأ</w:t>
            </w:r>
            <w:r w:rsidRPr="00A60245">
              <w:rPr>
                <w:rFonts w:ascii="Sakkal Majalla" w:hAnsi="Sakkal Majalla" w:cs="Sakkal Majalla"/>
                <w:b/>
                <w:bCs/>
                <w:color w:val="FFFFFF"/>
                <w:sz w:val="28"/>
                <w:szCs w:val="28"/>
                <w:rtl/>
              </w:rPr>
              <w:t xml:space="preserve"> </w:t>
            </w:r>
            <w:r w:rsidRPr="00A60245">
              <w:rPr>
                <w:rFonts w:ascii="Sakkal Majalla" w:hAnsi="Sakkal Majalla" w:cs="Sakkal Majalla" w:hint="cs"/>
                <w:b/>
                <w:bCs/>
                <w:color w:val="FFFFFF"/>
                <w:sz w:val="28"/>
                <w:szCs w:val="28"/>
                <w:rtl/>
              </w:rPr>
              <w:t>الإداري</w:t>
            </w:r>
            <w:r w:rsidRPr="00A60245">
              <w:rPr>
                <w:rFonts w:ascii="Sakkal Majalla" w:hAnsi="Sakkal Majalla" w:cs="Sakkal Majalla"/>
                <w:b/>
                <w:bCs/>
                <w:color w:val="FFFFFF"/>
                <w:sz w:val="28"/>
                <w:szCs w:val="28"/>
                <w:rtl/>
              </w:rPr>
              <w:t xml:space="preserve"> (</w:t>
            </w:r>
            <w:r w:rsidRPr="00A60245">
              <w:rPr>
                <w:rFonts w:ascii="Sakkal Majalla" w:hAnsi="Sakkal Majalla" w:cs="Sakkal Majalla" w:hint="cs"/>
                <w:b/>
                <w:bCs/>
                <w:color w:val="FFFFFF"/>
                <w:sz w:val="28"/>
                <w:szCs w:val="28"/>
                <w:rtl/>
              </w:rPr>
              <w:t>الناتج</w:t>
            </w:r>
            <w:r w:rsidRPr="00A60245">
              <w:rPr>
                <w:rFonts w:ascii="Sakkal Majalla" w:hAnsi="Sakkal Majalla" w:cs="Sakkal Majalla"/>
                <w:b/>
                <w:bCs/>
                <w:color w:val="FFFFFF"/>
                <w:sz w:val="28"/>
                <w:szCs w:val="28"/>
                <w:rtl/>
              </w:rPr>
              <w:t>)</w:t>
            </w:r>
          </w:p>
        </w:tc>
        <w:tc>
          <w:tcPr>
            <w:tcW w:w="8275" w:type="dxa"/>
            <w:shd w:val="clear" w:color="auto" w:fill="1F3864"/>
            <w:tcMar>
              <w:top w:w="72" w:type="dxa"/>
              <w:left w:w="100" w:type="dxa"/>
              <w:bottom w:w="72" w:type="dxa"/>
              <w:right w:w="100" w:type="dxa"/>
            </w:tcMar>
            <w:vAlign w:val="center"/>
          </w:tcPr>
          <w:p w14:paraId="0E30D80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العدل الإداري القرآني: توزيع الحقوق والفرص وفق الاستحقاق الفوري، لا التوازن الحسابي المؤجل وحده. ويضيف إلى نظريات العدالة التوزيعية الغربية إلزامًا شرعيًا فوريًا لا يتوقف على تفاوت السمات الشخصية.</w:t>
            </w:r>
          </w:p>
        </w:tc>
      </w:tr>
    </w:tbl>
    <w:p w14:paraId="30C8CED5" w14:textId="77777777" w:rsidR="00B149ED" w:rsidRPr="00A60245" w:rsidRDefault="00B149ED" w:rsidP="00B149ED">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4.5 — تطبيق كامل لهرم المصادر الستة على مفهوم العدل، ويتسق مع التطبيق الرابع في الفصل الثالث.</w:t>
      </w:r>
    </w:p>
    <w:p w14:paraId="22B39A06" w14:textId="77777777" w:rsidR="00B149ED" w:rsidRPr="00A60245" w:rsidRDefault="00B149ED" w:rsidP="00B149ED">
      <w:pPr>
        <w:bidi/>
        <w:spacing w:after="55"/>
        <w:rPr>
          <w:rFonts w:ascii="Sakkal Majalla" w:hAnsi="Sakkal Majalla" w:cs="Sakkal Majalla"/>
          <w:sz w:val="28"/>
          <w:szCs w:val="28"/>
        </w:rPr>
      </w:pPr>
    </w:p>
    <w:p w14:paraId="5F289E16"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تطبيق ثانٍ: مفهوم «الإحسان»، لاختبار عمومية الهرم</w:t>
      </w:r>
    </w:p>
    <w:tbl>
      <w:tblPr>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185"/>
      </w:tblGrid>
      <w:tr w:rsidR="00B149ED" w:rsidRPr="00A60245" w14:paraId="05E047C4" w14:textId="77777777" w:rsidTr="00A011EA">
        <w:tc>
          <w:tcPr>
            <w:tcW w:w="1440" w:type="dxa"/>
            <w:shd w:val="clear" w:color="auto" w:fill="1F3864"/>
            <w:tcMar>
              <w:top w:w="72" w:type="dxa"/>
              <w:left w:w="100" w:type="dxa"/>
              <w:bottom w:w="72" w:type="dxa"/>
              <w:right w:w="100" w:type="dxa"/>
            </w:tcMar>
            <w:vAlign w:val="center"/>
          </w:tcPr>
          <w:p w14:paraId="34459DE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المصدر</w:t>
            </w:r>
          </w:p>
        </w:tc>
        <w:tc>
          <w:tcPr>
            <w:tcW w:w="8185" w:type="dxa"/>
            <w:shd w:val="clear" w:color="auto" w:fill="1F3864"/>
            <w:tcMar>
              <w:top w:w="72" w:type="dxa"/>
              <w:left w:w="100" w:type="dxa"/>
              <w:bottom w:w="72" w:type="dxa"/>
              <w:right w:w="100" w:type="dxa"/>
            </w:tcMar>
            <w:vAlign w:val="center"/>
          </w:tcPr>
          <w:p w14:paraId="6DC6FCE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ما يُقدِّمه لمفهوم الإحسان تحديداً</w:t>
            </w:r>
          </w:p>
        </w:tc>
      </w:tr>
      <w:tr w:rsidR="00B149ED" w:rsidRPr="00A60245" w14:paraId="7906A56D" w14:textId="77777777" w:rsidTr="00A011EA">
        <w:tc>
          <w:tcPr>
            <w:tcW w:w="1440" w:type="dxa"/>
            <w:shd w:val="clear" w:color="auto" w:fill="EBF5FB"/>
            <w:tcMar>
              <w:top w:w="72" w:type="dxa"/>
              <w:left w:w="100" w:type="dxa"/>
              <w:bottom w:w="72" w:type="dxa"/>
              <w:right w:w="100" w:type="dxa"/>
            </w:tcMar>
            <w:vAlign w:val="center"/>
          </w:tcPr>
          <w:p w14:paraId="082DDFC8"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①</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القرآن</w:t>
            </w:r>
          </w:p>
        </w:tc>
        <w:tc>
          <w:tcPr>
            <w:tcW w:w="8185" w:type="dxa"/>
            <w:shd w:val="clear" w:color="auto" w:fill="F5FAFF"/>
            <w:tcMar>
              <w:top w:w="72" w:type="dxa"/>
              <w:left w:w="100" w:type="dxa"/>
              <w:bottom w:w="72" w:type="dxa"/>
              <w:right w:w="100" w:type="dxa"/>
            </w:tcMar>
            <w:vAlign w:val="center"/>
          </w:tcPr>
          <w:p w14:paraId="62EEAA4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﴿إِنَّ اللَّهَ يَأْمُرُ بِالْعَدْلِ وَالْإِحْسَانِ﴾ (النحل:90) — الإحسان مرتبة تعلو على العدل، أمر إلهي مباشر يتجاوز الإلزام إلى الفضل.</w:t>
            </w:r>
          </w:p>
        </w:tc>
      </w:tr>
      <w:tr w:rsidR="00B149ED" w:rsidRPr="00A60245" w14:paraId="64114878" w14:textId="77777777" w:rsidTr="00A011EA">
        <w:tc>
          <w:tcPr>
            <w:tcW w:w="1440" w:type="dxa"/>
            <w:shd w:val="clear" w:color="auto" w:fill="FFFFFF"/>
            <w:tcMar>
              <w:top w:w="72" w:type="dxa"/>
              <w:left w:w="100" w:type="dxa"/>
              <w:bottom w:w="72" w:type="dxa"/>
              <w:right w:w="100" w:type="dxa"/>
            </w:tcMar>
            <w:vAlign w:val="center"/>
          </w:tcPr>
          <w:p w14:paraId="0F0545AE"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②</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السنة</w:t>
            </w:r>
          </w:p>
        </w:tc>
        <w:tc>
          <w:tcPr>
            <w:tcW w:w="8185" w:type="dxa"/>
            <w:shd w:val="clear" w:color="auto" w:fill="FFFFFF"/>
            <w:tcMar>
              <w:top w:w="72" w:type="dxa"/>
              <w:left w:w="100" w:type="dxa"/>
              <w:bottom w:w="72" w:type="dxa"/>
              <w:right w:w="100" w:type="dxa"/>
            </w:tcMar>
            <w:vAlign w:val="center"/>
          </w:tcPr>
          <w:p w14:paraId="584EDA1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حديث جبريل: "الإحسان أن تعبد الله كأنك تراه، فإن لم تكن تراه فإنه يراك." (البخاري ومسلم) — بيان تفسيري يُحوِّل المفهوم من فضيلة عامة إلى حالة استحضار وجودي دقيقة.</w:t>
            </w:r>
          </w:p>
        </w:tc>
      </w:tr>
      <w:tr w:rsidR="00B149ED" w:rsidRPr="00A60245" w14:paraId="13952132" w14:textId="77777777" w:rsidTr="00A011EA">
        <w:tc>
          <w:tcPr>
            <w:tcW w:w="1440" w:type="dxa"/>
            <w:shd w:val="clear" w:color="auto" w:fill="EBF5FB"/>
            <w:tcMar>
              <w:top w:w="72" w:type="dxa"/>
              <w:left w:w="100" w:type="dxa"/>
              <w:bottom w:w="72" w:type="dxa"/>
              <w:right w:w="100" w:type="dxa"/>
            </w:tcMar>
            <w:vAlign w:val="center"/>
          </w:tcPr>
          <w:p w14:paraId="06161291"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③</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اللغة</w:t>
            </w:r>
          </w:p>
        </w:tc>
        <w:tc>
          <w:tcPr>
            <w:tcW w:w="8185" w:type="dxa"/>
            <w:shd w:val="clear" w:color="auto" w:fill="F5FAFF"/>
            <w:tcMar>
              <w:top w:w="72" w:type="dxa"/>
              <w:left w:w="100" w:type="dxa"/>
              <w:bottom w:w="72" w:type="dxa"/>
              <w:right w:w="100" w:type="dxa"/>
            </w:tcMar>
            <w:vAlign w:val="center"/>
          </w:tcPr>
          <w:p w14:paraId="17D2F88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جذر ح-س-ن عند ابن فارس: "كل شيء حَسُن في بابه" — الراغب يُميّز الإحسان عن "الحُسن" بكونه فعلاً متعدياً للغير لا صفة ذاتية فقط.</w:t>
            </w:r>
          </w:p>
        </w:tc>
      </w:tr>
      <w:tr w:rsidR="00B149ED" w:rsidRPr="00A60245" w14:paraId="56ECCC62" w14:textId="77777777" w:rsidTr="00A011EA">
        <w:tc>
          <w:tcPr>
            <w:tcW w:w="1440" w:type="dxa"/>
            <w:shd w:val="clear" w:color="auto" w:fill="FFFFFF"/>
            <w:tcMar>
              <w:top w:w="72" w:type="dxa"/>
              <w:left w:w="100" w:type="dxa"/>
              <w:bottom w:w="72" w:type="dxa"/>
              <w:right w:w="100" w:type="dxa"/>
            </w:tcMar>
            <w:vAlign w:val="center"/>
          </w:tcPr>
          <w:p w14:paraId="5B273FF2"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④</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التفسير</w:t>
            </w:r>
          </w:p>
        </w:tc>
        <w:tc>
          <w:tcPr>
            <w:tcW w:w="8185" w:type="dxa"/>
            <w:shd w:val="clear" w:color="auto" w:fill="FFFFFF"/>
            <w:tcMar>
              <w:top w:w="72" w:type="dxa"/>
              <w:left w:w="100" w:type="dxa"/>
              <w:bottom w:w="72" w:type="dxa"/>
              <w:right w:w="100" w:type="dxa"/>
            </w:tcMar>
            <w:vAlign w:val="center"/>
          </w:tcPr>
          <w:p w14:paraId="0BCD1D6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ابن كثير: الإحسان في العبادة والمعاملة معاً. ابن عاشور: يربطه بمقصد "إتقان الصنعة" الشامل لكل عمل. القرطبي: مواضع الإحسان في المعاملات المالية. الرازي: العلاقة الفلسفية بين رؤية الله ورؤيته لنا. سيد قطب: الإحسان صورة حياة لا شعور مجرد.</w:t>
            </w:r>
          </w:p>
        </w:tc>
      </w:tr>
      <w:tr w:rsidR="00B149ED" w:rsidRPr="00A60245" w14:paraId="32A0F239" w14:textId="77777777" w:rsidTr="00A011EA">
        <w:tc>
          <w:tcPr>
            <w:tcW w:w="1440" w:type="dxa"/>
            <w:shd w:val="clear" w:color="auto" w:fill="EBF5FB"/>
            <w:tcMar>
              <w:top w:w="72" w:type="dxa"/>
              <w:left w:w="100" w:type="dxa"/>
              <w:bottom w:w="72" w:type="dxa"/>
              <w:right w:w="100" w:type="dxa"/>
            </w:tcMar>
            <w:vAlign w:val="center"/>
          </w:tcPr>
          <w:p w14:paraId="5569A3A4"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lastRenderedPageBreak/>
              <w:t>⑤</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السيرة</w:t>
            </w:r>
          </w:p>
        </w:tc>
        <w:tc>
          <w:tcPr>
            <w:tcW w:w="8185" w:type="dxa"/>
            <w:shd w:val="clear" w:color="auto" w:fill="F5FAFF"/>
            <w:tcMar>
              <w:top w:w="72" w:type="dxa"/>
              <w:left w:w="100" w:type="dxa"/>
              <w:bottom w:w="72" w:type="dxa"/>
              <w:right w:w="100" w:type="dxa"/>
            </w:tcMar>
            <w:vAlign w:val="center"/>
          </w:tcPr>
          <w:p w14:paraId="50B7B4D3"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إتقان النبي ﷺ لتفاصيل إدارة الدولة الناشئة في المدينة، ويحلّله محمد الغزالي تجسيدًا عمليًا للإحسان في العمل المؤسسي لا في العبادة الفردية وحدها.</w:t>
            </w:r>
          </w:p>
        </w:tc>
      </w:tr>
      <w:tr w:rsidR="00B149ED" w:rsidRPr="00A60245" w14:paraId="5FE0D4DD" w14:textId="77777777" w:rsidTr="00A011EA">
        <w:tc>
          <w:tcPr>
            <w:tcW w:w="1440" w:type="dxa"/>
            <w:shd w:val="clear" w:color="auto" w:fill="375623"/>
            <w:tcMar>
              <w:top w:w="72" w:type="dxa"/>
              <w:left w:w="100" w:type="dxa"/>
              <w:bottom w:w="72" w:type="dxa"/>
              <w:right w:w="100" w:type="dxa"/>
            </w:tcMar>
            <w:vAlign w:val="center"/>
          </w:tcPr>
          <w:p w14:paraId="637939F0"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FFFFFF"/>
                <w:sz w:val="28"/>
                <w:szCs w:val="28"/>
                <w:rtl/>
              </w:rPr>
              <w:t>⑥</w:t>
            </w:r>
            <w:r w:rsidRPr="00A60245">
              <w:rPr>
                <w:rFonts w:ascii="Sakkal Majalla" w:hAnsi="Sakkal Majalla" w:cs="Sakkal Majalla"/>
                <w:b/>
                <w:bCs/>
                <w:color w:val="FFFFFF"/>
                <w:sz w:val="28"/>
                <w:szCs w:val="28"/>
                <w:rtl/>
              </w:rPr>
              <w:t xml:space="preserve"> </w:t>
            </w:r>
            <w:r w:rsidRPr="00A60245">
              <w:rPr>
                <w:rFonts w:ascii="Sakkal Majalla" w:hAnsi="Sakkal Majalla" w:cs="Sakkal Majalla" w:hint="cs"/>
                <w:b/>
                <w:bCs/>
                <w:color w:val="FFFFFF"/>
                <w:sz w:val="28"/>
                <w:szCs w:val="28"/>
                <w:rtl/>
              </w:rPr>
              <w:t>المبدأ</w:t>
            </w:r>
            <w:r w:rsidRPr="00A60245">
              <w:rPr>
                <w:rFonts w:ascii="Sakkal Majalla" w:hAnsi="Sakkal Majalla" w:cs="Sakkal Majalla"/>
                <w:b/>
                <w:bCs/>
                <w:color w:val="FFFFFF"/>
                <w:sz w:val="28"/>
                <w:szCs w:val="28"/>
                <w:rtl/>
              </w:rPr>
              <w:t xml:space="preserve"> </w:t>
            </w:r>
            <w:r w:rsidRPr="00A60245">
              <w:rPr>
                <w:rFonts w:ascii="Sakkal Majalla" w:hAnsi="Sakkal Majalla" w:cs="Sakkal Majalla" w:hint="cs"/>
                <w:b/>
                <w:bCs/>
                <w:color w:val="FFFFFF"/>
                <w:sz w:val="28"/>
                <w:szCs w:val="28"/>
                <w:rtl/>
              </w:rPr>
              <w:t>الإداري</w:t>
            </w:r>
          </w:p>
        </w:tc>
        <w:tc>
          <w:tcPr>
            <w:tcW w:w="8185" w:type="dxa"/>
            <w:shd w:val="clear" w:color="auto" w:fill="EBF5E0"/>
            <w:tcMar>
              <w:top w:w="72" w:type="dxa"/>
              <w:left w:w="100" w:type="dxa"/>
              <w:bottom w:w="72" w:type="dxa"/>
              <w:right w:w="100" w:type="dxa"/>
            </w:tcMar>
            <w:vAlign w:val="center"/>
          </w:tcPr>
          <w:p w14:paraId="3CB0A61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الإحسان الإداري: أداء يتجاوز معايير الجودة الخارجية (Excellence/TQM) إلى استحضار داخلي دائم لا يتوقف بغياب الرقابة. وهو التنبؤ الذي اقترحه الفصل الثالث فرضيةً قابلة للاختبار (التطبيق الثالث).</w:t>
            </w:r>
          </w:p>
        </w:tc>
      </w:tr>
    </w:tbl>
    <w:p w14:paraId="4F52FC93" w14:textId="77777777" w:rsidR="00B149ED" w:rsidRPr="00A60245" w:rsidRDefault="00B149ED" w:rsidP="00B149ED">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وتطبيق الهرم نفسه على مفهومين مختلفين، مع الاتساق مع الفصل الثالث في الحالتين، يوحي بأن الهرم أداة عامة قابلة للتكرار (Replicable)، لا حيلة خاصة بمفهوم واحد.</w:t>
      </w:r>
    </w:p>
    <w:p w14:paraId="3DB06885" w14:textId="77777777" w:rsidR="00B149ED" w:rsidRPr="00A60245" w:rsidRDefault="00B149ED" w:rsidP="00B149ED">
      <w:pPr>
        <w:bidi/>
        <w:spacing w:after="55"/>
        <w:rPr>
          <w:rFonts w:ascii="Sakkal Majalla" w:hAnsi="Sakkal Majalla" w:cs="Sakkal Majalla"/>
          <w:sz w:val="28"/>
          <w:szCs w:val="28"/>
        </w:rPr>
      </w:pPr>
    </w:p>
    <w:p w14:paraId="33A69D58"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من الهرم إلى البطاقة: كيف يتحول كل مستوى إلى حقل في بطاقة الهوية المعرفية</w:t>
      </w:r>
    </w:p>
    <w:tbl>
      <w:tblPr>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695"/>
        <w:gridCol w:w="5310"/>
      </w:tblGrid>
      <w:tr w:rsidR="00B149ED" w:rsidRPr="00A60245" w14:paraId="36E4284D" w14:textId="77777777" w:rsidTr="00A011EA">
        <w:tc>
          <w:tcPr>
            <w:tcW w:w="1800" w:type="dxa"/>
            <w:shd w:val="clear" w:color="auto" w:fill="1F3864"/>
            <w:tcMar>
              <w:top w:w="72" w:type="dxa"/>
              <w:left w:w="100" w:type="dxa"/>
              <w:bottom w:w="72" w:type="dxa"/>
              <w:right w:w="100" w:type="dxa"/>
            </w:tcMar>
            <w:vAlign w:val="center"/>
          </w:tcPr>
          <w:p w14:paraId="19EF097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مستوى الهرم</w:t>
            </w:r>
          </w:p>
        </w:tc>
        <w:tc>
          <w:tcPr>
            <w:tcW w:w="2695" w:type="dxa"/>
            <w:shd w:val="clear" w:color="auto" w:fill="1F3864"/>
            <w:tcMar>
              <w:top w:w="72" w:type="dxa"/>
              <w:left w:w="100" w:type="dxa"/>
              <w:bottom w:w="72" w:type="dxa"/>
              <w:right w:w="100" w:type="dxa"/>
            </w:tcMar>
            <w:vAlign w:val="center"/>
          </w:tcPr>
          <w:p w14:paraId="024A110A"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حقل البطاقة المقابل</w:t>
            </w:r>
          </w:p>
        </w:tc>
        <w:tc>
          <w:tcPr>
            <w:tcW w:w="5310" w:type="dxa"/>
            <w:shd w:val="clear" w:color="auto" w:fill="1F3864"/>
            <w:tcMar>
              <w:top w:w="72" w:type="dxa"/>
              <w:left w:w="100" w:type="dxa"/>
              <w:bottom w:w="72" w:type="dxa"/>
              <w:right w:w="100" w:type="dxa"/>
            </w:tcMar>
            <w:vAlign w:val="center"/>
          </w:tcPr>
          <w:p w14:paraId="6E7C701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وظيفة الربط</w:t>
            </w:r>
          </w:p>
        </w:tc>
      </w:tr>
      <w:tr w:rsidR="00B149ED" w:rsidRPr="00A60245" w14:paraId="1DB75853" w14:textId="77777777" w:rsidTr="00A011EA">
        <w:tc>
          <w:tcPr>
            <w:tcW w:w="1800" w:type="dxa"/>
            <w:shd w:val="clear" w:color="auto" w:fill="EBF5FB"/>
            <w:tcMar>
              <w:top w:w="72" w:type="dxa"/>
              <w:left w:w="100" w:type="dxa"/>
              <w:bottom w:w="72" w:type="dxa"/>
              <w:right w:w="100" w:type="dxa"/>
            </w:tcMar>
            <w:vAlign w:val="center"/>
          </w:tcPr>
          <w:p w14:paraId="69EAE092"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①</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القرآن</w:t>
            </w:r>
          </w:p>
        </w:tc>
        <w:tc>
          <w:tcPr>
            <w:tcW w:w="2695" w:type="dxa"/>
            <w:shd w:val="clear" w:color="auto" w:fill="FFF2CC"/>
            <w:tcMar>
              <w:top w:w="72" w:type="dxa"/>
              <w:left w:w="100" w:type="dxa"/>
              <w:bottom w:w="72" w:type="dxa"/>
              <w:right w:w="100" w:type="dxa"/>
            </w:tcMar>
            <w:vAlign w:val="center"/>
          </w:tcPr>
          <w:p w14:paraId="72B62FA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الحقل 4: المواضع القرآنية</w:t>
            </w:r>
          </w:p>
        </w:tc>
        <w:tc>
          <w:tcPr>
            <w:tcW w:w="5310" w:type="dxa"/>
            <w:shd w:val="clear" w:color="auto" w:fill="F5FAFF"/>
            <w:tcMar>
              <w:top w:w="72" w:type="dxa"/>
              <w:left w:w="100" w:type="dxa"/>
              <w:bottom w:w="72" w:type="dxa"/>
              <w:right w:w="100" w:type="dxa"/>
            </w:tcMar>
            <w:vAlign w:val="center"/>
          </w:tcPr>
          <w:p w14:paraId="524E379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توثيق الآيات المصدر بدقة (السورة ورقم الآية).</w:t>
            </w:r>
          </w:p>
        </w:tc>
      </w:tr>
      <w:tr w:rsidR="00B149ED" w:rsidRPr="00A60245" w14:paraId="4C6C3A5F" w14:textId="77777777" w:rsidTr="00A011EA">
        <w:tc>
          <w:tcPr>
            <w:tcW w:w="1800" w:type="dxa"/>
            <w:shd w:val="clear" w:color="auto" w:fill="FFFFFF"/>
            <w:tcMar>
              <w:top w:w="72" w:type="dxa"/>
              <w:left w:w="100" w:type="dxa"/>
              <w:bottom w:w="72" w:type="dxa"/>
              <w:right w:w="100" w:type="dxa"/>
            </w:tcMar>
            <w:vAlign w:val="center"/>
          </w:tcPr>
          <w:p w14:paraId="1DC43209"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②</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السنة</w:t>
            </w:r>
          </w:p>
        </w:tc>
        <w:tc>
          <w:tcPr>
            <w:tcW w:w="2695" w:type="dxa"/>
            <w:shd w:val="clear" w:color="auto" w:fill="FFFFFF"/>
            <w:tcMar>
              <w:top w:w="72" w:type="dxa"/>
              <w:left w:w="100" w:type="dxa"/>
              <w:bottom w:w="72" w:type="dxa"/>
              <w:right w:w="100" w:type="dxa"/>
            </w:tcMar>
            <w:vAlign w:val="center"/>
          </w:tcPr>
          <w:p w14:paraId="0AC03A7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الحقل 9: بيان السنة النبوية</w:t>
            </w:r>
          </w:p>
        </w:tc>
        <w:tc>
          <w:tcPr>
            <w:tcW w:w="5310" w:type="dxa"/>
            <w:shd w:val="clear" w:color="auto" w:fill="FFFFFF"/>
            <w:tcMar>
              <w:top w:w="72" w:type="dxa"/>
              <w:left w:w="100" w:type="dxa"/>
              <w:bottom w:w="72" w:type="dxa"/>
              <w:right w:w="100" w:type="dxa"/>
            </w:tcMar>
            <w:vAlign w:val="center"/>
          </w:tcPr>
          <w:p w14:paraId="0B90C89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تخريج الحديث وتحديد صورة البيان (تفسيري، أو تطبيقي، أو نطاقي).</w:t>
            </w:r>
          </w:p>
        </w:tc>
      </w:tr>
      <w:tr w:rsidR="00B149ED" w:rsidRPr="00A60245" w14:paraId="145EF87F" w14:textId="77777777" w:rsidTr="00A011EA">
        <w:tc>
          <w:tcPr>
            <w:tcW w:w="1800" w:type="dxa"/>
            <w:shd w:val="clear" w:color="auto" w:fill="EBF5FB"/>
            <w:tcMar>
              <w:top w:w="72" w:type="dxa"/>
              <w:left w:w="100" w:type="dxa"/>
              <w:bottom w:w="72" w:type="dxa"/>
              <w:right w:w="100" w:type="dxa"/>
            </w:tcMar>
            <w:vAlign w:val="center"/>
          </w:tcPr>
          <w:p w14:paraId="6F082F77"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③</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اللغة</w:t>
            </w:r>
          </w:p>
        </w:tc>
        <w:tc>
          <w:tcPr>
            <w:tcW w:w="2695" w:type="dxa"/>
            <w:shd w:val="clear" w:color="auto" w:fill="FFF2CC"/>
            <w:tcMar>
              <w:top w:w="72" w:type="dxa"/>
              <w:left w:w="100" w:type="dxa"/>
              <w:bottom w:w="72" w:type="dxa"/>
              <w:right w:w="100" w:type="dxa"/>
            </w:tcMar>
            <w:vAlign w:val="center"/>
          </w:tcPr>
          <w:p w14:paraId="2811EA1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الحقل 2: الجذر والاشتقاق</w:t>
            </w:r>
          </w:p>
        </w:tc>
        <w:tc>
          <w:tcPr>
            <w:tcW w:w="5310" w:type="dxa"/>
            <w:shd w:val="clear" w:color="auto" w:fill="F5FAFF"/>
            <w:tcMar>
              <w:top w:w="72" w:type="dxa"/>
              <w:left w:w="100" w:type="dxa"/>
              <w:bottom w:w="72" w:type="dxa"/>
              <w:right w:w="100" w:type="dxa"/>
            </w:tcMar>
            <w:vAlign w:val="center"/>
          </w:tcPr>
          <w:p w14:paraId="524DF93A"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تحليل ابن فارس للمعنى المركزي + الراغب للخصوصية القرآنية.</w:t>
            </w:r>
          </w:p>
        </w:tc>
      </w:tr>
      <w:tr w:rsidR="00B149ED" w:rsidRPr="00A60245" w14:paraId="3446B164" w14:textId="77777777" w:rsidTr="00A011EA">
        <w:tc>
          <w:tcPr>
            <w:tcW w:w="1800" w:type="dxa"/>
            <w:shd w:val="clear" w:color="auto" w:fill="FFFFFF"/>
            <w:tcMar>
              <w:top w:w="72" w:type="dxa"/>
              <w:left w:w="100" w:type="dxa"/>
              <w:bottom w:w="72" w:type="dxa"/>
              <w:right w:w="100" w:type="dxa"/>
            </w:tcMar>
            <w:vAlign w:val="center"/>
          </w:tcPr>
          <w:p w14:paraId="1A6FCC1F"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④</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التفسير</w:t>
            </w:r>
          </w:p>
        </w:tc>
        <w:tc>
          <w:tcPr>
            <w:tcW w:w="2695" w:type="dxa"/>
            <w:shd w:val="clear" w:color="auto" w:fill="FFFFFF"/>
            <w:tcMar>
              <w:top w:w="72" w:type="dxa"/>
              <w:left w:w="100" w:type="dxa"/>
              <w:bottom w:w="72" w:type="dxa"/>
              <w:right w:w="100" w:type="dxa"/>
            </w:tcMar>
            <w:vAlign w:val="center"/>
          </w:tcPr>
          <w:p w14:paraId="4DF68CA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الحقل 7: الاستعمال التفسيري</w:t>
            </w:r>
          </w:p>
        </w:tc>
        <w:tc>
          <w:tcPr>
            <w:tcW w:w="5310" w:type="dxa"/>
            <w:shd w:val="clear" w:color="auto" w:fill="FFFFFF"/>
            <w:tcMar>
              <w:top w:w="72" w:type="dxa"/>
              <w:left w:w="100" w:type="dxa"/>
              <w:bottom w:w="72" w:type="dxa"/>
              <w:right w:w="100" w:type="dxa"/>
            </w:tcMar>
            <w:vAlign w:val="center"/>
          </w:tcPr>
          <w:p w14:paraId="067E3F1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مواقف المدارس الخمس موثقة مع الخلاف الجوهري إن وُجد.</w:t>
            </w:r>
          </w:p>
        </w:tc>
      </w:tr>
      <w:tr w:rsidR="00B149ED" w:rsidRPr="00A60245" w14:paraId="28CA6FFA" w14:textId="77777777" w:rsidTr="00A011EA">
        <w:tc>
          <w:tcPr>
            <w:tcW w:w="1800" w:type="dxa"/>
            <w:shd w:val="clear" w:color="auto" w:fill="EBF5FB"/>
            <w:tcMar>
              <w:top w:w="72" w:type="dxa"/>
              <w:left w:w="100" w:type="dxa"/>
              <w:bottom w:w="72" w:type="dxa"/>
              <w:right w:w="100" w:type="dxa"/>
            </w:tcMar>
            <w:vAlign w:val="center"/>
          </w:tcPr>
          <w:p w14:paraId="17101BFA"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⑤</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السيرة</w:t>
            </w:r>
          </w:p>
        </w:tc>
        <w:tc>
          <w:tcPr>
            <w:tcW w:w="2695" w:type="dxa"/>
            <w:shd w:val="clear" w:color="auto" w:fill="FFF2CC"/>
            <w:tcMar>
              <w:top w:w="72" w:type="dxa"/>
              <w:left w:w="100" w:type="dxa"/>
              <w:bottom w:w="72" w:type="dxa"/>
              <w:right w:w="100" w:type="dxa"/>
            </w:tcMar>
            <w:vAlign w:val="center"/>
          </w:tcPr>
          <w:p w14:paraId="600E06B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C49A00"/>
                <w:sz w:val="28"/>
                <w:szCs w:val="28"/>
                <w:rtl/>
              </w:rPr>
              <w:t>الحقل 10: التطبيق النبوي في السيرة</w:t>
            </w:r>
          </w:p>
        </w:tc>
        <w:tc>
          <w:tcPr>
            <w:tcW w:w="5310" w:type="dxa"/>
            <w:shd w:val="clear" w:color="auto" w:fill="F5FAFF"/>
            <w:tcMar>
              <w:top w:w="72" w:type="dxa"/>
              <w:left w:w="100" w:type="dxa"/>
              <w:bottom w:w="72" w:type="dxa"/>
              <w:right w:w="100" w:type="dxa"/>
            </w:tcMar>
            <w:vAlign w:val="center"/>
          </w:tcPr>
          <w:p w14:paraId="15243323"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الواقعة موثّقة بمرتبتها، مع تحليل محمد الغزالي أو الغضبان.</w:t>
            </w:r>
          </w:p>
        </w:tc>
      </w:tr>
      <w:tr w:rsidR="00B149ED" w:rsidRPr="00A60245" w14:paraId="0BC23C0F" w14:textId="77777777" w:rsidTr="00A011EA">
        <w:tc>
          <w:tcPr>
            <w:tcW w:w="1800" w:type="dxa"/>
            <w:shd w:val="clear" w:color="auto" w:fill="FFFFFF"/>
            <w:tcMar>
              <w:top w:w="72" w:type="dxa"/>
              <w:left w:w="100" w:type="dxa"/>
              <w:bottom w:w="72" w:type="dxa"/>
              <w:right w:w="100" w:type="dxa"/>
            </w:tcMar>
            <w:vAlign w:val="center"/>
          </w:tcPr>
          <w:p w14:paraId="79368E60" w14:textId="77777777" w:rsidR="00B149ED" w:rsidRPr="00A60245" w:rsidRDefault="00B149ED" w:rsidP="00A011EA">
            <w:pPr>
              <w:bidi/>
              <w:spacing w:before="48" w:after="48"/>
              <w:rPr>
                <w:rFonts w:ascii="Sakkal Majalla" w:hAnsi="Sakkal Majalla" w:cs="Sakkal Majalla"/>
                <w:sz w:val="28"/>
                <w:szCs w:val="28"/>
              </w:rPr>
            </w:pPr>
            <w:r w:rsidRPr="00A60245">
              <w:rPr>
                <w:rFonts w:ascii="Cambria Math" w:hAnsi="Cambria Math" w:cs="Cambria Math" w:hint="cs"/>
                <w:b/>
                <w:bCs/>
                <w:color w:val="1F3864"/>
                <w:sz w:val="28"/>
                <w:szCs w:val="28"/>
                <w:rtl/>
              </w:rPr>
              <w:t>⑥</w:t>
            </w:r>
            <w:r w:rsidRPr="00A60245">
              <w:rPr>
                <w:rFonts w:ascii="Sakkal Majalla" w:hAnsi="Sakkal Majalla" w:cs="Sakkal Majalla"/>
                <w:b/>
                <w:bCs/>
                <w:color w:val="1F3864"/>
                <w:sz w:val="28"/>
                <w:szCs w:val="28"/>
                <w:rtl/>
              </w:rPr>
              <w:t xml:space="preserve"> </w:t>
            </w:r>
            <w:r w:rsidRPr="00A60245">
              <w:rPr>
                <w:rFonts w:ascii="Sakkal Majalla" w:hAnsi="Sakkal Majalla" w:cs="Sakkal Majalla" w:hint="cs"/>
                <w:b/>
                <w:bCs/>
                <w:color w:val="1F3864"/>
                <w:sz w:val="28"/>
                <w:szCs w:val="28"/>
                <w:rtl/>
              </w:rPr>
              <w:t>المبدأ</w:t>
            </w:r>
          </w:p>
        </w:tc>
        <w:tc>
          <w:tcPr>
            <w:tcW w:w="2695" w:type="dxa"/>
            <w:shd w:val="clear" w:color="auto" w:fill="FFFFFF"/>
            <w:tcMar>
              <w:top w:w="72" w:type="dxa"/>
              <w:left w:w="100" w:type="dxa"/>
              <w:bottom w:w="72" w:type="dxa"/>
              <w:right w:w="100" w:type="dxa"/>
            </w:tcMar>
            <w:vAlign w:val="center"/>
          </w:tcPr>
          <w:p w14:paraId="3D0100CC"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C49A00"/>
                <w:sz w:val="28"/>
                <w:szCs w:val="28"/>
                <w:rtl/>
              </w:rPr>
              <w:t xml:space="preserve">الحقلان 13–14: المبدأ الإداري والفرضية</w:t>
            </w:r>
          </w:p>
        </w:tc>
        <w:tc>
          <w:tcPr>
            <w:tcW w:w="5310" w:type="dxa"/>
            <w:shd w:val="clear" w:color="auto" w:fill="FFFFFF"/>
            <w:tcMar>
              <w:top w:w="72" w:type="dxa"/>
              <w:left w:w="100" w:type="dxa"/>
              <w:bottom w:w="72" w:type="dxa"/>
              <w:right w:w="100" w:type="dxa"/>
            </w:tcMar>
            <w:vAlign w:val="center"/>
          </w:tcPr>
          <w:p w14:paraId="6A8858C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الناتج النهائي بعد المرور بكل المستويات السابقة.</w:t>
            </w:r>
          </w:p>
        </w:tc>
      </w:tr>
    </w:tbl>
    <w:p w14:paraId="3586D1A8" w14:textId="77777777" w:rsidR="00B149ED" w:rsidRPr="00A60245" w:rsidRDefault="00B149ED" w:rsidP="00B149ED">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وبهذا يصف الفصلان الرابع والخامس العملية نفسها من زاويتين: المصادر هنا، والتوثيق هناك. ومن يفهم هذا الربط يفهم لماذا رُتّبت حقول البطاقة الخمسة عشر على هذا النحو.</w:t>
      </w:r>
    </w:p>
    <w:p w14:paraId="1025FB71"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1C2BD6A0"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4.8  مقارنة فلسفية: نظرية السلطة المعرفية ونظريات الشهادة الغربية</w:t>
      </w:r>
    </w:p>
    <w:p w14:paraId="58D570EB"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ويعود بنا هذا القسم إلى الإطار الفلسفي، لنقارن بمعالجات غربية معاصرة لمشكلة قريبة: كيف نقيّم مصداقية الشهادة (Testimony) مصدرًا للمعرفة؟</w:t>
      </w:r>
    </w:p>
    <w:tbl>
      <w:tblPr>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4225"/>
      </w:tblGrid>
      <w:tr w:rsidR="00B149ED" w:rsidRPr="00A60245" w14:paraId="0BB7D8A0" w14:textId="77777777" w:rsidTr="00A011EA">
        <w:tc>
          <w:tcPr>
            <w:tcW w:w="1800" w:type="dxa"/>
            <w:shd w:val="clear" w:color="auto" w:fill="1F3864"/>
            <w:tcMar>
              <w:top w:w="72" w:type="dxa"/>
              <w:left w:w="100" w:type="dxa"/>
              <w:bottom w:w="72" w:type="dxa"/>
              <w:right w:w="100" w:type="dxa"/>
            </w:tcMar>
            <w:vAlign w:val="center"/>
          </w:tcPr>
          <w:p w14:paraId="0F59DB7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المحور</w:t>
            </w:r>
          </w:p>
        </w:tc>
        <w:tc>
          <w:tcPr>
            <w:tcW w:w="3420" w:type="dxa"/>
            <w:shd w:val="clear" w:color="auto" w:fill="595959"/>
            <w:tcMar>
              <w:top w:w="72" w:type="dxa"/>
              <w:left w:w="100" w:type="dxa"/>
              <w:bottom w:w="72" w:type="dxa"/>
              <w:right w:w="100" w:type="dxa"/>
            </w:tcMar>
            <w:vAlign w:val="center"/>
          </w:tcPr>
          <w:p w14:paraId="0544190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نظرية الشهادة الغربية (كوادي/زغزيبسكي)</w:t>
            </w:r>
          </w:p>
        </w:tc>
        <w:tc>
          <w:tcPr>
            <w:tcW w:w="4225" w:type="dxa"/>
            <w:shd w:val="clear" w:color="auto" w:fill="156082"/>
            <w:tcMar>
              <w:top w:w="72" w:type="dxa"/>
              <w:left w:w="100" w:type="dxa"/>
              <w:bottom w:w="72" w:type="dxa"/>
              <w:right w:w="100" w:type="dxa"/>
            </w:tcMar>
            <w:vAlign w:val="center"/>
          </w:tcPr>
          <w:p w14:paraId="2080E40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نظرية السلطة المعرفية الإسلامية (هذا الفصل)</w:t>
            </w:r>
          </w:p>
        </w:tc>
      </w:tr>
      <w:tr w:rsidR="00B149ED" w:rsidRPr="00A60245" w14:paraId="2F5B1BED" w14:textId="77777777" w:rsidTr="00A011EA">
        <w:tc>
          <w:tcPr>
            <w:tcW w:w="1800" w:type="dxa"/>
            <w:shd w:val="clear" w:color="auto" w:fill="EBF5FB"/>
            <w:tcMar>
              <w:top w:w="72" w:type="dxa"/>
              <w:left w:w="100" w:type="dxa"/>
              <w:bottom w:w="72" w:type="dxa"/>
              <w:right w:w="100" w:type="dxa"/>
            </w:tcMar>
            <w:vAlign w:val="center"/>
          </w:tcPr>
          <w:p w14:paraId="26FE38E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lastRenderedPageBreak/>
              <w:t>يقينية المصدر</w:t>
            </w:r>
          </w:p>
        </w:tc>
        <w:tc>
          <w:tcPr>
            <w:tcW w:w="3420" w:type="dxa"/>
            <w:shd w:val="clear" w:color="auto" w:fill="F5F5F5"/>
            <w:tcMar>
              <w:top w:w="72" w:type="dxa"/>
              <w:left w:w="100" w:type="dxa"/>
              <w:bottom w:w="72" w:type="dxa"/>
              <w:right w:w="100" w:type="dxa"/>
            </w:tcMar>
            <w:vAlign w:val="center"/>
          </w:tcPr>
          <w:p w14:paraId="01DAF54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كل شهادة بشرية قابلة للخطأ من حيث المبدأ، والثقة بها احتمالية لا يقينية مهما علت مرتبة الشاهد.</w:t>
            </w:r>
          </w:p>
        </w:tc>
        <w:tc>
          <w:tcPr>
            <w:tcW w:w="4225" w:type="dxa"/>
            <w:shd w:val="clear" w:color="auto" w:fill="EBF5FB"/>
            <w:tcMar>
              <w:top w:w="72" w:type="dxa"/>
              <w:left w:w="100" w:type="dxa"/>
              <w:bottom w:w="72" w:type="dxa"/>
              <w:right w:w="100" w:type="dxa"/>
            </w:tcMar>
            <w:vAlign w:val="center"/>
          </w:tcPr>
          <w:p w14:paraId="47FF7C9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للقرآن يقين خارج فئة «الشهادة البشرية القابلة للخطأ»، فهو فئة معرفية مستقلة لا تُقاس بمعيار شهادة المفسّر البشري.</w:t>
            </w:r>
          </w:p>
        </w:tc>
      </w:tr>
      <w:tr w:rsidR="00B149ED" w:rsidRPr="00A60245" w14:paraId="0BB43D74" w14:textId="77777777" w:rsidTr="00A011EA">
        <w:tc>
          <w:tcPr>
            <w:tcW w:w="1800" w:type="dxa"/>
            <w:shd w:val="clear" w:color="auto" w:fill="FFFFFF"/>
            <w:tcMar>
              <w:top w:w="72" w:type="dxa"/>
              <w:left w:w="100" w:type="dxa"/>
              <w:bottom w:w="72" w:type="dxa"/>
              <w:right w:w="100" w:type="dxa"/>
            </w:tcMar>
            <w:vAlign w:val="center"/>
          </w:tcPr>
          <w:p w14:paraId="554B1BA1"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بناء الثقة</w:t>
            </w:r>
          </w:p>
        </w:tc>
        <w:tc>
          <w:tcPr>
            <w:tcW w:w="3420" w:type="dxa"/>
            <w:shd w:val="clear" w:color="auto" w:fill="FFFFFF"/>
            <w:tcMar>
              <w:top w:w="72" w:type="dxa"/>
              <w:left w:w="100" w:type="dxa"/>
              <w:bottom w:w="72" w:type="dxa"/>
              <w:right w:w="100" w:type="dxa"/>
            </w:tcMar>
            <w:vAlign w:val="center"/>
          </w:tcPr>
          <w:p w14:paraId="3D6FC2B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درجة الثقة بالشاهد تُبنى تراكمياً من سجله التاريخي في الصدق (Track Record).</w:t>
            </w:r>
          </w:p>
        </w:tc>
        <w:tc>
          <w:tcPr>
            <w:tcW w:w="4225" w:type="dxa"/>
            <w:shd w:val="clear" w:color="auto" w:fill="FFFFFF"/>
            <w:tcMar>
              <w:top w:w="72" w:type="dxa"/>
              <w:left w:w="100" w:type="dxa"/>
              <w:bottom w:w="72" w:type="dxa"/>
              <w:right w:w="100" w:type="dxa"/>
            </w:tcMar>
            <w:vAlign w:val="center"/>
          </w:tcPr>
          <w:p w14:paraId="038E789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المبدأ نفسه في تقييم المفسرين والمحدّثين؛ وعلم الجرح والتعديل من أدق التطبيقات التاريخية لمبدأ «السجل التراكمي في الصدق»، وقد سبق صياغته الغربية بقرون.</w:t>
            </w:r>
          </w:p>
        </w:tc>
      </w:tr>
      <w:tr w:rsidR="00B149ED" w:rsidRPr="00A60245" w14:paraId="38D3E3DB" w14:textId="77777777" w:rsidTr="00A011EA">
        <w:tc>
          <w:tcPr>
            <w:tcW w:w="1800" w:type="dxa"/>
            <w:shd w:val="clear" w:color="auto" w:fill="EBF5FB"/>
            <w:tcMar>
              <w:top w:w="72" w:type="dxa"/>
              <w:left w:w="100" w:type="dxa"/>
              <w:bottom w:w="72" w:type="dxa"/>
              <w:right w:w="100" w:type="dxa"/>
            </w:tcMar>
            <w:vAlign w:val="center"/>
          </w:tcPr>
          <w:p w14:paraId="1CA6386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إمكان المراجعة</w:t>
            </w:r>
          </w:p>
        </w:tc>
        <w:tc>
          <w:tcPr>
            <w:tcW w:w="3420" w:type="dxa"/>
            <w:shd w:val="clear" w:color="auto" w:fill="F5F5F5"/>
            <w:tcMar>
              <w:top w:w="72" w:type="dxa"/>
              <w:left w:w="100" w:type="dxa"/>
              <w:bottom w:w="72" w:type="dxa"/>
              <w:right w:w="100" w:type="dxa"/>
            </w:tcMar>
            <w:vAlign w:val="center"/>
          </w:tcPr>
          <w:p w14:paraId="2FCE6FC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لا سلطة معرفية مطلقة لأي مصدر بشري — كل سلطة مشروطة بإمكان المراجعة والتصحيح.</w:t>
            </w:r>
          </w:p>
        </w:tc>
        <w:tc>
          <w:tcPr>
            <w:tcW w:w="4225" w:type="dxa"/>
            <w:shd w:val="clear" w:color="auto" w:fill="EBF5FB"/>
            <w:tcMar>
              <w:top w:w="72" w:type="dxa"/>
              <w:left w:w="100" w:type="dxa"/>
              <w:bottom w:w="72" w:type="dxa"/>
              <w:right w:w="100" w:type="dxa"/>
            </w:tcMar>
            <w:vAlign w:val="center"/>
          </w:tcPr>
          <w:p w14:paraId="1DA4080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المبدأ نفسه ينطبق على كل ما دون القرآن، وهو ما يسوّغ الفرضية الصفرية (الفصل الثالث) آليةً دائمة لمراجعة كل اشتقاق بشري وتصحيحه.</w:t>
            </w:r>
          </w:p>
        </w:tc>
      </w:tr>
    </w:tbl>
    <w:p w14:paraId="33D92C10" w14:textId="77777777" w:rsidR="00B149ED" w:rsidRPr="00A60245" w:rsidRDefault="00B149ED" w:rsidP="00B149ED">
      <w:pPr>
        <w:bidi/>
        <w:spacing w:after="55"/>
        <w:rPr>
          <w:rFonts w:ascii="Sakkal Majalla" w:hAnsi="Sakkal Majalla" w:cs="Sakkal Majalla"/>
          <w:sz w:val="28"/>
          <w:szCs w:val="28"/>
        </w:rPr>
      </w:pPr>
    </w:p>
    <w:p w14:paraId="2D7C440C"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ويعالج ألفين غولدمان في مقالته «Experts: Which Ones Should You Trust?» (2001) سؤالًا وثيق الصلة: كيف يقيّم غير المتخصص خبيرًا حين يختلف الخبراء؟ ومن القرائن التي يقترحها: سجل الخبير في الإصابة، واتفاقه مع خبراء مستقلين، وقوة الحجج التي يقدّمها وشفافيتها.</w:t>
      </w:r>
    </w:p>
    <w:p w14:paraId="134B38DC"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وتقترب هذه القرائن كثيرًا مما طبّقه هذا الفصل: فسجل الإصابة يقابله معيار الاتصال المنهجي، والاتفاق بين خبراء مستقلين يقابله الجمع بين المدارس الخمس، وشفافية الاستدلال يقابلها إلزام توثيق الاستدلال في بطاقة الهوية.</w:t>
      </w:r>
    </w:p>
    <w:p w14:paraId="47D101C0"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وهذا التقارب بين هرم المصادر ونظريات الشهادة الغربية المعاصرة، فيما دون القرآن، ليس مصادفة في رأيي؛ فهو قرينة على أن مبادئ العقل السليم في تقييم المصادر مشتركة بين البشر. ويبقى التمايز الحقيقي في طبيعة المصدر الأول، القرآن، لا في منهج التعامل مع بقية المصادر.</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B149ED" w:rsidRPr="00A60245" w14:paraId="157F6C5E" w14:textId="77777777" w:rsidTr="00A011EA">
        <w:tc>
          <w:tcPr>
            <w:tcW w:w="8640" w:type="dxa"/>
            <w:shd w:val="clear" w:color="auto" w:fill="7030A0"/>
            <w:tcMar>
              <w:top w:w="72" w:type="dxa"/>
              <w:left w:w="100" w:type="dxa"/>
              <w:bottom w:w="72" w:type="dxa"/>
              <w:right w:w="100" w:type="dxa"/>
            </w:tcMar>
            <w:vAlign w:val="center"/>
          </w:tcPr>
          <w:p w14:paraId="383CF493"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خلاصة المقارنة الفلسفية</w:t>
            </w:r>
          </w:p>
        </w:tc>
      </w:tr>
      <w:tr w:rsidR="00B149ED" w:rsidRPr="00A60245" w14:paraId="78439CDA" w14:textId="77777777" w:rsidTr="00A011EA">
        <w:tc>
          <w:tcPr>
            <w:tcW w:w="8640" w:type="dxa"/>
            <w:shd w:val="clear" w:color="auto" w:fill="E8D5F5"/>
            <w:tcMar>
              <w:top w:w="72" w:type="dxa"/>
              <w:left w:w="100" w:type="dxa"/>
              <w:bottom w:w="72" w:type="dxa"/>
              <w:right w:w="100" w:type="dxa"/>
            </w:tcMar>
            <w:vAlign w:val="center"/>
          </w:tcPr>
          <w:p w14:paraId="546D182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كوادي (1992): الشهادة مصدر أصيل للمعرفة، ويقابله أن المفسّرين الثقات مصدر أصيل للمعرفة التفسيرية. زغزيبسكي (2012): السلطة المعرفية متدرجة مشتقة، ويقابله أن للمدارس الخمس سلطة مشتقة متدرجة لا مطلقة كسلطة النص. غولدمان (2001): قرائن تقييم الخبير (السجل، والاتفاق، والحجة)، ويقابلها معايير اختيار المدارس الخمس. وتكرار هذا التقاطع قرينة على أن مبادئ تقييم المصادر عقلية عامة، لا خصوصية إسلامية معزولة عن الحوار الفلسفي العالمي.</w:t>
            </w:r>
          </w:p>
        </w:tc>
      </w:tr>
    </w:tbl>
    <w:p w14:paraId="54E5427E" w14:textId="77777777" w:rsidR="00B149ED" w:rsidRPr="00A60245" w:rsidRDefault="00B149ED" w:rsidP="00B149ED">
      <w:pPr>
        <w:bidi/>
        <w:spacing w:after="55"/>
        <w:rPr>
          <w:rFonts w:ascii="Sakkal Majalla" w:hAnsi="Sakkal Majalla" w:cs="Sakkal Majalla"/>
          <w:sz w:val="28"/>
          <w:szCs w:val="28"/>
        </w:rPr>
      </w:pPr>
    </w:p>
    <w:p w14:paraId="53C91277" w14:textId="77777777" w:rsidR="00B149ED" w:rsidRPr="00A60245" w:rsidRDefault="00B149ED" w:rsidP="00B149ED">
      <w:pPr>
        <w:bidi/>
        <w:spacing w:after="55"/>
        <w:rPr>
          <w:rFonts w:ascii="Sakkal Majalla" w:hAnsi="Sakkal Majalla" w:cs="Sakkal Majalla"/>
          <w:sz w:val="28"/>
          <w:szCs w:val="28"/>
        </w:rPr>
      </w:pPr>
    </w:p>
    <w:p w14:paraId="63D6382B"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2C35BAC4"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إسناد الكتب لا إسناد الأحاديث وحدها: كيف نثق أن «تفسير الطبري» للطبري؟</w:t>
      </w:r>
    </w:p>
    <w:p w14:paraId="244AAF52"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وهذه مسألة كثيرًا ما تُغفل: التحقق من صحة نسبة الكتاب المطبوع اليوم إلى مؤلفه. فقد طوّر علم الحديث منهجًا دقيقًا لنقد أسانيد الأحاديث الفردية، لكن نقد انتقال نص الكتاب كاملًا عبر القرون علم له قواعده الخاصة (انظر: الأعظمي، دراسات في الحديث النبوي وتاريخ تدوينه).</w:t>
      </w:r>
    </w:p>
    <w:p w14:paraId="6034A684"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فـ«تفسير الطبري» الذي نقرؤه اليوم في الطبعات المحقّقة وصل إلينا عبر نسخ مخطوطة متعددة، بعضها ناقص وبعضها مختلف في ألفاظ. وأعمال التحقيق الحديثة، كعمل محمود شاكر وأحمد شاكر، تقارن بين المخطوطات بمنهج نقد النص (Textual Criticism) لتثبيت الأقرب إلى نص المؤلف، وهي عملية فيها هامش اجتهاد بشري أيضًا.</w:t>
      </w:r>
    </w:p>
    <w:p w14:paraId="5EE50BF7"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 xml:space="preserve">الطبعات المعتمدة في هذا الكتاب</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960"/>
        <w:gridCol w:w="2880"/>
      </w:tblGrid>
      <w:tr w:rsidR="00B149ED" w:rsidRPr="00A60245" w14:paraId="58D3132B" w14:textId="77777777" w:rsidTr="00A011EA">
        <w:tc>
          <w:tcPr>
            <w:tcW w:w="1800" w:type="dxa"/>
            <w:shd w:val="clear" w:color="auto" w:fill="1F3864"/>
            <w:tcMar>
              <w:top w:w="72" w:type="dxa"/>
              <w:left w:w="100" w:type="dxa"/>
              <w:bottom w:w="72" w:type="dxa"/>
              <w:right w:w="100" w:type="dxa"/>
            </w:tcMar>
            <w:vAlign w:val="center"/>
          </w:tcPr>
          <w:p w14:paraId="1408DFC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الكتاب</w:t>
            </w:r>
          </w:p>
        </w:tc>
        <w:tc>
          <w:tcPr>
            <w:tcW w:w="3960" w:type="dxa"/>
            <w:shd w:val="clear" w:color="auto" w:fill="1F3864"/>
            <w:tcMar>
              <w:top w:w="72" w:type="dxa"/>
              <w:left w:w="100" w:type="dxa"/>
              <w:bottom w:w="72" w:type="dxa"/>
              <w:right w:w="100" w:type="dxa"/>
            </w:tcMar>
            <w:vAlign w:val="center"/>
          </w:tcPr>
          <w:p w14:paraId="337E392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الطبعة المعتمدة والمُحقِّق</w:t>
            </w:r>
          </w:p>
        </w:tc>
        <w:tc>
          <w:tcPr>
            <w:tcW w:w="2880" w:type="dxa"/>
            <w:shd w:val="clear" w:color="auto" w:fill="1F3864"/>
            <w:tcMar>
              <w:top w:w="72" w:type="dxa"/>
              <w:left w:w="100" w:type="dxa"/>
              <w:bottom w:w="72" w:type="dxa"/>
              <w:right w:w="100" w:type="dxa"/>
            </w:tcMar>
            <w:vAlign w:val="center"/>
          </w:tcPr>
          <w:p w14:paraId="0C634EC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سبب الاعتماد</w:t>
            </w:r>
          </w:p>
        </w:tc>
      </w:tr>
      <w:tr w:rsidR="00B149ED" w:rsidRPr="00A60245" w14:paraId="015D5F14" w14:textId="77777777" w:rsidTr="00A011EA">
        <w:tc>
          <w:tcPr>
            <w:tcW w:w="1800" w:type="dxa"/>
            <w:shd w:val="clear" w:color="auto" w:fill="EBF5FB"/>
            <w:tcMar>
              <w:top w:w="72" w:type="dxa"/>
              <w:left w:w="100" w:type="dxa"/>
              <w:bottom w:w="72" w:type="dxa"/>
              <w:right w:w="100" w:type="dxa"/>
            </w:tcMar>
            <w:vAlign w:val="center"/>
          </w:tcPr>
          <w:p w14:paraId="34934CC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جامع البيان (الطبري)</w:t>
            </w:r>
          </w:p>
        </w:tc>
        <w:tc>
          <w:tcPr>
            <w:tcW w:w="3960" w:type="dxa"/>
            <w:shd w:val="clear" w:color="auto" w:fill="F8F8F8"/>
            <w:tcMar>
              <w:top w:w="72" w:type="dxa"/>
              <w:left w:w="100" w:type="dxa"/>
              <w:bottom w:w="72" w:type="dxa"/>
              <w:right w:w="100" w:type="dxa"/>
            </w:tcMar>
            <w:vAlign w:val="center"/>
          </w:tcPr>
          <w:p w14:paraId="11F49D2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تحقيق أحمد شاكر ومحمود شاكر، مؤسسة الرسالة</w:t>
            </w:r>
          </w:p>
        </w:tc>
        <w:tc>
          <w:tcPr>
            <w:tcW w:w="2880" w:type="dxa"/>
            <w:shd w:val="clear" w:color="auto" w:fill="EBF5E0"/>
            <w:tcMar>
              <w:top w:w="72" w:type="dxa"/>
              <w:left w:w="100" w:type="dxa"/>
              <w:bottom w:w="72" w:type="dxa"/>
              <w:right w:w="100" w:type="dxa"/>
            </w:tcMar>
            <w:vAlign w:val="center"/>
          </w:tcPr>
          <w:p w14:paraId="703D792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أدق تحقيق لمخطوطات متعددة مع تخريج الأسانيد</w:t>
            </w:r>
          </w:p>
        </w:tc>
      </w:tr>
      <w:tr w:rsidR="00B149ED" w:rsidRPr="00A60245" w14:paraId="271ACF62" w14:textId="77777777" w:rsidTr="00A011EA">
        <w:tc>
          <w:tcPr>
            <w:tcW w:w="1800" w:type="dxa"/>
            <w:shd w:val="clear" w:color="auto" w:fill="FFFFFF"/>
            <w:tcMar>
              <w:top w:w="72" w:type="dxa"/>
              <w:left w:w="100" w:type="dxa"/>
              <w:bottom w:w="72" w:type="dxa"/>
              <w:right w:w="100" w:type="dxa"/>
            </w:tcMar>
            <w:vAlign w:val="center"/>
          </w:tcPr>
          <w:p w14:paraId="761545A0"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تفسير القرآن العظيم (ابن كثير)</w:t>
            </w:r>
          </w:p>
        </w:tc>
        <w:tc>
          <w:tcPr>
            <w:tcW w:w="3960" w:type="dxa"/>
            <w:shd w:val="clear" w:color="auto" w:fill="FFFFFF"/>
            <w:tcMar>
              <w:top w:w="72" w:type="dxa"/>
              <w:left w:w="100" w:type="dxa"/>
              <w:bottom w:w="72" w:type="dxa"/>
              <w:right w:w="100" w:type="dxa"/>
            </w:tcMar>
            <w:vAlign w:val="center"/>
          </w:tcPr>
          <w:p w14:paraId="291CF048"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تحقيق سامي بن محمد سلامة، دار طيبة</w:t>
            </w:r>
          </w:p>
        </w:tc>
        <w:tc>
          <w:tcPr>
            <w:tcW w:w="2880" w:type="dxa"/>
            <w:shd w:val="clear" w:color="auto" w:fill="FFFFFF"/>
            <w:tcMar>
              <w:top w:w="72" w:type="dxa"/>
              <w:left w:w="100" w:type="dxa"/>
              <w:bottom w:w="72" w:type="dxa"/>
              <w:right w:w="100" w:type="dxa"/>
            </w:tcMar>
            <w:vAlign w:val="center"/>
          </w:tcPr>
          <w:p w14:paraId="563AC16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تخريج شامل لكل حديث مع الحكم عليه</w:t>
            </w:r>
          </w:p>
        </w:tc>
      </w:tr>
      <w:tr w:rsidR="00B149ED" w:rsidRPr="00A60245" w14:paraId="18C2AB5C" w14:textId="77777777" w:rsidTr="00A011EA">
        <w:tc>
          <w:tcPr>
            <w:tcW w:w="1800" w:type="dxa"/>
            <w:shd w:val="clear" w:color="auto" w:fill="EBF5FB"/>
            <w:tcMar>
              <w:top w:w="72" w:type="dxa"/>
              <w:left w:w="100" w:type="dxa"/>
              <w:bottom w:w="72" w:type="dxa"/>
              <w:right w:w="100" w:type="dxa"/>
            </w:tcMar>
            <w:vAlign w:val="center"/>
          </w:tcPr>
          <w:p w14:paraId="4A92AE3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الرسالة (الشافعي)</w:t>
            </w:r>
          </w:p>
        </w:tc>
        <w:tc>
          <w:tcPr>
            <w:tcW w:w="3960" w:type="dxa"/>
            <w:shd w:val="clear" w:color="auto" w:fill="F8F8F8"/>
            <w:tcMar>
              <w:top w:w="72" w:type="dxa"/>
              <w:left w:w="100" w:type="dxa"/>
              <w:bottom w:w="72" w:type="dxa"/>
              <w:right w:w="100" w:type="dxa"/>
            </w:tcMar>
            <w:vAlign w:val="center"/>
          </w:tcPr>
          <w:p w14:paraId="7831E54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تحقيق أحمد شاكر، مكتبة الحلبي، 1940</w:t>
            </w:r>
          </w:p>
        </w:tc>
        <w:tc>
          <w:tcPr>
            <w:tcW w:w="2880" w:type="dxa"/>
            <w:shd w:val="clear" w:color="auto" w:fill="EBF5E0"/>
            <w:tcMar>
              <w:top w:w="72" w:type="dxa"/>
              <w:left w:w="100" w:type="dxa"/>
              <w:bottom w:w="72" w:type="dxa"/>
              <w:right w:w="100" w:type="dxa"/>
            </w:tcMar>
            <w:vAlign w:val="center"/>
          </w:tcPr>
          <w:p w14:paraId="2D36575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الطبعة المرجعية المعتمدة أكاديمياً عالمياً</w:t>
            </w:r>
          </w:p>
        </w:tc>
      </w:tr>
      <w:tr w:rsidR="00B149ED" w:rsidRPr="00A60245" w14:paraId="62A1E186" w14:textId="77777777" w:rsidTr="00A011EA">
        <w:tc>
          <w:tcPr>
            <w:tcW w:w="1800" w:type="dxa"/>
            <w:shd w:val="clear" w:color="auto" w:fill="FFFFFF"/>
            <w:tcMar>
              <w:top w:w="72" w:type="dxa"/>
              <w:left w:w="100" w:type="dxa"/>
              <w:bottom w:w="72" w:type="dxa"/>
              <w:right w:w="100" w:type="dxa"/>
            </w:tcMar>
            <w:vAlign w:val="center"/>
          </w:tcPr>
          <w:p w14:paraId="7F34A5B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إعلام الموقعين (ابن القيم)</w:t>
            </w:r>
          </w:p>
        </w:tc>
        <w:tc>
          <w:tcPr>
            <w:tcW w:w="3960" w:type="dxa"/>
            <w:shd w:val="clear" w:color="auto" w:fill="FFFFFF"/>
            <w:tcMar>
              <w:top w:w="72" w:type="dxa"/>
              <w:left w:w="100" w:type="dxa"/>
              <w:bottom w:w="72" w:type="dxa"/>
              <w:right w:w="100" w:type="dxa"/>
            </w:tcMar>
            <w:vAlign w:val="center"/>
          </w:tcPr>
          <w:p w14:paraId="21C6274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تحقيق طه عبد الرؤوف سعد، دار الجيل</w:t>
            </w:r>
          </w:p>
        </w:tc>
        <w:tc>
          <w:tcPr>
            <w:tcW w:w="2880" w:type="dxa"/>
            <w:shd w:val="clear" w:color="auto" w:fill="FFFFFF"/>
            <w:tcMar>
              <w:top w:w="72" w:type="dxa"/>
              <w:left w:w="100" w:type="dxa"/>
              <w:bottom w:w="72" w:type="dxa"/>
              <w:right w:w="100" w:type="dxa"/>
            </w:tcMar>
            <w:vAlign w:val="center"/>
          </w:tcPr>
          <w:p w14:paraId="49DDF23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الأوسع تداولاً مع فهرسة موضوعية دقيقة</w:t>
            </w:r>
          </w:p>
        </w:tc>
      </w:tr>
      <w:tr w:rsidR="00B149ED" w:rsidRPr="00A60245" w14:paraId="7FCE70D8" w14:textId="77777777" w:rsidTr="00A011EA">
        <w:tc>
          <w:tcPr>
            <w:tcW w:w="1800" w:type="dxa"/>
            <w:shd w:val="clear" w:color="auto" w:fill="EBF5FB"/>
            <w:tcMar>
              <w:top w:w="72" w:type="dxa"/>
              <w:left w:w="100" w:type="dxa"/>
              <w:bottom w:w="72" w:type="dxa"/>
              <w:right w:w="100" w:type="dxa"/>
            </w:tcMar>
            <w:vAlign w:val="center"/>
          </w:tcPr>
          <w:p w14:paraId="7755BEB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000000"/>
                <w:sz w:val="28"/>
                <w:szCs w:val="28"/>
                <w:rtl/>
              </w:rPr>
              <w:t>التحرير والتنوير (ابن عاشور)</w:t>
            </w:r>
          </w:p>
        </w:tc>
        <w:tc>
          <w:tcPr>
            <w:tcW w:w="3960" w:type="dxa"/>
            <w:shd w:val="clear" w:color="auto" w:fill="F8F8F8"/>
            <w:tcMar>
              <w:top w:w="72" w:type="dxa"/>
              <w:left w:w="100" w:type="dxa"/>
              <w:bottom w:w="72" w:type="dxa"/>
              <w:right w:w="100" w:type="dxa"/>
            </w:tcMar>
            <w:vAlign w:val="center"/>
          </w:tcPr>
          <w:p w14:paraId="2F81BDE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الدار التونسية للنشر (النسخة الكاملة 30 مجلداً)</w:t>
            </w:r>
          </w:p>
        </w:tc>
        <w:tc>
          <w:tcPr>
            <w:tcW w:w="2880" w:type="dxa"/>
            <w:shd w:val="clear" w:color="auto" w:fill="EBF5E0"/>
            <w:tcMar>
              <w:top w:w="72" w:type="dxa"/>
              <w:left w:w="100" w:type="dxa"/>
              <w:bottom w:w="72" w:type="dxa"/>
              <w:right w:w="100" w:type="dxa"/>
            </w:tcMar>
            <w:vAlign w:val="center"/>
          </w:tcPr>
          <w:p w14:paraId="1F5E4D7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النص الكامل غير المُختصَر — أساس الاستشهاد الدقيق</w:t>
            </w:r>
          </w:p>
        </w:tc>
      </w:tr>
    </w:tbl>
    <w:p w14:paraId="2DCC0B87" w14:textId="77777777" w:rsidR="00B149ED" w:rsidRPr="00A60245" w:rsidRDefault="00B149ED" w:rsidP="00B149ED">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والقاعدة: تُستعمل الطبعات المحقّقة وحدها، مع ذكر المحقّق ودار النشر في كل استشهاد.</w:t>
      </w:r>
    </w:p>
    <w:p w14:paraId="07E2F3AB" w14:textId="77777777" w:rsidR="00B149ED" w:rsidRPr="00A60245" w:rsidRDefault="00B149ED" w:rsidP="00B149ED">
      <w:pPr>
        <w:bidi/>
        <w:spacing w:after="55"/>
        <w:rPr>
          <w:rFonts w:ascii="Sakkal Majalla" w:hAnsi="Sakkal Majalla" w:cs="Sakkal Majalla"/>
          <w:sz w:val="28"/>
          <w:szCs w:val="28"/>
        </w:rPr>
      </w:pPr>
    </w:p>
    <w:p w14:paraId="28AA8E63"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كيف نقيّم مفسّري القرن العشرين؟</w:t>
      </w:r>
    </w:p>
    <w:p w14:paraId="32252656"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ويضم هرم هذا الفصل أسماء من طبقات زمنية متباعدة: ابن كثير من القرن الثامن الهجري، وسيد قطب والزحيلي من القرن العشرين الميلادي. وهذا يطرح سؤالًا صريحًا: هل للمفسّر المعاصر وزن المفسّر الكلاسيكي نفسه؟</w:t>
      </w:r>
    </w:p>
    <w:p w14:paraId="563C77D3"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ومعياري هنا أن وزن المفسّر لا يُقاس بقدمه الزمني، بل بمدى «اتصاله المنهجي» بالتقليد التفسيري السابق، وإضافته الحقيقية إليه.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703"/>
        <w:gridCol w:w="3937"/>
      </w:tblGrid>
      <w:tr w:rsidR="00B149ED" w:rsidRPr="00A60245" w14:paraId="20B6D6E7" w14:textId="77777777" w:rsidTr="00A011EA">
        <w:tc>
          <w:tcPr>
            <w:tcW w:w="1440" w:type="dxa"/>
            <w:shd w:val="clear" w:color="auto" w:fill="1F3864"/>
            <w:tcMar>
              <w:top w:w="72" w:type="dxa"/>
              <w:left w:w="100" w:type="dxa"/>
              <w:bottom w:w="72" w:type="dxa"/>
              <w:right w:w="100" w:type="dxa"/>
            </w:tcMar>
            <w:vAlign w:val="center"/>
          </w:tcPr>
          <w:p w14:paraId="68CDB78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lastRenderedPageBreak/>
              <w:t>المعيار</w:t>
            </w:r>
          </w:p>
        </w:tc>
        <w:tc>
          <w:tcPr>
            <w:tcW w:w="7200" w:type="dxa"/>
            <w:shd w:val="clear" w:color="auto" w:fill="1F3864"/>
            <w:tcMar>
              <w:top w:w="72" w:type="dxa"/>
              <w:left w:w="100" w:type="dxa"/>
              <w:bottom w:w="72" w:type="dxa"/>
              <w:right w:w="100" w:type="dxa"/>
            </w:tcMar>
            <w:vAlign w:val="center"/>
          </w:tcPr>
          <w:p w14:paraId="3706F376"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التطبيق على الزحيلي (ت.2015م)</w:t>
            </w:r>
          </w:p>
        </w:tc>
      </w:tr>
      <w:tr w:rsidR="00B149ED" w:rsidRPr="00A60245" w14:paraId="36D1C59A" w14:textId="77777777" w:rsidTr="00A011EA">
        <w:tc>
          <w:tcPr>
            <w:tcW w:w="1440" w:type="dxa"/>
            <w:shd w:val="clear" w:color="auto" w:fill="EBF5FB"/>
            <w:tcMar>
              <w:top w:w="72" w:type="dxa"/>
              <w:left w:w="100" w:type="dxa"/>
              <w:bottom w:w="72" w:type="dxa"/>
              <w:right w:w="100" w:type="dxa"/>
            </w:tcMar>
            <w:vAlign w:val="center"/>
          </w:tcPr>
          <w:p w14:paraId="215F1803"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الاتصال المنهجي</w:t>
            </w:r>
          </w:p>
        </w:tc>
        <w:tc>
          <w:tcPr>
            <w:tcW w:w="7200" w:type="dxa"/>
            <w:shd w:val="clear" w:color="auto" w:fill="F5FAFF"/>
            <w:tcMar>
              <w:top w:w="72" w:type="dxa"/>
              <w:left w:w="100" w:type="dxa"/>
              <w:bottom w:w="72" w:type="dxa"/>
              <w:right w:w="100" w:type="dxa"/>
            </w:tcMar>
            <w:vAlign w:val="center"/>
          </w:tcPr>
          <w:p w14:paraId="5828F87D"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«التفسير المنير» لا يقدّم منهجًا مبتدعًا، بل يجمع الدقة اللغوية والفقهية لسابقيه، فهو متصل منهجيًا بسلسلة التفسير.</w:t>
            </w:r>
          </w:p>
        </w:tc>
      </w:tr>
      <w:tr w:rsidR="00B149ED" w:rsidRPr="00A60245" w14:paraId="33416FC0" w14:textId="77777777" w:rsidTr="00A011EA">
        <w:tc>
          <w:tcPr>
            <w:tcW w:w="1440" w:type="dxa"/>
            <w:shd w:val="clear" w:color="auto" w:fill="FFFFFF"/>
            <w:tcMar>
              <w:top w:w="72" w:type="dxa"/>
              <w:left w:w="100" w:type="dxa"/>
              <w:bottom w:w="72" w:type="dxa"/>
              <w:right w:w="100" w:type="dxa"/>
            </w:tcMar>
            <w:vAlign w:val="center"/>
          </w:tcPr>
          <w:p w14:paraId="289677E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الإضافة الحقيقية</w:t>
            </w:r>
          </w:p>
        </w:tc>
        <w:tc>
          <w:tcPr>
            <w:tcW w:w="7200" w:type="dxa"/>
            <w:shd w:val="clear" w:color="auto" w:fill="FFFFFF"/>
            <w:tcMar>
              <w:top w:w="72" w:type="dxa"/>
              <w:left w:w="100" w:type="dxa"/>
              <w:bottom w:w="72" w:type="dxa"/>
              <w:right w:w="100" w:type="dxa"/>
            </w:tcMar>
            <w:vAlign w:val="center"/>
          </w:tcPr>
          <w:p w14:paraId="2F824297"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color w:val="000000"/>
                <w:sz w:val="28"/>
                <w:szCs w:val="28"/>
                <w:rtl/>
              </w:rPr>
              <w:t>يُعالج قضايا معاصرة (البنوك، الطب الحديث، التعاملات المعاصرة) لم تكن مطروحة تفصيلاً سابقاً.</w:t>
            </w:r>
          </w:p>
        </w:tc>
      </w:tr>
      <w:tr w:rsidR="00B149ED" w:rsidRPr="00A60245" w14:paraId="26A8E5C5" w14:textId="77777777" w:rsidTr="00A011EA">
        <w:tc>
          <w:tcPr>
            <w:tcW w:w="1440" w:type="dxa"/>
            <w:shd w:val="clear" w:color="auto" w:fill="EBF5FB"/>
            <w:tcMar>
              <w:top w:w="72" w:type="dxa"/>
              <w:left w:w="100" w:type="dxa"/>
              <w:bottom w:w="72" w:type="dxa"/>
              <w:right w:w="100" w:type="dxa"/>
            </w:tcMar>
            <w:vAlign w:val="center"/>
          </w:tcPr>
          <w:p w14:paraId="7068EADE"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1F3864"/>
                <w:sz w:val="28"/>
                <w:szCs w:val="28"/>
                <w:rtl/>
              </w:rPr>
              <w:t>الاستبعاد المُبرَّر</w:t>
            </w:r>
          </w:p>
        </w:tc>
        <w:tc>
          <w:tcPr>
            <w:tcW w:w="7200" w:type="dxa"/>
            <w:shd w:val="clear" w:color="auto" w:fill="F5FAFF"/>
            <w:tcMar>
              <w:top w:w="72" w:type="dxa"/>
              <w:left w:w="100" w:type="dxa"/>
              <w:bottom w:w="72" w:type="dxa"/>
              <w:right w:w="100" w:type="dxa"/>
            </w:tcMar>
            <w:vAlign w:val="center"/>
          </w:tcPr>
          <w:p w14:paraId="040749DA"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تُستبعد كتابات «الإعجاز العلمي» التي تُسقط اكتشافات حديثة على الآيات دون تحليل لغوي أو سياقي دقيق، لأنها تفتقر إلى الاتصال المنهجي مهما بلغت شهرتها.</w:t>
            </w:r>
          </w:p>
        </w:tc>
      </w:tr>
      <w:tr w:rsidR="00B149ED" w:rsidRPr="00A60245" w14:paraId="298CDFDC" w14:textId="77777777" w:rsidTr="00A011EA">
        <w:trPr>
          <w:gridAfter w:val="1"/>
          <w:wAfter w:w="100" w:type="dxa"/>
        </w:trPr>
        <w:tc>
          <w:tcPr>
            <w:tcW w:w="8640" w:type="dxa"/>
            <w:shd w:val="clear" w:color="auto" w:fill="156082"/>
            <w:tcMar>
              <w:top w:w="72" w:type="dxa"/>
              <w:left w:w="100" w:type="dxa"/>
              <w:bottom w:w="72" w:type="dxa"/>
              <w:right w:w="100" w:type="dxa"/>
            </w:tcMar>
            <w:vAlign w:val="center"/>
          </w:tcPr>
          <w:p w14:paraId="38838B8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قاعدة التصنيف</w:t>
            </w:r>
          </w:p>
        </w:tc>
      </w:tr>
      <w:tr w:rsidR="00B149ED" w:rsidRPr="00A60245" w14:paraId="48E7F074" w14:textId="77777777" w:rsidTr="00A011EA">
        <w:trPr>
          <w:gridAfter w:val="1"/>
          <w:wAfter w:w="100" w:type="dxa"/>
        </w:trPr>
        <w:tc>
          <w:tcPr>
            <w:tcW w:w="8640" w:type="dxa"/>
            <w:shd w:val="clear" w:color="auto" w:fill="EBF5FB"/>
            <w:tcMar>
              <w:top w:w="72" w:type="dxa"/>
              <w:left w:w="100" w:type="dxa"/>
              <w:bottom w:w="72" w:type="dxa"/>
              <w:right w:w="100" w:type="dxa"/>
            </w:tcMar>
            <w:vAlign w:val="center"/>
          </w:tcPr>
          <w:p w14:paraId="1C74D3A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صلة مباشرة لعمر المفسّر الزمني بوزنه المعرفي. والحاسم: هل يتصل منهجيًا بتراكم علمي سابق موثّق؟ وهل يضيف إليه إضافة حقيقية يمكن تقييمها؟ فمن حقق الشرطين دخل الهرم، في أي قرن عاش.</w:t>
            </w:r>
          </w:p>
        </w:tc>
      </w:tr>
    </w:tbl>
    <w:p w14:paraId="05005CA0" w14:textId="77777777" w:rsidR="00B149ED" w:rsidRPr="00A60245" w:rsidRDefault="00B149ED" w:rsidP="00B149ED">
      <w:pPr>
        <w:bidi/>
        <w:spacing w:after="55"/>
        <w:rPr>
          <w:rFonts w:ascii="Sakkal Majalla" w:hAnsi="Sakkal Majalla" w:cs="Sakkal Majalla"/>
          <w:sz w:val="28"/>
          <w:szCs w:val="28"/>
        </w:rPr>
      </w:pPr>
    </w:p>
    <w:p w14:paraId="79EE085D"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39155E7E"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الهرم كاملًا في نظرة واحدة</w:t>
      </w:r>
    </w:p>
    <w:p w14:paraId="03D6E237"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وقبل الاعتراضات، هذا هو الهرم مجموعًا في جدول يربط كل مستوى بمصدره ووظيفته ودرجة اليقين فيه: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800"/>
        <w:gridCol w:w="2160"/>
        <w:gridCol w:w="2160"/>
        <w:gridCol w:w="2160"/>
      </w:tblGrid>
      <w:tr w:rsidR="00B149ED" w:rsidRPr="00A60245" w14:paraId="4E55A1D0" w14:textId="77777777" w:rsidTr="00A011EA">
        <w:tc>
          <w:tcPr>
            <w:tcW w:w="360" w:type="dxa"/>
            <w:shd w:val="clear" w:color="auto" w:fill="1F3864"/>
            <w:tcMar>
              <w:top w:w="72" w:type="dxa"/>
              <w:left w:w="100" w:type="dxa"/>
              <w:bottom w:w="72" w:type="dxa"/>
              <w:right w:w="100" w:type="dxa"/>
            </w:tcMar>
            <w:vAlign w:val="center"/>
          </w:tcPr>
          <w:p w14:paraId="65B114AC"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w:t>
            </w:r>
          </w:p>
        </w:tc>
        <w:tc>
          <w:tcPr>
            <w:tcW w:w="1800" w:type="dxa"/>
            <w:shd w:val="clear" w:color="auto" w:fill="1F3864"/>
            <w:tcMar>
              <w:top w:w="72" w:type="dxa"/>
              <w:left w:w="100" w:type="dxa"/>
              <w:bottom w:w="72" w:type="dxa"/>
              <w:right w:w="100" w:type="dxa"/>
            </w:tcMar>
            <w:vAlign w:val="center"/>
          </w:tcPr>
          <w:p w14:paraId="5572E945"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المستوى</w:t>
            </w:r>
          </w:p>
        </w:tc>
        <w:tc>
          <w:tcPr>
            <w:tcW w:w="2160" w:type="dxa"/>
            <w:shd w:val="clear" w:color="auto" w:fill="1F3864"/>
            <w:tcMar>
              <w:top w:w="72" w:type="dxa"/>
              <w:left w:w="100" w:type="dxa"/>
              <w:bottom w:w="72" w:type="dxa"/>
              <w:right w:w="100" w:type="dxa"/>
            </w:tcMar>
            <w:vAlign w:val="center"/>
          </w:tcPr>
          <w:p w14:paraId="346BCD4A"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المصدر الرئيسي</w:t>
            </w:r>
          </w:p>
        </w:tc>
        <w:tc>
          <w:tcPr>
            <w:tcW w:w="2160" w:type="dxa"/>
            <w:shd w:val="clear" w:color="auto" w:fill="1F3864"/>
            <w:tcMar>
              <w:top w:w="72" w:type="dxa"/>
              <w:left w:w="100" w:type="dxa"/>
              <w:bottom w:w="72" w:type="dxa"/>
              <w:right w:w="100" w:type="dxa"/>
            </w:tcMar>
            <w:vAlign w:val="center"/>
          </w:tcPr>
          <w:p w14:paraId="26AF65D4"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الوظيفة</w:t>
            </w:r>
          </w:p>
        </w:tc>
        <w:tc>
          <w:tcPr>
            <w:tcW w:w="2160" w:type="dxa"/>
            <w:shd w:val="clear" w:color="auto" w:fill="1F3864"/>
            <w:tcMar>
              <w:top w:w="72" w:type="dxa"/>
              <w:left w:w="100" w:type="dxa"/>
              <w:bottom w:w="72" w:type="dxa"/>
              <w:right w:w="100" w:type="dxa"/>
            </w:tcMar>
            <w:vAlign w:val="center"/>
          </w:tcPr>
          <w:p w14:paraId="31E2369B"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درجة اليقين</w:t>
            </w:r>
          </w:p>
        </w:tc>
      </w:tr>
      <w:tr w:rsidR="00B149ED" w:rsidRPr="00A60245" w14:paraId="7902AC48" w14:textId="77777777" w:rsidTr="00A011EA">
        <w:tc>
          <w:tcPr>
            <w:tcW w:w="360" w:type="dxa"/>
            <w:shd w:val="clear" w:color="auto" w:fill="1F3864"/>
            <w:tcMar>
              <w:top w:w="72" w:type="dxa"/>
              <w:left w:w="100" w:type="dxa"/>
              <w:bottom w:w="72" w:type="dxa"/>
              <w:right w:w="100" w:type="dxa"/>
            </w:tcMar>
            <w:vAlign w:val="center"/>
          </w:tcPr>
          <w:p w14:paraId="462D89AB"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FFFFFF"/>
                <w:sz w:val="28"/>
                <w:szCs w:val="28"/>
                <w:rtl/>
              </w:rPr>
              <w:t xml:space="preserve">①</w:t>
            </w:r>
          </w:p>
        </w:tc>
        <w:tc>
          <w:tcPr>
            <w:tcW w:w="1800" w:type="dxa"/>
            <w:shd w:val="clear" w:color="auto" w:fill="F0F4FF"/>
            <w:tcMar>
              <w:top w:w="72" w:type="dxa"/>
              <w:left w:w="100" w:type="dxa"/>
              <w:bottom w:w="72" w:type="dxa"/>
              <w:right w:w="100" w:type="dxa"/>
            </w:tcMar>
            <w:vAlign w:val="center"/>
          </w:tcPr>
          <w:p w14:paraId="5C074E8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القرآن الكريم</w:t>
            </w:r>
          </w:p>
        </w:tc>
        <w:tc>
          <w:tcPr>
            <w:tcW w:w="2160" w:type="dxa"/>
            <w:shd w:val="clear" w:color="auto" w:fill="F5FAFF"/>
            <w:tcMar>
              <w:top w:w="72" w:type="dxa"/>
              <w:left w:w="100" w:type="dxa"/>
              <w:bottom w:w="72" w:type="dxa"/>
              <w:right w:w="100" w:type="dxa"/>
            </w:tcMar>
            <w:vAlign w:val="center"/>
          </w:tcPr>
          <w:p w14:paraId="1F5D1A2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النص الكريم: الآيات المصدر</w:t>
            </w:r>
          </w:p>
        </w:tc>
        <w:tc>
          <w:tcPr>
            <w:tcW w:w="2160" w:type="dxa"/>
            <w:shd w:val="clear" w:color="auto" w:fill="EBF5E0"/>
            <w:tcMar>
              <w:top w:w="72" w:type="dxa"/>
              <w:left w:w="100" w:type="dxa"/>
              <w:bottom w:w="72" w:type="dxa"/>
              <w:right w:w="100" w:type="dxa"/>
            </w:tcMar>
            <w:vAlign w:val="center"/>
          </w:tcPr>
          <w:p w14:paraId="51C0A34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الإنشاء والتأسيس، ولا يُقدَّم عليه مصدر</w:t>
            </w:r>
          </w:p>
        </w:tc>
        <w:tc>
          <w:tcPr>
            <w:tcW w:w="2160" w:type="dxa"/>
            <w:shd w:val="clear" w:color="auto" w:fill="FFF2CC"/>
            <w:tcMar>
              <w:top w:w="72" w:type="dxa"/>
              <w:left w:w="100" w:type="dxa"/>
              <w:bottom w:w="72" w:type="dxa"/>
              <w:right w:w="100" w:type="dxa"/>
            </w:tcMar>
            <w:vAlign w:val="center"/>
          </w:tcPr>
          <w:p w14:paraId="6644D09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C49A00"/>
                <w:sz w:val="28"/>
                <w:szCs w:val="28"/>
                <w:rtl/>
              </w:rPr>
              <w:t xml:space="preserve">يقين مطلق (المسلّمة الأولى)</w:t>
            </w:r>
          </w:p>
        </w:tc>
      </w:tr>
      <w:tr w:rsidR="00B149ED" w:rsidRPr="00A60245" w14:paraId="22B5FB6B" w14:textId="77777777" w:rsidTr="00A011EA">
        <w:tc>
          <w:tcPr>
            <w:tcW w:w="360" w:type="dxa"/>
            <w:shd w:val="clear" w:color="auto" w:fill="FFFFFF"/>
            <w:tcMar>
              <w:top w:w="72" w:type="dxa"/>
              <w:left w:w="100" w:type="dxa"/>
              <w:bottom w:w="72" w:type="dxa"/>
              <w:right w:w="100" w:type="dxa"/>
            </w:tcMar>
            <w:vAlign w:val="center"/>
          </w:tcPr>
          <w:p w14:paraId="76984349"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156082"/>
                <w:sz w:val="28"/>
                <w:szCs w:val="28"/>
                <w:rtl/>
              </w:rPr>
              <w:t xml:space="preserve">②</w:t>
            </w:r>
          </w:p>
        </w:tc>
        <w:tc>
          <w:tcPr>
            <w:tcW w:w="1800" w:type="dxa"/>
            <w:shd w:val="clear" w:color="auto" w:fill="FFFFFF"/>
            <w:tcMar>
              <w:top w:w="72" w:type="dxa"/>
              <w:left w:w="100" w:type="dxa"/>
              <w:bottom w:w="72" w:type="dxa"/>
              <w:right w:w="100" w:type="dxa"/>
            </w:tcMar>
            <w:vAlign w:val="center"/>
          </w:tcPr>
          <w:p w14:paraId="4A5A2E8C"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السنة النبوية</w:t>
            </w:r>
          </w:p>
        </w:tc>
        <w:tc>
          <w:tcPr>
            <w:tcW w:w="2160" w:type="dxa"/>
            <w:shd w:val="clear" w:color="auto" w:fill="FFFFFF"/>
            <w:tcMar>
              <w:top w:w="72" w:type="dxa"/>
              <w:left w:w="100" w:type="dxa"/>
              <w:bottom w:w="72" w:type="dxa"/>
              <w:right w:w="100" w:type="dxa"/>
            </w:tcMar>
            <w:vAlign w:val="center"/>
          </w:tcPr>
          <w:p w14:paraId="00B8816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الصحيحان والسنن الأربعة (بإسناد صحيح أو حسن)</w:t>
            </w:r>
          </w:p>
        </w:tc>
        <w:tc>
          <w:tcPr>
            <w:tcW w:w="2160" w:type="dxa"/>
            <w:shd w:val="clear" w:color="auto" w:fill="FFFFFF"/>
            <w:tcMar>
              <w:top w:w="72" w:type="dxa"/>
              <w:left w:w="100" w:type="dxa"/>
              <w:bottom w:w="72" w:type="dxa"/>
              <w:right w:w="100" w:type="dxa"/>
            </w:tcMar>
            <w:vAlign w:val="center"/>
          </w:tcPr>
          <w:p w14:paraId="414956BC"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البيان: التأكيد والتفسير (ومنه تفصيل المجمل وتخصيص العام)، لا الإنشاء المستقل</w:t>
            </w:r>
          </w:p>
        </w:tc>
        <w:tc>
          <w:tcPr>
            <w:tcW w:w="2160" w:type="dxa"/>
            <w:shd w:val="clear" w:color="auto" w:fill="FFFFFF"/>
            <w:tcMar>
              <w:top w:w="72" w:type="dxa"/>
              <w:left w:w="100" w:type="dxa"/>
              <w:bottom w:w="72" w:type="dxa"/>
              <w:right w:w="100" w:type="dxa"/>
            </w:tcMar>
            <w:vAlign w:val="center"/>
          </w:tcPr>
          <w:p w14:paraId="35914FFA"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مرتفع جدًا (صحيح) ثم مرتفع (حسن)</w:t>
            </w:r>
          </w:p>
        </w:tc>
      </w:tr>
      <w:tr w:rsidR="00B149ED" w:rsidRPr="00A60245" w14:paraId="227522C3" w14:textId="77777777" w:rsidTr="00A011EA">
        <w:tc>
          <w:tcPr>
            <w:tcW w:w="360" w:type="dxa"/>
            <w:shd w:val="clear" w:color="auto" w:fill="EBF5FB"/>
            <w:tcMar>
              <w:top w:w="72" w:type="dxa"/>
              <w:left w:w="100" w:type="dxa"/>
              <w:bottom w:w="72" w:type="dxa"/>
              <w:right w:w="100" w:type="dxa"/>
            </w:tcMar>
            <w:vAlign w:val="center"/>
          </w:tcPr>
          <w:p w14:paraId="3A7B0A4B"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156082"/>
                <w:sz w:val="28"/>
                <w:szCs w:val="28"/>
                <w:rtl/>
              </w:rPr>
              <w:t xml:space="preserve">③</w:t>
            </w:r>
          </w:p>
        </w:tc>
        <w:tc>
          <w:tcPr>
            <w:tcW w:w="1800" w:type="dxa"/>
            <w:shd w:val="clear" w:color="auto" w:fill="F5F5F5"/>
            <w:tcMar>
              <w:top w:w="72" w:type="dxa"/>
              <w:left w:w="100" w:type="dxa"/>
              <w:bottom w:w="72" w:type="dxa"/>
              <w:right w:w="100" w:type="dxa"/>
            </w:tcMar>
            <w:vAlign w:val="center"/>
          </w:tcPr>
          <w:p w14:paraId="1D46B19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المصادر اللغوية</w:t>
            </w:r>
          </w:p>
        </w:tc>
        <w:tc>
          <w:tcPr>
            <w:tcW w:w="2160" w:type="dxa"/>
            <w:shd w:val="clear" w:color="auto" w:fill="F5FAFF"/>
            <w:tcMar>
              <w:top w:w="72" w:type="dxa"/>
              <w:left w:w="100" w:type="dxa"/>
              <w:bottom w:w="72" w:type="dxa"/>
              <w:right w:w="100" w:type="dxa"/>
            </w:tcMar>
            <w:vAlign w:val="center"/>
          </w:tcPr>
          <w:p w14:paraId="3C17DF9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ابن فارس، والراغب، وابن منظور، والزمخشري</w:t>
            </w:r>
          </w:p>
        </w:tc>
        <w:tc>
          <w:tcPr>
            <w:tcW w:w="2160" w:type="dxa"/>
            <w:shd w:val="clear" w:color="auto" w:fill="EBF5E0"/>
            <w:tcMar>
              <w:top w:w="72" w:type="dxa"/>
              <w:left w:w="100" w:type="dxa"/>
              <w:bottom w:w="72" w:type="dxa"/>
              <w:right w:w="100" w:type="dxa"/>
            </w:tcMar>
            <w:vAlign w:val="center"/>
          </w:tcPr>
          <w:p w14:paraId="7AE9C014"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التأصيل الجذري، والخصوصية القرآنية، والاتساع، والبلاغة</w:t>
            </w:r>
          </w:p>
        </w:tc>
        <w:tc>
          <w:tcPr>
            <w:tcW w:w="2160" w:type="dxa"/>
            <w:shd w:val="clear" w:color="auto" w:fill="EBF5FB"/>
            <w:tcMar>
              <w:top w:w="72" w:type="dxa"/>
              <w:left w:w="100" w:type="dxa"/>
              <w:bottom w:w="72" w:type="dxa"/>
              <w:right w:w="100" w:type="dxa"/>
            </w:tcMar>
            <w:vAlign w:val="center"/>
          </w:tcPr>
          <w:p w14:paraId="747AB4C0"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لغوي تحكمه قواعد العربية</w:t>
            </w:r>
          </w:p>
        </w:tc>
      </w:tr>
      <w:tr w:rsidR="00B149ED" w:rsidRPr="00A60245" w14:paraId="562D9196" w14:textId="77777777" w:rsidTr="00A011EA">
        <w:tc>
          <w:tcPr>
            <w:tcW w:w="360" w:type="dxa"/>
            <w:shd w:val="clear" w:color="auto" w:fill="FFFFFF"/>
            <w:tcMar>
              <w:top w:w="72" w:type="dxa"/>
              <w:left w:w="100" w:type="dxa"/>
              <w:bottom w:w="72" w:type="dxa"/>
              <w:right w:w="100" w:type="dxa"/>
            </w:tcMar>
            <w:vAlign w:val="center"/>
          </w:tcPr>
          <w:p w14:paraId="02C353CF"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156082"/>
                <w:sz w:val="28"/>
                <w:szCs w:val="28"/>
                <w:rtl/>
              </w:rPr>
              <w:t xml:space="preserve">④</w:t>
            </w:r>
          </w:p>
        </w:tc>
        <w:tc>
          <w:tcPr>
            <w:tcW w:w="1800" w:type="dxa"/>
            <w:shd w:val="clear" w:color="auto" w:fill="FFFFFF"/>
            <w:tcMar>
              <w:top w:w="72" w:type="dxa"/>
              <w:left w:w="100" w:type="dxa"/>
              <w:bottom w:w="72" w:type="dxa"/>
              <w:right w:w="100" w:type="dxa"/>
            </w:tcMar>
            <w:vAlign w:val="center"/>
          </w:tcPr>
          <w:p w14:paraId="1A72CBD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التفسير</w:t>
            </w:r>
          </w:p>
        </w:tc>
        <w:tc>
          <w:tcPr>
            <w:tcW w:w="2160" w:type="dxa"/>
            <w:shd w:val="clear" w:color="auto" w:fill="FFFFFF"/>
            <w:tcMar>
              <w:top w:w="72" w:type="dxa"/>
              <w:left w:w="100" w:type="dxa"/>
              <w:bottom w:w="72" w:type="dxa"/>
              <w:right w:w="100" w:type="dxa"/>
            </w:tcMar>
            <w:vAlign w:val="center"/>
          </w:tcPr>
          <w:p w14:paraId="410203C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المدارس الخمس، كلٌّ في موضع تخصصه</w:t>
            </w:r>
          </w:p>
        </w:tc>
        <w:tc>
          <w:tcPr>
            <w:tcW w:w="2160" w:type="dxa"/>
            <w:shd w:val="clear" w:color="auto" w:fill="FFFFFF"/>
            <w:tcMar>
              <w:top w:w="72" w:type="dxa"/>
              <w:left w:w="100" w:type="dxa"/>
              <w:bottom w:w="72" w:type="dxa"/>
              <w:right w:w="100" w:type="dxa"/>
            </w:tcMar>
            <w:vAlign w:val="center"/>
          </w:tcPr>
          <w:p w14:paraId="05585EB0"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الفهم: دلالة الألفاظ في السياق القرآني</w:t>
            </w:r>
          </w:p>
        </w:tc>
        <w:tc>
          <w:tcPr>
            <w:tcW w:w="2160" w:type="dxa"/>
            <w:shd w:val="clear" w:color="auto" w:fill="FFFFFF"/>
            <w:tcMar>
              <w:top w:w="72" w:type="dxa"/>
              <w:left w:w="100" w:type="dxa"/>
              <w:bottom w:w="72" w:type="dxa"/>
              <w:right w:w="100" w:type="dxa"/>
            </w:tcMar>
            <w:vAlign w:val="center"/>
          </w:tcPr>
          <w:p w14:paraId="2A35348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اجتهادي متفاوت، ويُصرَّح بالخلاف</w:t>
            </w:r>
          </w:p>
        </w:tc>
      </w:tr>
      <w:tr w:rsidR="00B149ED" w:rsidRPr="00A60245" w14:paraId="5D0AB119" w14:textId="77777777" w:rsidTr="00A011EA">
        <w:tc>
          <w:tcPr>
            <w:tcW w:w="360" w:type="dxa"/>
            <w:shd w:val="clear" w:color="auto" w:fill="EBF5FB"/>
            <w:tcMar>
              <w:top w:w="72" w:type="dxa"/>
              <w:left w:w="100" w:type="dxa"/>
              <w:bottom w:w="72" w:type="dxa"/>
              <w:right w:w="100" w:type="dxa"/>
            </w:tcMar>
            <w:vAlign w:val="center"/>
          </w:tcPr>
          <w:p w14:paraId="2D370035"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156082"/>
                <w:sz w:val="28"/>
                <w:szCs w:val="28"/>
                <w:rtl/>
              </w:rPr>
              <w:t xml:space="preserve">⑤</w:t>
            </w:r>
          </w:p>
        </w:tc>
        <w:tc>
          <w:tcPr>
            <w:tcW w:w="1800" w:type="dxa"/>
            <w:shd w:val="clear" w:color="auto" w:fill="F5F5F5"/>
            <w:tcMar>
              <w:top w:w="72" w:type="dxa"/>
              <w:left w:w="100" w:type="dxa"/>
              <w:bottom w:w="72" w:type="dxa"/>
              <w:right w:w="100" w:type="dxa"/>
            </w:tcMar>
            <w:vAlign w:val="center"/>
          </w:tcPr>
          <w:p w14:paraId="320FCD7E"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السيرة النبوية</w:t>
            </w:r>
          </w:p>
        </w:tc>
        <w:tc>
          <w:tcPr>
            <w:tcW w:w="2160" w:type="dxa"/>
            <w:shd w:val="clear" w:color="auto" w:fill="F5FAFF"/>
            <w:tcMar>
              <w:top w:w="72" w:type="dxa"/>
              <w:left w:w="100" w:type="dxa"/>
              <w:bottom w:w="72" w:type="dxa"/>
              <w:right w:w="100" w:type="dxa"/>
            </w:tcMar>
            <w:vAlign w:val="center"/>
          </w:tcPr>
          <w:p w14:paraId="234B254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أربع مراتب: الصحاح، ثم ابن هشام، ثم محمد الغزالي والغضبان، ثم كتب السياق</w:t>
            </w:r>
          </w:p>
        </w:tc>
        <w:tc>
          <w:tcPr>
            <w:tcW w:w="2160" w:type="dxa"/>
            <w:shd w:val="clear" w:color="auto" w:fill="EBF5E0"/>
            <w:tcMar>
              <w:top w:w="72" w:type="dxa"/>
              <w:left w:w="100" w:type="dxa"/>
              <w:bottom w:w="72" w:type="dxa"/>
              <w:right w:w="100" w:type="dxa"/>
            </w:tcMar>
            <w:vAlign w:val="center"/>
          </w:tcPr>
          <w:p w14:paraId="14E0F73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التطبيق والتجسيد: واقعة تُثبت ثم تُحلَّل</w:t>
            </w:r>
          </w:p>
        </w:tc>
        <w:tc>
          <w:tcPr>
            <w:tcW w:w="2160" w:type="dxa"/>
            <w:shd w:val="clear" w:color="auto" w:fill="EBF5FB"/>
            <w:tcMar>
              <w:top w:w="72" w:type="dxa"/>
              <w:left w:w="100" w:type="dxa"/>
              <w:bottom w:w="72" w:type="dxa"/>
              <w:right w:w="100" w:type="dxa"/>
            </w:tcMar>
            <w:vAlign w:val="center"/>
          </w:tcPr>
          <w:p w14:paraId="1578F98F"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متفاوت بحسب المرتبة</w:t>
            </w:r>
          </w:p>
        </w:tc>
      </w:tr>
      <w:tr w:rsidR="00B149ED" w:rsidRPr="00A60245" w14:paraId="0ADCD015" w14:textId="77777777" w:rsidTr="00A011EA">
        <w:tc>
          <w:tcPr>
            <w:tcW w:w="360" w:type="dxa"/>
            <w:shd w:val="clear" w:color="auto" w:fill="FFFFFF"/>
            <w:tcMar>
              <w:top w:w="72" w:type="dxa"/>
              <w:left w:w="100" w:type="dxa"/>
              <w:bottom w:w="72" w:type="dxa"/>
              <w:right w:w="100" w:type="dxa"/>
            </w:tcMar>
            <w:vAlign w:val="center"/>
          </w:tcPr>
          <w:p w14:paraId="7E38F73A" w14:textId="77777777" w:rsidR="00B149ED" w:rsidRPr="00A60245" w:rsidRDefault="00B149ED" w:rsidP="00A011EA">
            <w:pPr>
              <w:bidi/>
              <w:spacing w:before="48" w:after="48"/>
              <w:rPr>
                <w:rFonts w:ascii="Sakkal Majalla" w:hAnsi="Sakkal Majalla" w:cs="Sakkal Majalla"/>
                <w:sz w:val="28"/>
                <w:szCs w:val="28"/>
              </w:rPr>
            </w:pPr>
            <w:r>
              <w:rPr>
                <w:rFonts w:ascii="Cambria Math" w:hAnsi="Cambria Math" w:cs="Cambria Math" w:hint="cs"/>
                <w:b/>
                <w:bCs/>
                <w:color w:val="156082"/>
                <w:sz w:val="28"/>
                <w:szCs w:val="28"/>
                <w:rtl/>
              </w:rPr>
              <w:t xml:space="preserve">⑥</w:t>
            </w:r>
          </w:p>
        </w:tc>
        <w:tc>
          <w:tcPr>
            <w:tcW w:w="1800" w:type="dxa"/>
            <w:shd w:val="clear" w:color="auto" w:fill="FFFFFF"/>
            <w:tcMar>
              <w:top w:w="72" w:type="dxa"/>
              <w:left w:w="100" w:type="dxa"/>
              <w:bottom w:w="72" w:type="dxa"/>
              <w:right w:w="100" w:type="dxa"/>
            </w:tcMar>
            <w:vAlign w:val="center"/>
          </w:tcPr>
          <w:p w14:paraId="6A71628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000000"/>
                <w:sz w:val="28"/>
                <w:szCs w:val="28"/>
                <w:rtl/>
              </w:rPr>
              <w:t xml:space="preserve">المبدأ الإداري</w:t>
            </w:r>
          </w:p>
        </w:tc>
        <w:tc>
          <w:tcPr>
            <w:tcW w:w="2160" w:type="dxa"/>
            <w:shd w:val="clear" w:color="auto" w:fill="FFFFFF"/>
            <w:tcMar>
              <w:top w:w="72" w:type="dxa"/>
              <w:left w:w="100" w:type="dxa"/>
              <w:bottom w:w="72" w:type="dxa"/>
              <w:right w:w="100" w:type="dxa"/>
            </w:tcMar>
            <w:vAlign w:val="center"/>
          </w:tcPr>
          <w:p w14:paraId="1ADDDBFE"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الناتج المشتق من المستويات السابقة</w:t>
            </w:r>
          </w:p>
        </w:tc>
        <w:tc>
          <w:tcPr>
            <w:tcW w:w="2160" w:type="dxa"/>
            <w:shd w:val="clear" w:color="auto" w:fill="FFFFFF"/>
            <w:tcMar>
              <w:top w:w="72" w:type="dxa"/>
              <w:left w:w="100" w:type="dxa"/>
              <w:bottom w:w="72" w:type="dxa"/>
              <w:right w:w="100" w:type="dxa"/>
            </w:tcMar>
            <w:vAlign w:val="center"/>
          </w:tcPr>
          <w:p w14:paraId="4C4D57E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المبدأ القابل للاختبار والتطبيق</w:t>
            </w:r>
          </w:p>
        </w:tc>
        <w:tc>
          <w:tcPr>
            <w:tcW w:w="2160" w:type="dxa"/>
            <w:shd w:val="clear" w:color="auto" w:fill="FFFFFF"/>
            <w:tcMar>
              <w:top w:w="72" w:type="dxa"/>
              <w:left w:w="100" w:type="dxa"/>
              <w:bottom w:w="72" w:type="dxa"/>
              <w:right w:w="100" w:type="dxa"/>
            </w:tcMar>
            <w:vAlign w:val="center"/>
          </w:tcPr>
          <w:p w14:paraId="4E32B87F"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اجتهاد بشري يخضع للفرضية الصفرية</w:t>
            </w:r>
          </w:p>
        </w:tc>
      </w:tr>
    </w:tbl>
    <w:p w14:paraId="54277757" w14:textId="77777777" w:rsidR="00B149ED" w:rsidRPr="00A60245" w:rsidRDefault="00B149ED" w:rsidP="00B149ED">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4.6 — الهرم كاملًا في نظرة واحدة: ستة مستويات بمصادرها ووظائفها ودرجة اليقين في كل منها.</w:t>
      </w:r>
    </w:p>
    <w:p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ينبغي أن يُفهم الهرم خطًّا واحدًا يضع كل مصدر أعلى أو أدنى من غيره في كل الوظائف. فالمصدر قد يكون أعلى من غيره قطعيةً، لكنه لا يقدّم وحده التفصيل الإجرائي الذي يحتاجه القرار الإداري. وقد يكون مصدر آخر أدنى رتبة في السلطة النصية، لكنه مهم لفهم السياق التاريخي أو المقارنة المؤسسية. ولهذا ينظر الكتاب إلى المصادر من أربعة محاور متكاملة: درجة الثبوت، والقرب من النص، والوظيفة التفسيرية، وقابلية الاستعمال في بناء النموذج. وتقديم اللغة على التفسير في الجدول ترتيب استعمال، يوافق خطوات بروتوكول القراءة (الفصل السادس)، لا حكمًا بأن المعجم أعلى سلطة من المفسّر.</w:t>
      </w:r>
    </w:p>
    <w:p w14:paraId="091A29EA"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ويجمع هذا الجدول ما تفرّق في أقسام الفصل، وتظهر فيه درجة اليقين معلنة لكل مستوى، فلا يعطي المصادر كلها وزنًا واحدًا، ولا يوهم بيقين غير موجود في المستويات الاجتهادية.</w:t>
      </w:r>
    </w:p>
    <w:p w14:paraId="4BC6994C" w14:textId="77777777" w:rsidR="00B149ED" w:rsidRPr="00A60245" w:rsidRDefault="00B149ED" w:rsidP="00B149ED">
      <w:pPr>
        <w:bidi/>
        <w:spacing w:after="55"/>
        <w:rPr>
          <w:rFonts w:ascii="Sakkal Majalla" w:hAnsi="Sakkal Majalla" w:cs="Sakkal Majalla"/>
          <w:sz w:val="28"/>
          <w:szCs w:val="28"/>
        </w:rPr>
      </w:pPr>
    </w:p>
    <w:p w14:paraId="1CF3E7A8"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540AD2D9"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4.9  أربعة اعتراضات على هرم المصادر</w:t>
      </w:r>
    </w:p>
    <w:p w14:paraId="3E47BF3A"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الأول: أليس اختيار «خمس مدارس» تعسفيًا؟</w:t>
      </w:r>
    </w:p>
    <w:p w14:paraId="617FD93A"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لماذا خمس لا ثلاث أو سبع؟ العدد ليس مقدّسًا، بل هو نتيجة تطبيق معايير الاختيار الأربعة على تاريخ التفسير. ولا أدّعي أن «خمسة» رقم سحري، بل أن هذه الخمس تمثّل الأطياف المنهجية الرئيسية حين تُطبَّق المعايير بصرامة.</w:t>
      </w:r>
    </w:p>
    <w:p w14:paraId="00BD7904" w14:textId="77777777" w:rsidR="00B149ED" w:rsidRPr="00A60245" w:rsidRDefault="00B149ED" w:rsidP="00B149ED">
      <w:pPr>
        <w:bidi/>
        <w:spacing w:before="70" w:after="38"/>
        <w:rPr>
          <w:rFonts w:ascii="Sakkal Majalla" w:hAnsi="Sakkal Majalla" w:cs="Sakkal Majalla"/>
          <w:sz w:val="28"/>
          <w:szCs w:val="28"/>
        </w:rPr>
      </w:pPr>
      <w:r w:rsidRPr="00A60245">
        <w:rPr>
          <w:rFonts w:ascii="Sakkal Majalla" w:hAnsi="Sakkal Majalla" w:cs="Sakkal Majalla"/>
          <w:b/>
          <w:bCs/>
          <w:color w:val="C55A11"/>
          <w:sz w:val="28"/>
          <w:szCs w:val="28"/>
          <w:rtl/>
        </w:rPr>
        <w:t>الاعتراض الثاني: عدم اتساق التعامل مع الطباطبائي</w:t>
      </w:r>
    </w:p>
    <w:p w14:paraId="7FD833FD"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لماذا يُستفاد من الطباطبائي بضوابط (4.4)، بينما لا تُذكر مصادر معتزلية أو إباضية أو صوفية بالتفصيل نفسه؟ والجواب الصادق: هذا انتقاء واقعي لا مبدئي؛ فالميزان مصدر معاصر واسع التداول أكاديميًا. ولا يعني ذلك إغلاق الباب أمام مصادر أخرى، وأعدّ هذا قصورًا ينبغي تطويره، لا موقفًا نهائيًا.</w:t>
      </w:r>
    </w:p>
    <w:p w14:paraId="244F7131"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الثالث: هل يمكن الدفاع فلسفيًا عن السلطة اليقينية للقرآن أمام غير المسلم؟</w:t>
      </w:r>
    </w:p>
    <w:p w14:paraId="16B6229F"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يدّعي هذا الكتاب إثبات صحة القرآن فلسفيًا لغير المسلم، بل يعلن هذه المسلّمة ويبني عليها. ويستطيع القارئ غير المسلم أن يقيّم الفصل بمعيار الاتساق الداخلي (Coherentist Evaluation)، لا بمعيار إثبات المسلّمة نفسها، كما بيّن الفصل الثالث (3.1).</w:t>
      </w:r>
    </w:p>
    <w:p w14:paraId="645ADB9E" w14:textId="77777777" w:rsidR="00B149ED" w:rsidRPr="00A60245" w:rsidRDefault="00B149ED" w:rsidP="00B149ED">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الرابع، وهو الأعمق: الانتقائية في اختيار وقائع السيرة</w:t>
      </w:r>
    </w:p>
    <w:p w14:paraId="0CA81C89"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حتى لو التزم الباحث بتراتبية الثبوت التزامًا تامًا، يبقى اختيار الوقائع التي يبرزها من السيرة فعلًا انتقائيًا بطبيعته. ولا يمكن دفع هذا الاعتراض كليًا، فهو وجه آخر لمشكلة «التحميل النظري للملاحظة» (Hanson 1958). ويمكن التخفيف منه بإجراء واحد: الإفصاح عن معيار الاختيار قبل عرض المثال. وأقرّ بهذا القصور صراحة.</w:t>
      </w:r>
    </w:p>
    <w:p w14:paraId="285B68F8" w14:textId="77777777" w:rsidR="00B149ED" w:rsidRPr="00A60245" w:rsidRDefault="00B149ED" w:rsidP="00B149ED">
      <w:pPr>
        <w:bidi/>
        <w:spacing w:after="55"/>
        <w:rPr>
          <w:rFonts w:ascii="Sakkal Majalla" w:hAnsi="Sakkal Majalla" w:cs="Sakkal Majalla"/>
          <w:sz w:val="28"/>
          <w:szCs w:val="28"/>
        </w:rPr>
      </w:pPr>
    </w:p>
    <w:p w14:paraId="55D6CA95"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2C26A3D3" w14:textId="77777777" w:rsidR="00B149ED" w:rsidRPr="00A60245" w:rsidRDefault="00B149ED" w:rsidP="00B149ED">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وتحدد هذه الاعتراضات الأربعة حجم الادعاء المشروع لهرم المصادر: أداة منهجية مبنية على معايير معلنة يستطيع غيري تطبيقها، مع إقرار صريح بمواضع القصور، وتمييز بين ما يمكن إثباته فلسفيًا لمن هو خارج المنظومة وما يُبنى عليه داخلها.</w:t>
      </w:r>
    </w:p>
    <w:p w14:paraId="7A2F00C3" w14:textId="77777777" w:rsidR="00B149ED" w:rsidRPr="00A60245" w:rsidRDefault="00B149ED" w:rsidP="00B149ED">
      <w:pPr>
        <w:pBdr>
          <w:bottom w:val="single" w:sz="6" w:space="0" w:color="D6E4F0"/>
        </w:pBdr>
        <w:bidi/>
        <w:spacing w:before="20" w:after="65"/>
        <w:rPr>
          <w:rFonts w:ascii="Sakkal Majalla" w:hAnsi="Sakkal Majalla" w:cs="Sakkal Majalla"/>
          <w:sz w:val="28"/>
          <w:szCs w:val="28"/>
        </w:rPr>
      </w:pPr>
    </w:p>
    <w:p w14:paraId="24CA9EF7" w14:textId="77777777" w:rsidR="00B149ED" w:rsidRPr="00A60245" w:rsidRDefault="00B149ED" w:rsidP="00B149ED">
      <w:pPr>
        <w:bidi/>
        <w:spacing w:after="55"/>
        <w:rPr>
          <w:rFonts w:ascii="Sakkal Majalla" w:hAnsi="Sakkal Majalla" w:cs="Sakkal Majalla"/>
          <w:sz w:val="28"/>
          <w:szCs w:val="28"/>
        </w:rPr>
      </w:pPr>
    </w:p>
    <w:p w14:paraId="0C4127B3" w14:textId="77777777" w:rsidR="00B149ED" w:rsidRPr="00A60245" w:rsidRDefault="00B149ED" w:rsidP="00B149ED">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 xml:space="preserve">هرم المصادر في جمل: مستوىً مستوى</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B149ED" w:rsidRPr="00A60245" w14:paraId="4EAF1206" w14:textId="77777777" w:rsidTr="00A011EA">
        <w:tc>
          <w:tcPr>
            <w:tcW w:w="1440" w:type="dxa"/>
            <w:shd w:val="clear" w:color="auto" w:fill="156082"/>
            <w:tcMar>
              <w:top w:w="72" w:type="dxa"/>
              <w:left w:w="100" w:type="dxa"/>
              <w:bottom w:w="72" w:type="dxa"/>
              <w:right w:w="100" w:type="dxa"/>
            </w:tcMar>
            <w:vAlign w:val="center"/>
          </w:tcPr>
          <w:p w14:paraId="3A9CB9D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المستوى</w:t>
            </w:r>
          </w:p>
        </w:tc>
        <w:tc>
          <w:tcPr>
            <w:tcW w:w="7200" w:type="dxa"/>
            <w:shd w:val="clear" w:color="auto" w:fill="156082"/>
            <w:tcMar>
              <w:top w:w="72" w:type="dxa"/>
              <w:left w:w="100" w:type="dxa"/>
              <w:bottom w:w="72" w:type="dxa"/>
              <w:right w:w="100" w:type="dxa"/>
            </w:tcMar>
            <w:vAlign w:val="center"/>
          </w:tcPr>
          <w:p w14:paraId="2991852F"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جملة التمييز المركزية</w:t>
            </w:r>
          </w:p>
        </w:tc>
      </w:tr>
      <w:tr w:rsidR="00B149ED" w:rsidRPr="00A60245" w14:paraId="7DCC080B" w14:textId="77777777" w:rsidTr="00A011EA">
        <w:tc>
          <w:tcPr>
            <w:tcW w:w="1440" w:type="dxa"/>
            <w:shd w:val="clear" w:color="auto" w:fill="EBF5FB"/>
            <w:tcMar>
              <w:top w:w="72" w:type="dxa"/>
              <w:left w:w="100" w:type="dxa"/>
              <w:bottom w:w="72" w:type="dxa"/>
              <w:right w:w="100" w:type="dxa"/>
            </w:tcMar>
            <w:vAlign w:val="center"/>
          </w:tcPr>
          <w:p w14:paraId="2D5341A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56082"/>
                <w:sz w:val="28"/>
                <w:szCs w:val="28"/>
                <w:rtl/>
              </w:rPr>
              <w:t xml:space="preserve">القرآن</w:t>
            </w:r>
          </w:p>
        </w:tc>
        <w:tc>
          <w:tcPr>
            <w:tcW w:w="7200" w:type="dxa"/>
            <w:shd w:val="clear" w:color="auto" w:fill="F5FAFF"/>
            <w:tcMar>
              <w:top w:w="72" w:type="dxa"/>
              <w:left w:w="100" w:type="dxa"/>
              <w:bottom w:w="72" w:type="dxa"/>
              <w:right w:w="100" w:type="dxa"/>
            </w:tcMar>
            <w:vAlign w:val="center"/>
          </w:tcPr>
          <w:p w14:paraId="6E0981F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السلطة المعرفية المطلقة، خارج فئة الشهادة البشرية القابلة للخطأ، وكل مستوى آخر يُرتَّب بالنسبة إليه.</w:t>
            </w:r>
          </w:p>
        </w:tc>
      </w:tr>
      <w:tr w:rsidR="00B149ED" w:rsidRPr="00A60245" w14:paraId="53C52BDF" w14:textId="77777777" w:rsidTr="00A011EA">
        <w:tc>
          <w:tcPr>
            <w:tcW w:w="1440" w:type="dxa"/>
            <w:shd w:val="clear" w:color="auto" w:fill="FFFFFF"/>
            <w:tcMar>
              <w:top w:w="72" w:type="dxa"/>
              <w:left w:w="100" w:type="dxa"/>
              <w:bottom w:w="72" w:type="dxa"/>
              <w:right w:w="100" w:type="dxa"/>
            </w:tcMar>
            <w:vAlign w:val="center"/>
          </w:tcPr>
          <w:p w14:paraId="175D7F1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56082"/>
                <w:sz w:val="28"/>
                <w:szCs w:val="28"/>
                <w:rtl/>
              </w:rPr>
              <w:t xml:space="preserve">السنة</w:t>
            </w:r>
          </w:p>
        </w:tc>
        <w:tc>
          <w:tcPr>
            <w:tcW w:w="7200" w:type="dxa"/>
            <w:shd w:val="clear" w:color="auto" w:fill="FFFFFF"/>
            <w:tcMar>
              <w:top w:w="72" w:type="dxa"/>
              <w:left w:w="100" w:type="dxa"/>
              <w:bottom w:w="72" w:type="dxa"/>
              <w:right w:w="100" w:type="dxa"/>
            </w:tcMar>
            <w:vAlign w:val="center"/>
          </w:tcPr>
          <w:p w14:paraId="78E06665"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تبيّن ما أُجمل ولا تنشئ مستقلة؛ بيان تأكيدي وتفسيري، بتشدد فوق ما تشترطه الأصول.</w:t>
            </w:r>
          </w:p>
        </w:tc>
      </w:tr>
      <w:tr w:rsidR="00B149ED" w:rsidRPr="00A60245" w14:paraId="33001A7D" w14:textId="77777777" w:rsidTr="00A011EA">
        <w:tc>
          <w:tcPr>
            <w:tcW w:w="1440" w:type="dxa"/>
            <w:shd w:val="clear" w:color="auto" w:fill="EBF5FB"/>
            <w:tcMar>
              <w:top w:w="72" w:type="dxa"/>
              <w:left w:w="100" w:type="dxa"/>
              <w:bottom w:w="72" w:type="dxa"/>
              <w:right w:w="100" w:type="dxa"/>
            </w:tcMar>
            <w:vAlign w:val="center"/>
          </w:tcPr>
          <w:p w14:paraId="4E30FB87"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56082"/>
                <w:sz w:val="28"/>
                <w:szCs w:val="28"/>
                <w:rtl/>
              </w:rPr>
              <w:t xml:space="preserve">اللغة (الأربعة)</w:t>
            </w:r>
          </w:p>
        </w:tc>
        <w:tc>
          <w:tcPr>
            <w:tcW w:w="7200" w:type="dxa"/>
            <w:shd w:val="clear" w:color="auto" w:fill="F5FAFF"/>
            <w:tcMar>
              <w:top w:w="72" w:type="dxa"/>
              <w:left w:w="100" w:type="dxa"/>
              <w:bottom w:w="72" w:type="dxa"/>
              <w:right w:w="100" w:type="dxa"/>
            </w:tcMar>
            <w:vAlign w:val="center"/>
          </w:tcPr>
          <w:p w14:paraId="482E4B00"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لكل معجم سؤاله: ابن فارس للجذر، والراغب للقرآنية، وابن منظور للاتساع، والزمخشري للبلاغة.</w:t>
            </w:r>
          </w:p>
        </w:tc>
      </w:tr>
      <w:tr w:rsidR="00B149ED" w:rsidRPr="00A60245" w14:paraId="3E599443" w14:textId="77777777" w:rsidTr="00A011EA">
        <w:tc>
          <w:tcPr>
            <w:tcW w:w="1440" w:type="dxa"/>
            <w:shd w:val="clear" w:color="auto" w:fill="FFFFFF"/>
            <w:tcMar>
              <w:top w:w="72" w:type="dxa"/>
              <w:left w:w="100" w:type="dxa"/>
              <w:bottom w:w="72" w:type="dxa"/>
              <w:right w:w="100" w:type="dxa"/>
            </w:tcMar>
            <w:vAlign w:val="center"/>
          </w:tcPr>
          <w:p w14:paraId="2604FEEF"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56082"/>
                <w:sz w:val="28"/>
                <w:szCs w:val="28"/>
                <w:rtl/>
              </w:rPr>
              <w:t xml:space="preserve">التفسير (الخمس)</w:t>
            </w:r>
          </w:p>
        </w:tc>
        <w:tc>
          <w:tcPr>
            <w:tcW w:w="7200" w:type="dxa"/>
            <w:shd w:val="clear" w:color="auto" w:fill="FFFFFF"/>
            <w:tcMar>
              <w:top w:w="72" w:type="dxa"/>
              <w:left w:w="100" w:type="dxa"/>
              <w:bottom w:w="72" w:type="dxa"/>
              <w:right w:w="100" w:type="dxa"/>
            </w:tcMar>
            <w:vAlign w:val="center"/>
          </w:tcPr>
          <w:p w14:paraId="28B4E247"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لكل مدرسة سلطة مشتقة في موضع تخصصها؛ فلا سلطة واحدة تغطي كل الأسئلة، ولا تساوي في الوزن.</w:t>
            </w:r>
          </w:p>
        </w:tc>
      </w:tr>
      <w:tr w:rsidR="00B149ED" w:rsidRPr="00A60245" w14:paraId="0A7FA8A5" w14:textId="77777777" w:rsidTr="00A011EA">
        <w:tc>
          <w:tcPr>
            <w:tcW w:w="1440" w:type="dxa"/>
            <w:shd w:val="clear" w:color="auto" w:fill="EBF5FB"/>
            <w:tcMar>
              <w:top w:w="72" w:type="dxa"/>
              <w:left w:w="100" w:type="dxa"/>
              <w:bottom w:w="72" w:type="dxa"/>
              <w:right w:w="100" w:type="dxa"/>
            </w:tcMar>
            <w:vAlign w:val="center"/>
          </w:tcPr>
          <w:p w14:paraId="0D99995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56082"/>
                <w:sz w:val="28"/>
                <w:szCs w:val="28"/>
                <w:rtl/>
              </w:rPr>
              <w:t xml:space="preserve">السيرة (الأربع)</w:t>
            </w:r>
          </w:p>
        </w:tc>
        <w:tc>
          <w:tcPr>
            <w:tcW w:w="7200" w:type="dxa"/>
            <w:shd w:val="clear" w:color="auto" w:fill="F5FAFF"/>
            <w:tcMar>
              <w:top w:w="72" w:type="dxa"/>
              <w:left w:w="100" w:type="dxa"/>
              <w:bottom w:w="72" w:type="dxa"/>
              <w:right w:w="100" w:type="dxa"/>
            </w:tcMar>
            <w:vAlign w:val="center"/>
          </w:tcPr>
          <w:p w14:paraId="589C97FD"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الثبوت التاريخي قبل التحليل؛ فلا يُستشهد بواقعة إداريًا قبل إثباتها بالمرتبة الأولى.</w:t>
            </w:r>
          </w:p>
        </w:tc>
      </w:tr>
      <w:tr w:rsidR="00B149ED" w:rsidRPr="00A60245" w14:paraId="4A4AB01D" w14:textId="77777777" w:rsidTr="00A011EA">
        <w:tc>
          <w:tcPr>
            <w:tcW w:w="1440" w:type="dxa"/>
            <w:shd w:val="clear" w:color="auto" w:fill="FFFFFF"/>
            <w:tcMar>
              <w:top w:w="72" w:type="dxa"/>
              <w:left w:w="100" w:type="dxa"/>
              <w:bottom w:w="72" w:type="dxa"/>
              <w:right w:w="100" w:type="dxa"/>
            </w:tcMar>
            <w:vAlign w:val="center"/>
          </w:tcPr>
          <w:p w14:paraId="5E756C59"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156082"/>
                <w:sz w:val="28"/>
                <w:szCs w:val="28"/>
                <w:rtl/>
              </w:rPr>
              <w:t xml:space="preserve">المبدأ الإداري</w:t>
            </w:r>
          </w:p>
        </w:tc>
        <w:tc>
          <w:tcPr>
            <w:tcW w:w="7200" w:type="dxa"/>
            <w:shd w:val="clear" w:color="auto" w:fill="FFFFFF"/>
            <w:tcMar>
              <w:top w:w="72" w:type="dxa"/>
              <w:left w:w="100" w:type="dxa"/>
              <w:bottom w:w="72" w:type="dxa"/>
              <w:right w:w="100" w:type="dxa"/>
            </w:tcMar>
            <w:vAlign w:val="center"/>
          </w:tcPr>
          <w:p w14:paraId="59CA8B3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اجتهاد بشري يخضع للفرضية الصفرية، يقبل التصحيح والمراجعة، ولا يحمل قداسة ما فوقه.</w:t>
            </w:r>
          </w:p>
        </w:tc>
      </w:tr>
    </w:tbl>
    <w:p w14:paraId="2E533628" w14:textId="77777777" w:rsidR="00B149ED" w:rsidRPr="00A60245" w:rsidRDefault="00B149ED" w:rsidP="00B149ED">
      <w:pPr>
        <w:bidi/>
        <w:spacing w:after="55"/>
        <w:rPr>
          <w:rFonts w:ascii="Sakkal Majalla" w:hAnsi="Sakkal Majalla" w:cs="Sakkal Majalla"/>
          <w:sz w:val="28"/>
          <w:szCs w:val="28"/>
        </w:rPr>
      </w:pPr>
    </w:p>
    <w:p w14:paraId="783D331F"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4.10  حدود الادعاء: ما يثبته هذا الفصل وما لا يثبته</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B149ED" w:rsidRPr="00A60245" w14:paraId="077710AC" w14:textId="77777777" w:rsidTr="00A011EA">
        <w:tc>
          <w:tcPr>
            <w:tcW w:w="4320" w:type="dxa"/>
            <w:shd w:val="clear" w:color="auto" w:fill="375623"/>
            <w:tcMar>
              <w:top w:w="72" w:type="dxa"/>
              <w:left w:w="100" w:type="dxa"/>
              <w:bottom w:w="72" w:type="dxa"/>
              <w:right w:w="100" w:type="dxa"/>
            </w:tcMar>
            <w:vAlign w:val="center"/>
          </w:tcPr>
          <w:p w14:paraId="5EDF16E2"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ما يُثبته هذا الفصل</w:t>
            </w:r>
          </w:p>
        </w:tc>
        <w:tc>
          <w:tcPr>
            <w:tcW w:w="4320" w:type="dxa"/>
            <w:shd w:val="clear" w:color="auto" w:fill="C00000"/>
            <w:tcMar>
              <w:top w:w="72" w:type="dxa"/>
              <w:left w:w="100" w:type="dxa"/>
              <w:bottom w:w="72" w:type="dxa"/>
              <w:right w:w="100" w:type="dxa"/>
            </w:tcMar>
            <w:vAlign w:val="center"/>
          </w:tcPr>
          <w:p w14:paraId="2F7DC839" w14:textId="77777777" w:rsidR="00B149ED" w:rsidRPr="00A60245" w:rsidRDefault="00B149ED" w:rsidP="00A011EA">
            <w:pPr>
              <w:bidi/>
              <w:spacing w:before="48" w:after="48"/>
              <w:rPr>
                <w:rFonts w:ascii="Sakkal Majalla" w:hAnsi="Sakkal Majalla" w:cs="Sakkal Majalla"/>
                <w:sz w:val="28"/>
                <w:szCs w:val="28"/>
              </w:rPr>
            </w:pPr>
            <w:r w:rsidRPr="00A60245">
              <w:rPr>
                <w:rFonts w:ascii="Sakkal Majalla" w:hAnsi="Sakkal Majalla" w:cs="Sakkal Majalla"/>
                <w:b/>
                <w:bCs/>
                <w:color w:val="FFFFFF"/>
                <w:sz w:val="28"/>
                <w:szCs w:val="28"/>
                <w:rtl/>
              </w:rPr>
              <w:t>ما لا يُثبته هذا الفصل</w:t>
            </w:r>
          </w:p>
        </w:tc>
      </w:tr>
      <w:tr w:rsidR="00B149ED" w:rsidRPr="00A60245" w14:paraId="1A17157D" w14:textId="77777777" w:rsidTr="00A011EA">
        <w:tc>
          <w:tcPr>
            <w:tcW w:w="4320" w:type="dxa"/>
            <w:shd w:val="clear" w:color="auto" w:fill="EBF5E0"/>
            <w:tcMar>
              <w:top w:w="72" w:type="dxa"/>
              <w:left w:w="100" w:type="dxa"/>
              <w:bottom w:w="72" w:type="dxa"/>
              <w:right w:w="100" w:type="dxa"/>
            </w:tcMar>
            <w:vAlign w:val="center"/>
          </w:tcPr>
          <w:p w14:paraId="7DC7416A"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هرم المصادر مبني على نظرية فلسفية معاصرة (السلطة المعرفية)، لا على تفضيل تعسفي.</w:t>
            </w:r>
          </w:p>
        </w:tc>
        <w:tc>
          <w:tcPr>
            <w:tcW w:w="4320" w:type="dxa"/>
            <w:shd w:val="clear" w:color="auto" w:fill="FFF0F0"/>
            <w:tcMar>
              <w:top w:w="72" w:type="dxa"/>
              <w:left w:w="100" w:type="dxa"/>
              <w:bottom w:w="72" w:type="dxa"/>
              <w:right w:w="100" w:type="dxa"/>
            </w:tcMar>
            <w:vAlign w:val="center"/>
          </w:tcPr>
          <w:p w14:paraId="602582C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يثبت أن اختيار المدارس الخمس هو الوحيد الممكن، بل الأنسب وفق المعايير المعلنة.</w:t>
            </w:r>
          </w:p>
        </w:tc>
      </w:tr>
      <w:tr w:rsidR="00B149ED" w:rsidRPr="00A60245" w14:paraId="26D64A6B" w14:textId="77777777" w:rsidTr="00A011EA">
        <w:tc>
          <w:tcPr>
            <w:tcW w:w="4320" w:type="dxa"/>
            <w:shd w:val="clear" w:color="auto" w:fill="FFFFFF"/>
            <w:tcMar>
              <w:top w:w="72" w:type="dxa"/>
              <w:left w:w="100" w:type="dxa"/>
              <w:bottom w:w="72" w:type="dxa"/>
              <w:right w:w="100" w:type="dxa"/>
            </w:tcMar>
            <w:vAlign w:val="center"/>
          </w:tcPr>
          <w:p w14:paraId="02A0264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لكون السنة بيانًا لا منشأً تأصيل أصولي صريح من الشافعي وابن القيم.</w:t>
            </w:r>
          </w:p>
        </w:tc>
        <w:tc>
          <w:tcPr>
            <w:tcW w:w="4320" w:type="dxa"/>
            <w:shd w:val="clear" w:color="auto" w:fill="FFFFFF"/>
            <w:tcMar>
              <w:top w:w="72" w:type="dxa"/>
              <w:left w:w="100" w:type="dxa"/>
              <w:bottom w:w="72" w:type="dxa"/>
              <w:right w:w="100" w:type="dxa"/>
            </w:tcMar>
            <w:vAlign w:val="center"/>
          </w:tcPr>
          <w:p w14:paraId="54E9C27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يثبت شمولًا كاملًا للمذاهب غير السنية، وهذا قصور معلن لا مخفي.</w:t>
            </w:r>
          </w:p>
        </w:tc>
      </w:tr>
      <w:tr w:rsidR="00B149ED" w:rsidRPr="00A60245" w14:paraId="14607F9F" w14:textId="77777777" w:rsidTr="00A011EA">
        <w:tc>
          <w:tcPr>
            <w:tcW w:w="4320" w:type="dxa"/>
            <w:shd w:val="clear" w:color="auto" w:fill="EBF5E0"/>
            <w:tcMar>
              <w:top w:w="72" w:type="dxa"/>
              <w:left w:w="100" w:type="dxa"/>
              <w:bottom w:w="72" w:type="dxa"/>
              <w:right w:w="100" w:type="dxa"/>
            </w:tcMar>
            <w:vAlign w:val="center"/>
          </w:tcPr>
          <w:p w14:paraId="05F1A6A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المدارس الخمس مختارة بمعايير صريحة، ولكلٍّ منها نقاط قوة وحدود معلنة.</w:t>
            </w:r>
          </w:p>
        </w:tc>
        <w:tc>
          <w:tcPr>
            <w:tcW w:w="4320" w:type="dxa"/>
            <w:shd w:val="clear" w:color="auto" w:fill="FFF0F0"/>
            <w:tcMar>
              <w:top w:w="72" w:type="dxa"/>
              <w:left w:w="100" w:type="dxa"/>
              <w:bottom w:w="72" w:type="dxa"/>
              <w:right w:w="100" w:type="dxa"/>
            </w:tcMar>
            <w:vAlign w:val="center"/>
          </w:tcPr>
          <w:p w14:paraId="22939FA7"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يثبت صحة المسلّمة القرآنية فلسفيًا لغير المسلم، بل يعلنها ويبني عليها.</w:t>
            </w:r>
          </w:p>
        </w:tc>
      </w:tr>
      <w:tr w:rsidR="00B149ED" w:rsidRPr="00A60245" w14:paraId="6C29EC03" w14:textId="77777777" w:rsidTr="00A011EA">
        <w:tc>
          <w:tcPr>
            <w:tcW w:w="4320" w:type="dxa"/>
            <w:shd w:val="clear" w:color="auto" w:fill="FFFFFF"/>
            <w:tcMar>
              <w:top w:w="72" w:type="dxa"/>
              <w:left w:w="100" w:type="dxa"/>
              <w:bottom w:w="72" w:type="dxa"/>
              <w:right w:w="100" w:type="dxa"/>
            </w:tcMar>
            <w:vAlign w:val="center"/>
          </w:tcPr>
          <w:p w14:paraId="550CA1D8"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مصادر السيرة مرتّبة بمعيار الثبوت التاريخي لا الشهرة الأدبية.</w:t>
            </w:r>
          </w:p>
        </w:tc>
        <w:tc>
          <w:tcPr>
            <w:tcW w:w="4320" w:type="dxa"/>
            <w:shd w:val="clear" w:color="auto" w:fill="FFFFFF"/>
            <w:tcMar>
              <w:top w:w="72" w:type="dxa"/>
              <w:left w:w="100" w:type="dxa"/>
              <w:bottom w:w="72" w:type="dxa"/>
              <w:right w:w="100" w:type="dxa"/>
            </w:tcMar>
            <w:vAlign w:val="center"/>
          </w:tcPr>
          <w:p w14:paraId="60A9C651"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يحل مشكلة الانتقائية في اختيار وقائع السيرة كليًا، ويكتفي بإجراء يخفّفها.</w:t>
            </w:r>
          </w:p>
        </w:tc>
      </w:tr>
      <w:tr w:rsidR="00B149ED" w:rsidRPr="00A60245" w14:paraId="6CD315F4" w14:textId="77777777" w:rsidTr="00A011EA">
        <w:tc>
          <w:tcPr>
            <w:tcW w:w="4320" w:type="dxa"/>
            <w:shd w:val="clear" w:color="auto" w:fill="EBF5E0"/>
            <w:tcMar>
              <w:top w:w="72" w:type="dxa"/>
              <w:left w:w="100" w:type="dxa"/>
              <w:bottom w:w="72" w:type="dxa"/>
              <w:right w:w="100" w:type="dxa"/>
            </w:tcMar>
            <w:vAlign w:val="center"/>
          </w:tcPr>
          <w:p w14:paraId="1F502016"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فيما دون القرآن، يتقاطع هرم المصادر مع نظريات الشهادة والخبرة في الإبستيمولوجيا المعاصرة.</w:t>
            </w:r>
          </w:p>
        </w:tc>
        <w:tc>
          <w:tcPr>
            <w:tcW w:w="4320" w:type="dxa"/>
            <w:shd w:val="clear" w:color="auto" w:fill="FFF0F0"/>
            <w:tcMar>
              <w:top w:w="72" w:type="dxa"/>
              <w:left w:w="100" w:type="dxa"/>
              <w:bottom w:w="72" w:type="dxa"/>
              <w:right w:w="100" w:type="dxa"/>
            </w:tcMar>
            <w:vAlign w:val="center"/>
          </w:tcPr>
          <w:p w14:paraId="5FEB9C2B"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لا يثبت أن هذا التقاطع يمنح الهرم صحة مستقلة؛ فهو قرينة على معقوليته لا برهان عليها.</w:t>
            </w:r>
          </w:p>
        </w:tc>
      </w:tr>
    </w:tbl>
    <w:p w14:paraId="78FE26E6" w14:textId="77777777" w:rsidR="00B149ED" w:rsidRPr="00A60245" w:rsidRDefault="00B149ED" w:rsidP="00B149ED">
      <w:pPr>
        <w:bidi/>
        <w:spacing w:after="55"/>
        <w:rPr>
          <w:rFonts w:ascii="Sakkal Majalla" w:hAnsi="Sakkal Majalla" w:cs="Sakkal Majalla"/>
          <w:sz w:val="28"/>
          <w:szCs w:val="28"/>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B149ED" w:rsidRPr="00A60245" w14:paraId="471A38CB" w14:textId="77777777" w:rsidTr="00A011EA">
        <w:tc>
          <w:tcPr>
            <w:tcW w:w="8640" w:type="dxa"/>
            <w:shd w:val="clear" w:color="auto" w:fill="7030A0"/>
            <w:tcMar>
              <w:top w:w="72" w:type="dxa"/>
              <w:left w:w="100" w:type="dxa"/>
              <w:bottom w:w="72" w:type="dxa"/>
              <w:right w:w="100" w:type="dxa"/>
            </w:tcMar>
            <w:vAlign w:val="center"/>
          </w:tcPr>
          <w:p w14:paraId="6E40CD8B" w14:textId="77777777" w:rsidR="00B149ED" w:rsidRPr="00A60245" w:rsidRDefault="00B149ED" w:rsidP="00A011EA">
            <w:pPr>
              <w:bidi/>
              <w:spacing w:before="48" w:after="48"/>
              <w:rPr>
                <w:rFonts w:ascii="Sakkal Majalla" w:hAnsi="Sakkal Majalla" w:cs="Sakkal Majalla"/>
                <w:sz w:val="28"/>
                <w:szCs w:val="28"/>
              </w:rPr>
            </w:pPr>
            <w:r>
              <w:rPr>
                <w:rFonts w:ascii="Segoe UI Emoji" w:hAnsi="Segoe UI Emoji" w:cs="Segoe UI Emoji" w:hint="cs"/>
                <w:b/>
                <w:bCs/>
                <w:color w:val="FFFFFF"/>
                <w:sz w:val="28"/>
                <w:szCs w:val="28"/>
                <w:rtl/>
              </w:rPr>
              <w:t xml:space="preserve">مرآة المدير: هل مصادرك في مكانها؟</w:t>
            </w:r>
          </w:p>
        </w:tc>
      </w:tr>
      <w:tr w:rsidR="00B149ED" w:rsidRPr="00A60245" w14:paraId="5F62FA01" w14:textId="77777777" w:rsidTr="00A011EA">
        <w:tc>
          <w:tcPr>
            <w:tcW w:w="8640" w:type="dxa"/>
            <w:shd w:val="clear" w:color="auto" w:fill="F2E8F8"/>
            <w:tcMar>
              <w:top w:w="72" w:type="dxa"/>
              <w:left w:w="100" w:type="dxa"/>
              <w:bottom w:w="72" w:type="dxa"/>
              <w:right w:w="100" w:type="dxa"/>
            </w:tcMar>
            <w:vAlign w:val="center"/>
          </w:tcPr>
          <w:p w14:paraId="5401AD5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تمرين واحد قبل الانتقال إلى الفصل الخامس:</w:t>
            </w:r>
          </w:p>
          <w:p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اختر استشهادًا دينيًا واحدًا يتكرر في مؤسستك: في سياسة مكتوبة، أو برنامج تدريبي، أو خطاب للإدارة العليا.</w:t>
            </w:r>
          </w:p>
          <w:p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ثم ضعه في هرم هذا الفصل: هل هو آية في سياقها؟ أم حديث ثابت الإسناد؟ أم قول مفسّر؟ أم واقعة من السيرة، وفي أي مرتبة؟ أم عبارة مشهورة لا يُعرف مصدرها؟</w:t>
            </w:r>
          </w:p>
          <w:p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color w:val="000000"/>
                <w:sz w:val="28"/>
                <w:szCs w:val="28"/>
                <w:rtl/>
              </w:rPr>
              <w:t xml:space="preserve">إن لم تستطع أن تحدد موضعه، فقد وجدت أول ما ينبغي مراجعته. وإن حددته، فاسأل: هل يؤدي في مؤسستك الوظيفة التي تسمح بها مرتبته، أم أكثر منها؟</w:t>
            </w:r>
          </w:p>
        </w:tc>
      </w:tr>
    </w:tbl>
    <w:p w14:paraId="731DE2AF" w14:textId="77777777" w:rsidR="00B149ED" w:rsidRPr="00A60245" w:rsidRDefault="00B149ED" w:rsidP="00B149ED">
      <w:pPr>
        <w:bidi/>
        <w:spacing w:after="55"/>
        <w:rPr>
          <w:rFonts w:ascii="Sakkal Majalla" w:hAnsi="Sakkal Majalla" w:cs="Sakkal Majalla"/>
          <w:sz w:val="28"/>
          <w:szCs w:val="28"/>
        </w:rPr>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B149ED" w:rsidRPr="00A60245" w14:paraId="6C7A9D01" w14:textId="77777777" w:rsidTr="00A011EA">
        <w:tc>
          <w:tcPr>
            <w:tcW w:w="8640" w:type="dxa"/>
            <w:shd w:val="clear" w:color="auto" w:fill="156082"/>
            <w:tcMar>
              <w:top w:w="72" w:type="dxa"/>
              <w:left w:w="100" w:type="dxa"/>
              <w:bottom w:w="72" w:type="dxa"/>
              <w:right w:w="100" w:type="dxa"/>
            </w:tcMar>
            <w:vAlign w:val="center"/>
          </w:tcPr>
          <w:p w14:paraId="53B89D62"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b/>
                <w:bCs/>
                <w:color w:val="FFFFFF"/>
                <w:sz w:val="28"/>
                <w:szCs w:val="28"/>
                <w:rtl/>
              </w:rPr>
              <w:t xml:space="preserve">خاتمة الفصل</w:t>
            </w:r>
          </w:p>
        </w:tc>
      </w:tr>
      <w:tr w:rsidR="00B149ED" w:rsidRPr="00A60245" w14:paraId="34464742" w14:textId="77777777" w:rsidTr="00A011EA">
        <w:tc>
          <w:tcPr>
            <w:tcW w:w="8640" w:type="dxa"/>
            <w:shd w:val="clear" w:color="auto" w:fill="EBF5FB"/>
            <w:tcMar>
              <w:top w:w="72" w:type="dxa"/>
              <w:left w:w="100" w:type="dxa"/>
              <w:bottom w:w="72" w:type="dxa"/>
              <w:right w:w="100" w:type="dxa"/>
            </w:tcMar>
            <w:vAlign w:val="center"/>
          </w:tcPr>
          <w:p w14:paraId="36E6187D" w14:textId="77777777" w:rsidR="00B149ED" w:rsidRPr="00A60245" w:rsidRDefault="00B149ED" w:rsidP="00A011EA">
            <w:pPr>
              <w:bidi/>
              <w:spacing w:before="48" w:after="48"/>
              <w:rPr>
                <w:rFonts w:ascii="Sakkal Majalla" w:hAnsi="Sakkal Majalla" w:cs="Sakkal Majalla"/>
                <w:sz w:val="28"/>
                <w:szCs w:val="28"/>
              </w:rPr>
            </w:pPr>
            <w:r>
              <w:rPr>
                <w:rFonts w:ascii="Sakkal Majalla" w:hAnsi="Sakkal Majalla" w:cs="Sakkal Majalla"/>
                <w:i/>
                <w:iCs/>
                <w:color w:val="000000"/>
                <w:sz w:val="28"/>
                <w:szCs w:val="28"/>
                <w:rtl/>
              </w:rPr>
              <w:t xml:space="preserve">يمنح هرم المصادر الباحث خريطة عمل، لكنه لا يعفيه من مسؤولية القراءة؛ فلا توجد قائمة مصادر تمنع الانتقاء إذا كان القارئ يبحث عن نتيجة محددة. والحماية الحقيقية أن يصرّح الباحث بمصدر كل خطوة، وأن يميّز بين الدليل والتفسير والاقتراح، وأن يترك للقارئ طريق العودة إلى الأصل وفحص النقل والترجيح. ومن ينهي هذا الفصل لا يملك بعد مبدأً إداريًا جديدًا، لكنه يملك معيارًا يميّز به، وهو يقرأ ما بعده، بين ادعاء مسنَد إلى مصدر في مرتبته الصحيحة، وادعاء يتوسّل بمصدر ضعيف أو خارج نطاق سلطته. أما الفصل الخامس فيبني على هذا الأساس سلم الاشتقاق السباعي، الذي يبيّن كيف ننتقل من الدلالة القرآنية (المستوى الأول في السلم) إلى التطبيق والاختبار (المستوى السابع)، خطوة خطوة، مع إعلان درجة الاجتهاد في كل انتقال.</w:t>
            </w:r>
          </w:p>
        </w:tc>
      </w:tr>
    </w:tbl>
    <w:p w14:paraId="07286C46" w14:textId="77777777" w:rsidR="00B149ED" w:rsidRPr="00A60245" w:rsidRDefault="00B149ED" w:rsidP="00B149ED">
      <w:pPr>
        <w:bidi/>
        <w:rPr>
          <w:rFonts w:ascii="Sakkal Majalla" w:hAnsi="Sakkal Majalla" w:cs="Sakkal Majalla"/>
          <w:sz w:val="28"/>
          <w:szCs w:val="28"/>
        </w:rPr>
      </w:pPr>
    </w:p>
    <w:p w14:paraId="3D43682B" w14:textId="77777777" w:rsidR="00B149ED" w:rsidRPr="00A60245" w:rsidRDefault="00B149ED" w:rsidP="00B149ED">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4.11  قائمة المراجع المذكورة في هذا الفصل</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  </w:t>
      </w:r>
      <w:r>
        <w:rPr>
          <w:rFonts w:ascii="Sakkal Majalla" w:hAnsi="Sakkal Majalla" w:cs="Sakkal Majalla"/>
          <w:sz w:val="28"/>
          <w:szCs w:val="28"/>
          <w:rtl/>
        </w:rPr>
        <w:t xml:space="preserve">Coady, C.A.J. (1992). Testimony: A Philosophical Study. Oxford University Press.</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  </w:t>
      </w:r>
      <w:r>
        <w:rPr>
          <w:rFonts w:ascii="Sakkal Majalla" w:hAnsi="Sakkal Majalla" w:cs="Sakkal Majalla"/>
          <w:sz w:val="28"/>
          <w:szCs w:val="28"/>
          <w:rtl/>
        </w:rPr>
        <w:t xml:space="preserve">Goldman, A. (1999). Knowledge in a Social World. Oxford University Press.</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3.  </w:t>
      </w:r>
      <w:r>
        <w:rPr>
          <w:rFonts w:ascii="Sakkal Majalla" w:hAnsi="Sakkal Majalla" w:cs="Sakkal Majalla"/>
          <w:sz w:val="28"/>
          <w:szCs w:val="28"/>
          <w:rtl/>
        </w:rPr>
        <w:t xml:space="preserve">Goldman, A. (2001). Experts: Which Ones Should You Trust? Philosophy and Phenomenological Research, 63(1), 85-110.</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4.  </w:t>
      </w:r>
      <w:r>
        <w:rPr>
          <w:rFonts w:ascii="Sakkal Majalla" w:hAnsi="Sakkal Majalla" w:cs="Sakkal Majalla"/>
          <w:sz w:val="28"/>
          <w:szCs w:val="28"/>
          <w:rtl/>
        </w:rPr>
        <w:t xml:space="preserve">McGrath, A. (2007). Christianity's Dangerous Idea: The Protestant Revolution. HarperOne.</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5.  </w:t>
      </w:r>
      <w:r>
        <w:rPr>
          <w:rFonts w:ascii="Sakkal Majalla" w:hAnsi="Sakkal Majalla" w:cs="Sakkal Majalla"/>
          <w:sz w:val="28"/>
          <w:szCs w:val="28"/>
          <w:rtl/>
        </w:rPr>
        <w:t xml:space="preserve">Neusner, J. (1994). Introduction to Rabbinic Literature. Doubleday.</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6.  </w:t>
      </w:r>
      <w:r>
        <w:rPr>
          <w:rFonts w:ascii="Sakkal Majalla" w:hAnsi="Sakkal Majalla" w:cs="Sakkal Majalla"/>
          <w:sz w:val="28"/>
          <w:szCs w:val="28"/>
          <w:rtl/>
        </w:rPr>
        <w:t xml:space="preserve">Second Vatican Council (1965). Dei Verbum (Dogmatic Constitution on Divine Revelation). §10.</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7.  </w:t>
      </w:r>
      <w:r>
        <w:rPr>
          <w:rFonts w:ascii="Sakkal Majalla" w:hAnsi="Sakkal Majalla" w:cs="Sakkal Majalla"/>
          <w:sz w:val="28"/>
          <w:szCs w:val="28"/>
          <w:rtl/>
        </w:rPr>
        <w:t xml:space="preserve">Zagzebski, L. (2012). Epistemic Authority: A Theory of Trust, Authority, and Autonomy in Belief. Oxford University Press.</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8.  </w:t>
      </w:r>
      <w:r>
        <w:rPr>
          <w:rFonts w:ascii="Sakkal Majalla" w:hAnsi="Sakkal Majalla" w:cs="Sakkal Majalla"/>
          <w:sz w:val="28"/>
          <w:szCs w:val="28"/>
          <w:rtl/>
        </w:rPr>
        <w:t xml:space="preserve">الأعظمي، محمد مصطفى (1978). دراسات في الحديث النبوي وتاريخ تدوينه. المكتب الإسلامي.</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9.  </w:t>
      </w:r>
      <w:r>
        <w:rPr>
          <w:rFonts w:ascii="Sakkal Majalla" w:hAnsi="Sakkal Majalla" w:cs="Sakkal Majalla"/>
          <w:sz w:val="28"/>
          <w:szCs w:val="28"/>
          <w:rtl/>
        </w:rPr>
        <w:t xml:space="preserve">ابن تيمية، أحمد بن عبد الحليم (ت.728ه). مقدمة في أصول التفسير. تحقيق عدنان زرزور، دار القرآن الكريم، الكويت، 1971.</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10.  </w:t>
      </w:r>
      <w:r>
        <w:rPr>
          <w:rFonts w:ascii="Sakkal Majalla" w:hAnsi="Sakkal Majalla" w:cs="Sakkal Majalla"/>
          <w:sz w:val="28"/>
          <w:szCs w:val="28"/>
          <w:rtl/>
        </w:rPr>
        <w:t xml:space="preserve">ابن فارس، أحمد (ت.395ه). مقاييس اللغة.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11.  </w:t>
      </w:r>
      <w:r>
        <w:rPr>
          <w:rFonts w:ascii="Sakkal Majalla" w:hAnsi="Sakkal Majalla" w:cs="Sakkal Majalla"/>
          <w:sz w:val="28"/>
          <w:szCs w:val="28"/>
          <w:rtl/>
        </w:rPr>
        <w:t xml:space="preserve">ابن قيم الجوزية، محمد بن أبي بكر (ت.751ه). إعلام الموقعين عن رب العالمين. تحقيق طه عبد الرؤوف سعد، دار الجيل، بيروت.</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12.  </w:t>
      </w:r>
      <w:r>
        <w:rPr>
          <w:rFonts w:ascii="Sakkal Majalla" w:hAnsi="Sakkal Majalla" w:cs="Sakkal Majalla"/>
          <w:sz w:val="28"/>
          <w:szCs w:val="28"/>
          <w:rtl/>
        </w:rPr>
        <w:t xml:space="preserve">ابن كثير، إسماعيل بن عمر (ت.774ه). تفسير القرآن العظيم. تحقيق سامي بن محمد سلامة، دار طيبة.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13.  </w:t>
      </w:r>
      <w:r>
        <w:rPr>
          <w:rFonts w:ascii="Sakkal Majalla" w:hAnsi="Sakkal Majalla" w:cs="Sakkal Majalla"/>
          <w:sz w:val="28"/>
          <w:szCs w:val="28"/>
          <w:rtl/>
        </w:rPr>
        <w:t xml:space="preserve">ابن ماجه، محمد بن يزيد (ت.273ه). سنن ابن ماجه.</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14.  </w:t>
      </w:r>
      <w:r>
        <w:rPr>
          <w:rFonts w:ascii="Sakkal Majalla" w:hAnsi="Sakkal Majalla" w:cs="Sakkal Majalla"/>
          <w:sz w:val="28"/>
          <w:szCs w:val="28"/>
          <w:rtl/>
        </w:rPr>
        <w:t xml:space="preserve">ابن منظور، محمد بن مكرم (ت.711ه). لسان العرب.</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15.  </w:t>
      </w:r>
      <w:r>
        <w:rPr>
          <w:rFonts w:ascii="Sakkal Majalla" w:hAnsi="Sakkal Majalla" w:cs="Sakkal Majalla"/>
          <w:sz w:val="28"/>
          <w:szCs w:val="28"/>
          <w:rtl/>
        </w:rPr>
        <w:t xml:space="preserve">ابن هشام، عبد الملك (ت.213ه). السيرة النبوية.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16.  </w:t>
      </w:r>
      <w:r>
        <w:rPr>
          <w:rFonts w:ascii="Sakkal Majalla" w:hAnsi="Sakkal Majalla" w:cs="Sakkal Majalla"/>
          <w:sz w:val="28"/>
          <w:szCs w:val="28"/>
          <w:rtl/>
        </w:rPr>
        <w:t xml:space="preserve">ابن عاشور، محمد الطاهر (ت.1393ه). التحرير والتنوير. الدار التونسية للنشر.</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17.  </w:t>
      </w:r>
      <w:r>
        <w:rPr>
          <w:rFonts w:ascii="Sakkal Majalla" w:hAnsi="Sakkal Majalla" w:cs="Sakkal Majalla"/>
          <w:sz w:val="28"/>
          <w:szCs w:val="28"/>
          <w:rtl/>
        </w:rPr>
        <w:t xml:space="preserve">البخاري، محمد بن إسماعيل (ت.256ه). صحيح البخاري.</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18.  </w:t>
      </w:r>
      <w:r>
        <w:rPr>
          <w:rFonts w:ascii="Sakkal Majalla" w:hAnsi="Sakkal Majalla" w:cs="Sakkal Majalla"/>
          <w:sz w:val="28"/>
          <w:szCs w:val="28"/>
          <w:rtl/>
        </w:rPr>
        <w:t xml:space="preserve">الراغب الأصفهاني، الحسين بن محمد (ت.502ه). المفردات في غريب القرآن.</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19.  </w:t>
      </w:r>
      <w:r>
        <w:rPr>
          <w:rFonts w:ascii="Sakkal Majalla" w:hAnsi="Sakkal Majalla" w:cs="Sakkal Majalla"/>
          <w:sz w:val="28"/>
          <w:szCs w:val="28"/>
          <w:rtl/>
        </w:rPr>
        <w:t xml:space="preserve">الرازي، فخر الدين (ت.606ه). مفاتيح الغيب (التفسير الكبير).</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20.  </w:t>
      </w:r>
      <w:r>
        <w:rPr>
          <w:rFonts w:ascii="Sakkal Majalla" w:hAnsi="Sakkal Majalla" w:cs="Sakkal Majalla"/>
          <w:sz w:val="28"/>
          <w:szCs w:val="28"/>
          <w:rtl/>
        </w:rPr>
        <w:t xml:space="preserve">الزركشي، بدر الدين (ت.794ه). البرهان في علوم القرآن.</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21.  </w:t>
      </w:r>
      <w:r>
        <w:rPr>
          <w:rFonts w:ascii="Sakkal Majalla" w:hAnsi="Sakkal Majalla" w:cs="Sakkal Majalla"/>
          <w:sz w:val="28"/>
          <w:szCs w:val="28"/>
          <w:rtl/>
        </w:rPr>
        <w:t xml:space="preserve">الزمخشري، محمود بن عمر (ت.538ه). الكشّاف عن حقائق التنزيل.</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22.  </w:t>
      </w:r>
      <w:r>
        <w:rPr>
          <w:rFonts w:ascii="Sakkal Majalla" w:hAnsi="Sakkal Majalla" w:cs="Sakkal Majalla"/>
          <w:sz w:val="28"/>
          <w:szCs w:val="28"/>
          <w:rtl/>
        </w:rPr>
        <w:t xml:space="preserve">الزحيلي، وهبة بن مصطفى (ت.2015م). التفسير المنير في العقيدة والشريعة والمنهج. دار الفكر المعاصر، بيروت.</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23.  </w:t>
      </w:r>
      <w:r>
        <w:rPr>
          <w:rFonts w:ascii="Sakkal Majalla" w:hAnsi="Sakkal Majalla" w:cs="Sakkal Majalla"/>
          <w:sz w:val="28"/>
          <w:szCs w:val="28"/>
          <w:rtl/>
        </w:rPr>
        <w:t xml:space="preserve">الشافعي، محمد بن إدريس (ت.204ه). الرسالة. تحقيق أحمد شاكر، مكتبة الحلبي، القاهرة، 1940.</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24.  </w:t>
      </w:r>
      <w:r>
        <w:rPr>
          <w:rFonts w:ascii="Sakkal Majalla" w:hAnsi="Sakkal Majalla" w:cs="Sakkal Majalla"/>
          <w:sz w:val="28"/>
          <w:szCs w:val="28"/>
          <w:rtl/>
        </w:rPr>
        <w:t xml:space="preserve">الطباطبائي، محمد حسين (ت.1981م). الميزان في تفسير القرآن. مؤسسة الأعلمي للمطبوعات، بيروت.</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25.  </w:t>
      </w:r>
      <w:r>
        <w:rPr>
          <w:rFonts w:ascii="Sakkal Majalla" w:hAnsi="Sakkal Majalla" w:cs="Sakkal Majalla"/>
          <w:sz w:val="28"/>
          <w:szCs w:val="28"/>
          <w:rtl/>
        </w:rPr>
        <w:t xml:space="preserve">الطبري، محمد بن جرير (ت.310ه). جامع البيان عن تأويل آي القرآن. تحقيق أحمد شاكر ومحمود شاكر، مؤسسة الرسالة.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26.  </w:t>
      </w:r>
      <w:r>
        <w:rPr>
          <w:rFonts w:ascii="Sakkal Majalla" w:hAnsi="Sakkal Majalla" w:cs="Sakkal Majalla"/>
          <w:sz w:val="28"/>
          <w:szCs w:val="28"/>
          <w:rtl/>
        </w:rPr>
        <w:t xml:space="preserve">الغزالي، محمد (ت.1996م). فقه السيرة.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27.  </w:t>
      </w:r>
      <w:r>
        <w:rPr>
          <w:rFonts w:ascii="Sakkal Majalla" w:hAnsi="Sakkal Majalla" w:cs="Sakkal Majalla"/>
          <w:sz w:val="28"/>
          <w:szCs w:val="28"/>
          <w:rtl/>
        </w:rPr>
        <w:t xml:space="preserve">الغضبان، منير محمد. الفقه الحركي للسيرة النبوية.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28.  </w:t>
      </w:r>
      <w:r>
        <w:rPr>
          <w:rFonts w:ascii="Sakkal Majalla" w:hAnsi="Sakkal Majalla" w:cs="Sakkal Majalla"/>
          <w:sz w:val="28"/>
          <w:szCs w:val="28"/>
          <w:rtl/>
        </w:rPr>
        <w:t xml:space="preserve">القرطبي، محمد بن أحمد (ت.671ه). الجامع لأحكام القرآن.</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29.  </w:t>
      </w:r>
      <w:r>
        <w:rPr>
          <w:rFonts w:ascii="Sakkal Majalla" w:hAnsi="Sakkal Majalla" w:cs="Sakkal Majalla"/>
          <w:sz w:val="28"/>
          <w:szCs w:val="28"/>
          <w:rtl/>
        </w:rPr>
        <w:t xml:space="preserve">المباركفوري، صفي الرحمن. الرحيق المختوم.</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30.  </w:t>
      </w:r>
      <w:r>
        <w:rPr>
          <w:rFonts w:ascii="Sakkal Majalla" w:hAnsi="Sakkal Majalla" w:cs="Sakkal Majalla"/>
          <w:sz w:val="28"/>
          <w:szCs w:val="28"/>
          <w:rtl/>
        </w:rPr>
        <w:t xml:space="preserve">السيوطي، جلال الدين (ت.911ه). الإتقان في علوم القرآن.</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31.  </w:t>
      </w:r>
      <w:r>
        <w:rPr>
          <w:rFonts w:ascii="Sakkal Majalla" w:hAnsi="Sakkal Majalla" w:cs="Sakkal Majalla"/>
          <w:sz w:val="28"/>
          <w:szCs w:val="28"/>
          <w:rtl/>
        </w:rPr>
        <w:t xml:space="preserve">سيد قطب، إبراهيم حسين (ت.1966م). في ظلال القرآن. دار الشروق، القاهرة.</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32.  </w:t>
      </w:r>
      <w:r>
        <w:rPr>
          <w:rFonts w:ascii="Sakkal Majalla" w:hAnsi="Sakkal Majalla" w:cs="Sakkal Majalla"/>
          <w:sz w:val="28"/>
          <w:szCs w:val="28"/>
          <w:rtl/>
        </w:rPr>
        <w:t xml:space="preserve">مسلم بن الحجاج (ت.261ه). صحيح مسلم.</w:t>
      </w:r>
    </w:p>
    <w:p w:rsidR="00B149ED" w:rsidRPr="00A60245" w:rsidRDefault="00B149ED" w:rsidP="00B149ED">
      <w:pPr>
        <w:bidi/>
        <w:spacing w:after="40"/>
        <w:ind w:right="380"/>
        <w:rPr>
          <w:rFonts w:ascii="Sakkal Majalla" w:hAnsi="Sakkal Majalla" w:cs="Sakkal Majalla"/>
          <w:sz w:val="28"/>
          <w:szCs w:val="28"/>
        </w:rPr>
      </w:pPr>
      <w:r>
        <w:rPr>
          <w:rFonts w:ascii="Sakkal Majalla" w:hAnsi="Sakkal Majalla" w:cs="Sakkal Majalla"/>
          <w:b/>
          <w:bCs/>
          <w:color w:val="156082"/>
          <w:sz w:val="28"/>
          <w:szCs w:val="28"/>
        </w:rPr>
        <w:t xml:space="preserve">33.  </w:t>
      </w:r>
      <w:r>
        <w:rPr>
          <w:rFonts w:ascii="Sakkal Majalla" w:hAnsi="Sakkal Majalla" w:cs="Sakkal Majalla"/>
          <w:sz w:val="28"/>
          <w:szCs w:val="28"/>
          <w:rtl/>
        </w:rPr>
        <w:t xml:space="preserve">مهدي رزق الله أحمد. السيرة النبوية في ضوء المصادر الأصلية.</w:t>
      </w:r>
    </w:p>
    <w:sectPr w:rsidR="00C949D6" w:rsidRPr="00C36587" w:rsidSect="00BE6BCD">
      <w:pgSz w:w="12240" w:h="15840"/>
      <w:pgMar w:top="630" w:right="1080" w:bottom="135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1"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2"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3"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4"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5"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6"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7"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8"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9"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0"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1"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2"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9"/>
    <w:lvlOverride w:ilvl="0">
      <w:startOverride w:val="1"/>
    </w:lvlOverride>
  </w:num>
  <w:num w:numId="2" w16cid:durableId="682323115">
    <w:abstractNumId w:val="7"/>
    <w:lvlOverride w:ilvl="0">
      <w:startOverride w:val="1"/>
    </w:lvlOverride>
  </w:num>
  <w:num w:numId="3" w16cid:durableId="763764577">
    <w:abstractNumId w:val="10"/>
    <w:lvlOverride w:ilvl="0">
      <w:startOverride w:val="1"/>
    </w:lvlOverride>
  </w:num>
  <w:num w:numId="4" w16cid:durableId="1562785960">
    <w:abstractNumId w:val="2"/>
    <w:lvlOverride w:ilvl="0">
      <w:startOverride w:val="1"/>
    </w:lvlOverride>
  </w:num>
  <w:num w:numId="5" w16cid:durableId="1376007064">
    <w:abstractNumId w:val="6"/>
    <w:lvlOverride w:ilvl="0">
      <w:startOverride w:val="1"/>
    </w:lvlOverride>
  </w:num>
  <w:num w:numId="6" w16cid:durableId="1437097433">
    <w:abstractNumId w:val="0"/>
    <w:lvlOverride w:ilvl="0">
      <w:startOverride w:val="1"/>
    </w:lvlOverride>
  </w:num>
  <w:num w:numId="7" w16cid:durableId="749078105">
    <w:abstractNumId w:val="11"/>
    <w:lvlOverride w:ilvl="0">
      <w:startOverride w:val="1"/>
    </w:lvlOverride>
  </w:num>
  <w:num w:numId="8" w16cid:durableId="668408163">
    <w:abstractNumId w:val="1"/>
    <w:lvlOverride w:ilvl="0">
      <w:startOverride w:val="1"/>
    </w:lvlOverride>
  </w:num>
  <w:num w:numId="9" w16cid:durableId="74402054">
    <w:abstractNumId w:val="8"/>
    <w:lvlOverride w:ilvl="0">
      <w:startOverride w:val="1"/>
    </w:lvlOverride>
  </w:num>
  <w:num w:numId="10" w16cid:durableId="1781485395">
    <w:abstractNumId w:val="3"/>
    <w:lvlOverride w:ilvl="0">
      <w:startOverride w:val="1"/>
    </w:lvlOverride>
  </w:num>
  <w:num w:numId="11" w16cid:durableId="454561871">
    <w:abstractNumId w:val="5"/>
    <w:lvlOverride w:ilvl="0">
      <w:startOverride w:val="1"/>
    </w:lvlOverride>
  </w:num>
  <w:num w:numId="12" w16cid:durableId="1742437734">
    <w:abstractNumId w:val="4"/>
    <w:lvlOverride w:ilvl="0">
      <w:startOverride w:val="1"/>
    </w:lvlOverride>
  </w:num>
  <w:num w:numId="13" w16cid:durableId="46465383">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82486"/>
    <w:rsid w:val="002F33B9"/>
    <w:rsid w:val="003654A2"/>
    <w:rsid w:val="004839FF"/>
    <w:rsid w:val="004A47C0"/>
    <w:rsid w:val="004C7A72"/>
    <w:rsid w:val="004E60A9"/>
    <w:rsid w:val="004E60FC"/>
    <w:rsid w:val="005452F2"/>
    <w:rsid w:val="00551706"/>
    <w:rsid w:val="0056341F"/>
    <w:rsid w:val="00571792"/>
    <w:rsid w:val="005C0A79"/>
    <w:rsid w:val="006075F6"/>
    <w:rsid w:val="006355B5"/>
    <w:rsid w:val="00675027"/>
    <w:rsid w:val="006B3FA3"/>
    <w:rsid w:val="008214E4"/>
    <w:rsid w:val="008C1929"/>
    <w:rsid w:val="00960F11"/>
    <w:rsid w:val="009A4422"/>
    <w:rsid w:val="00A44861"/>
    <w:rsid w:val="00B149ED"/>
    <w:rsid w:val="00BE6BCD"/>
    <w:rsid w:val="00BF2B0D"/>
    <w:rsid w:val="00C06B9E"/>
    <w:rsid w:val="00C15A11"/>
    <w:rsid w:val="00C36587"/>
    <w:rsid w:val="00C949D6"/>
    <w:rsid w:val="00CA2DF1"/>
    <w:rsid w:val="00D42044"/>
    <w:rsid w:val="00D8298A"/>
    <w:rsid w:val="00DC0765"/>
    <w:rsid w:val="00DE40B6"/>
    <w:rsid w:val="00E65BBF"/>
    <w:rsid w:val="00E9139F"/>
    <w:rsid w:val="00F1022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F4D05"/>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224</TotalTime>
  <Pages>361</Pages>
  <Words>96872</Words>
  <Characters>552171</Characters>
  <Application>Microsoft Office Word</Application>
  <DocSecurity>0</DocSecurity>
  <Lines>4601</Lines>
  <Paragraphs>1295</Paragraphs>
  <ScaleCrop>false</ScaleCrop>
  <Company/>
  <LinksUpToDate>false</LinksUpToDate>
  <CharactersWithSpaces>647748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35</cp:revision>
  <dcterms:created xsi:type="dcterms:W3CDTF">2026-09-19T16:26:00Z</dcterms:created>
  <dcterms:modified xsi:type="dcterms:W3CDTF">2026-09-23T05:00:00Z</dcterms:modified>
</cp:coreProperties>
</file>