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120" w:line="340"/>
      </w:pPr>
      <w:r>
        <w:rPr>
          <w:rFonts w:ascii="Traditional Arabic" w:cs="Traditional Arabic" w:eastAsia="Traditional Arabic" w:hAnsi="Traditional Arabic"/>
          <w:b/>
          <w:bCs/>
          <w:i w:val="false"/>
          <w:iCs w:val="false"/>
          <w:color w:val="8B6914"/>
          <w:sz w:val="28"/>
          <w:szCs w:val="28"/>
        </w:rPr>
        <w:t xml:space="preserve">موسوعة الإدارة القرآنية</w:t>
      </w:r>
    </w:p>
    <w:p>
      <w:pPr>
        <w:bidi/>
        <w:spacing w:after="120" w:before="120" w:line="340"/>
      </w:pPr>
      <w:r>
        <w:rPr>
          <w:rFonts w:ascii="Traditional Arabic" w:cs="Traditional Arabic" w:eastAsia="Traditional Arabic" w:hAnsi="Traditional Arabic"/>
          <w:b/>
          <w:bCs/>
          <w:i w:val="false"/>
          <w:iCs w:val="false"/>
          <w:color w:val="1A5C2A"/>
          <w:sz w:val="28"/>
          <w:szCs w:val="28"/>
        </w:rPr>
        <w:t xml:space="preserve">الكتاب الثالث</w:t>
      </w:r>
    </w:p>
    <w:p>
      <w:pPr>
        <w:bidi/>
        <w:spacing w:after="120" w:before="120" w:line="340"/>
      </w:pPr>
      <w:r>
        <w:rPr>
          <w:rFonts w:ascii="Traditional Arabic" w:cs="Traditional Arabic" w:eastAsia="Traditional Arabic" w:hAnsi="Traditional Arabic"/>
          <w:b/>
          <w:bCs/>
          <w:i w:val="false"/>
          <w:iCs w:val="false"/>
          <w:color w:val="1A5C2A"/>
          <w:sz w:val="28"/>
          <w:szCs w:val="28"/>
        </w:rPr>
        <w:t xml:space="preserve">الدليل العملي المرافق</w:t>
      </w:r>
    </w:p>
    <w:p>
      <w:pPr>
        <w:bidi/>
        <w:spacing w:after="120" w:before="120" w:line="340"/>
      </w:pPr>
      <w:r>
        <w:rPr>
          <w:rFonts w:ascii="Traditional Arabic" w:cs="Traditional Arabic" w:eastAsia="Traditional Arabic" w:hAnsi="Traditional Arabic"/>
          <w:b w:val="false"/>
          <w:bCs w:val="false"/>
          <w:i w:val="false"/>
          <w:iCs w:val="false"/>
          <w:color w:val="2E7D42"/>
          <w:sz w:val="28"/>
          <w:szCs w:val="28"/>
        </w:rPr>
        <w:t xml:space="preserve">م. وليد عبدالله حواله</w:t>
      </w:r>
    </w:p>
    <w:p>
      <w:pPr>
        <w:bidi/>
        <w:spacing w:after="120" w:before="120" w:line="340"/>
      </w:pPr>
      <w:r>
        <w:rPr>
          <w:rFonts w:ascii="Traditional Arabic" w:cs="Traditional Arabic" w:eastAsia="Traditional Arabic" w:hAnsi="Traditional Arabic"/>
          <w:b w:val="false"/>
          <w:bCs w:val="false"/>
          <w:i w:val="false"/>
          <w:iCs w:val="false"/>
          <w:color w:val="1A1A1A"/>
          <w:sz w:val="28"/>
          <w:szCs w:val="28"/>
        </w:rPr>
        <w:t xml:space="preserve">ما الذي ينبغي أن يقدر عليه القارئ حين يفرغ من كل فصل من فصول الكتاب الثالث؟ إنّ الجواب في مخرجات التعلم التي فُصلت عن الكتاب حين اختُصر، وقد جُمعت في هذا الدليل جدولًا لكل فصل، ولكل مخرج رمز يدل على فصله، ومستوى من تصنيف بلوم المعدّل، وهي: L1 معرفة، وL2 فهم، وL3 تطبيق، وL4 تحليل، وL5 تقويم، وL6 تركيب؛ أما الأرقام بين القوسين فهي أقسام الكتاب التي يقوم عليها المخرج. يُقرأ الدليل مع الكتاب، ولا يغني عنه.</w:t>
      </w:r>
    </w:p>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مخرجات التعلم: الفصل الأول</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1"/>
        <w:gridCol w:w="5360"/>
        <w:gridCol w:w="1787"/>
      </w:tblGrid>
      <w:tr>
        <w:tc>
          <w:tcPr>
            <w:tcW w:type="dxa" w:w="178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53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2501"/>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178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1.1</w:t>
            </w:r>
          </w:p>
        </w:tc>
        <w:tc>
          <w:tcPr>
            <w:tcW w:type="dxa" w:w="5360"/>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يفرّق بين معايير النجاح الغربية ومعاييره القرآنية في قطاع بعينه (1.2–1.3)</w:t>
            </w:r>
          </w:p>
        </w:tc>
        <w:tc>
          <w:tcPr>
            <w:tcW w:type="dxa" w:w="25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178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1.2</w:t>
            </w:r>
          </w:p>
        </w:tc>
        <w:tc>
          <w:tcPr>
            <w:tcW w:type="dxa" w:w="5360"/>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يطبّق بطاقة الفحص الأولي للاستعداد على مؤسسة قطاعية، ويحدد فجواتها (1.6)</w:t>
            </w:r>
          </w:p>
        </w:tc>
        <w:tc>
          <w:tcPr>
            <w:tcW w:type="dxa" w:w="25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r>
        <w:tc>
          <w:tcPr>
            <w:tcW w:type="dxa" w:w="178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1.3</w:t>
            </w:r>
          </w:p>
        </w:tc>
        <w:tc>
          <w:tcPr>
            <w:tcW w:type="dxa" w:w="5360"/>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يقيّم قرارات قطاعية بسلسلة فحص القرار القطاعي (الأداة الرابعة)</w:t>
            </w:r>
          </w:p>
        </w:tc>
        <w:tc>
          <w:tcPr>
            <w:tcW w:type="dxa" w:w="25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1787"/>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1.4</w:t>
            </w:r>
          </w:p>
        </w:tc>
        <w:tc>
          <w:tcPr>
            <w:tcW w:type="dxa" w:w="5360"/>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يصوغ رسالة مؤسسية لقطاعه على العناصر الثلاثة لتعريف القطاع قرآنيًا (1.3)</w:t>
            </w:r>
          </w:p>
        </w:tc>
        <w:tc>
          <w:tcPr>
            <w:tcW w:type="dxa" w:w="2501"/>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r>
        <w:tc>
          <w:tcPr>
            <w:tcW w:type="dxa" w:w="1787"/>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1.5</w:t>
            </w:r>
          </w:p>
        </w:tc>
        <w:tc>
          <w:tcPr>
            <w:tcW w:type="dxa" w:w="5360"/>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يحمل آية واحدة على سلم الاشتقاق القطاعي، صاعدًا بها حتى مستوى بناء الأداة (1.8)</w:t>
            </w:r>
          </w:p>
        </w:tc>
        <w:tc>
          <w:tcPr>
            <w:tcW w:type="dxa" w:w="2501"/>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مخرجات التعلم: الفصل الثاني</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
        <w:gridCol w:w="6098"/>
        <w:gridCol w:w="2610"/>
      </w:tblGrid>
      <w:tr>
        <w:tc>
          <w:tcPr>
            <w:tcW w:type="dxa" w:w="9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609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261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2.1</w:t>
            </w:r>
          </w:p>
        </w:tc>
        <w:tc>
          <w:tcPr>
            <w:tcW w:type="dxa" w:w="609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يشرح المبدأ القرآني لقياس النضج المؤسسي انطلاقًا من آية الحشر: ١٨ (2.1)</w:t>
            </w:r>
          </w:p>
        </w:tc>
        <w:tc>
          <w:tcPr>
            <w:tcW w:type="dxa" w:w="26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2.2</w:t>
            </w:r>
          </w:p>
        </w:tc>
        <w:tc>
          <w:tcPr>
            <w:tcW w:type="dxa" w:w="609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يطبّق مقياس QSRM على مؤسسة قطاعية حقيقية أو افتراضية (2.3)</w:t>
            </w:r>
          </w:p>
        </w:tc>
        <w:tc>
          <w:tcPr>
            <w:tcW w:type="dxa" w:w="26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2.3</w:t>
            </w:r>
          </w:p>
        </w:tc>
        <w:tc>
          <w:tcPr>
            <w:tcW w:type="dxa" w:w="609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يقرأ نتائج المحاور الخمسة، ويرتّب منها أولويات التطوير</w:t>
            </w:r>
          </w:p>
        </w:tc>
        <w:tc>
          <w:tcPr>
            <w:tcW w:type="dxa" w:w="26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2.4</w:t>
            </w:r>
          </w:p>
        </w:tc>
        <w:tc>
          <w:tcPr>
            <w:tcW w:type="dxa" w:w="609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يرسم خارطة انتقال تناسب مستوى نضج المؤسسة (2.4)</w:t>
            </w:r>
          </w:p>
        </w:tc>
        <w:tc>
          <w:tcPr>
            <w:tcW w:type="dxa" w:w="26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2.5</w:t>
            </w:r>
          </w:p>
        </w:tc>
        <w:tc>
          <w:tcPr>
            <w:tcW w:type="dxa" w:w="609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يوازن بين QSRM وأدوات الجودة الدولية، ويبيّن ما بينها من فروق جوهرية</w:t>
            </w:r>
          </w:p>
        </w:tc>
        <w:tc>
          <w:tcPr>
            <w:tcW w:type="dxa" w:w="26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2.6</w:t>
            </w:r>
          </w:p>
        </w:tc>
        <w:tc>
          <w:tcPr>
            <w:tcW w:type="dxa" w:w="609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يتتبع الاستنباط من آية الحشر: ١٨ إلى أداة القياس خطوةً خطوة (2.2)</w:t>
            </w:r>
          </w:p>
        </w:tc>
        <w:tc>
          <w:tcPr>
            <w:tcW w:type="dxa" w:w="26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2.7</w:t>
            </w:r>
          </w:p>
        </w:tc>
        <w:tc>
          <w:tcPr>
            <w:tcW w:type="dxa" w:w="609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يعدّ تقرير تشخيص مؤسسي متكاملًا بمنهجية QSRM (2.5)</w:t>
            </w:r>
          </w:p>
        </w:tc>
        <w:tc>
          <w:tcPr>
            <w:tcW w:type="dxa" w:w="26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مخرجات التعلم: الفصل الثالث</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0"/>
        <w:gridCol w:w="6098"/>
        <w:gridCol w:w="2610"/>
      </w:tblGrid>
      <w:tr>
        <w:tc>
          <w:tcPr>
            <w:tcW w:type="dxa" w:w="94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609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261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3.1</w:t>
            </w:r>
          </w:p>
        </w:tc>
        <w:tc>
          <w:tcPr>
            <w:tcW w:type="dxa" w:w="609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يستنبط فلسفة التعليم القرآني من آية البقرة: ٣١ عبر سلم الاشتقاق (3.1)</w:t>
            </w:r>
          </w:p>
        </w:tc>
        <w:tc>
          <w:tcPr>
            <w:tcW w:type="dxa" w:w="26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وتحليل L2–L4</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3.2</w:t>
            </w:r>
          </w:p>
        </w:tc>
        <w:tc>
          <w:tcPr>
            <w:tcW w:type="dxa" w:w="609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يقارن نماذج التعليم في التاريخ الإسلامي بنظيراتها المعاصرة (3.3)</w:t>
            </w:r>
          </w:p>
        </w:tc>
        <w:tc>
          <w:tcPr>
            <w:tcW w:type="dxa" w:w="26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3.3</w:t>
            </w:r>
          </w:p>
        </w:tc>
        <w:tc>
          <w:tcPr>
            <w:tcW w:type="dxa" w:w="609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يشخّص مؤسسته التعليمية بمكوّنات QMF الثمانية ومقياس QSRM (3.4)</w:t>
            </w:r>
          </w:p>
        </w:tc>
        <w:tc>
          <w:tcPr>
            <w:tcW w:type="dxa" w:w="26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3.4</w:t>
            </w:r>
          </w:p>
        </w:tc>
        <w:tc>
          <w:tcPr>
            <w:tcW w:type="dxa" w:w="609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يصمم مسار تطوير ينقل مؤسسة تعليمية نحو النموذج القرآني</w:t>
            </w:r>
          </w:p>
        </w:tc>
        <w:tc>
          <w:tcPr>
            <w:tcW w:type="dxa" w:w="26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3.5</w:t>
            </w:r>
          </w:p>
        </w:tc>
        <w:tc>
          <w:tcPr>
            <w:tcW w:type="dxa" w:w="609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يطوّر أدوات تقييم تقيس الاستخلاف والأمانة إلى جانب المعرفة (3.8)</w:t>
            </w:r>
          </w:p>
        </w:tc>
        <w:tc>
          <w:tcPr>
            <w:tcW w:type="dxa" w:w="26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3.6</w:t>
            </w:r>
          </w:p>
        </w:tc>
        <w:tc>
          <w:tcPr>
            <w:tcW w:type="dxa" w:w="609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يحلل أسباب العثرات التي تعترض المؤسسة التعليمية (3.5)</w:t>
            </w:r>
          </w:p>
        </w:tc>
        <w:tc>
          <w:tcPr>
            <w:tcW w:type="dxa" w:w="26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94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3.7</w:t>
            </w:r>
          </w:p>
        </w:tc>
        <w:tc>
          <w:tcPr>
            <w:tcW w:type="dxa" w:w="609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يقيّم أثر المؤسسة التعليمية القرآنية بمؤشرات الاستخلاف</w:t>
            </w:r>
          </w:p>
        </w:tc>
        <w:tc>
          <w:tcPr>
            <w:tcW w:type="dxa" w:w="261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94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3.8</w:t>
            </w:r>
          </w:p>
        </w:tc>
        <w:tc>
          <w:tcPr>
            <w:tcW w:type="dxa" w:w="609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يعدّ ميثاقًا تعليميًا يربط الغاية بالأداء والمحاسبة (3.9)</w:t>
            </w:r>
          </w:p>
        </w:tc>
        <w:tc>
          <w:tcPr>
            <w:tcW w:type="dxa" w:w="261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مخرجات التعلم: الفصل الرابع</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8"/>
        <w:gridCol w:w="3627"/>
        <w:gridCol w:w="1269"/>
        <w:gridCol w:w="3664"/>
      </w:tblGrid>
      <w:tr>
        <w:tc>
          <w:tcPr>
            <w:tcW w:type="dxa" w:w="108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362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126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c>
          <w:tcPr>
            <w:tcW w:type="dxa" w:w="3663"/>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دليل الإتقان</w:t>
            </w:r>
          </w:p>
        </w:tc>
      </w:tr>
      <w:tr>
        <w:tc>
          <w:tcPr>
            <w:tcW w:type="dxa" w:w="10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4.1</w:t>
            </w:r>
          </w:p>
        </w:tc>
        <w:tc>
          <w:tcPr>
            <w:tcW w:type="dxa" w:w="3627"/>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يعرّف مثلث التعليم القرآني (المعلّم والطالب والمنهج)، ويبيّن العلاقة بين أضلاعه</w:t>
            </w:r>
          </w:p>
        </w:tc>
        <w:tc>
          <w:tcPr>
            <w:tcW w:type="dxa" w:w="126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معرفة وفهم L1–L2</w:t>
            </w:r>
          </w:p>
        </w:tc>
        <w:tc>
          <w:tcPr>
            <w:tcW w:type="dxa" w:w="3663"/>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يرسم المثلث ويشرح كل رأس وعلاقته بغيره</w:t>
            </w:r>
          </w:p>
        </w:tc>
      </w:tr>
      <w:tr>
        <w:tc>
          <w:tcPr>
            <w:tcW w:type="dxa" w:w="10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4.2</w:t>
            </w:r>
          </w:p>
        </w:tc>
        <w:tc>
          <w:tcPr>
            <w:tcW w:type="dxa" w:w="3627"/>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يحلل آية الجمعة: ٢ لغويًا ودلاليًا، ويضع نتائجها على سلم الاشتقاق (4.2)</w:t>
            </w:r>
          </w:p>
        </w:tc>
        <w:tc>
          <w:tcPr>
            <w:tcW w:type="dxa" w:w="126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c>
          <w:tcPr>
            <w:tcW w:type="dxa" w:w="3663"/>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ورقة تحليلية تربط نتائج الآية بمستويات السلم</w:t>
            </w:r>
          </w:p>
        </w:tc>
      </w:tr>
      <w:tr>
        <w:tc>
          <w:tcPr>
            <w:tcW w:type="dxa" w:w="10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4.3</w:t>
            </w:r>
          </w:p>
        </w:tc>
        <w:tc>
          <w:tcPr>
            <w:tcW w:type="dxa" w:w="3627"/>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يميّز بين المعلّم الموظف والمعلّم المستخلَف، ويحدد أثر كلٍّ منهما في الطالب والمنهج (4.3)</w:t>
            </w:r>
          </w:p>
        </w:tc>
        <w:tc>
          <w:tcPr>
            <w:tcW w:type="dxa" w:w="126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c>
          <w:tcPr>
            <w:tcW w:type="dxa" w:w="366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دراسة حالة تقارن بين النموذجين</w:t>
            </w:r>
          </w:p>
        </w:tc>
      </w:tr>
      <w:tr>
        <w:tc>
          <w:tcPr>
            <w:tcW w:type="dxa" w:w="10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4.4</w:t>
            </w:r>
          </w:p>
        </w:tc>
        <w:tc>
          <w:tcPr>
            <w:tcW w:type="dxa" w:w="3627"/>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يصمم برنامجًا مبسّطًا لتطوير معلّم وفق بروتوكول المراحل الخمس (4.4)</w:t>
            </w:r>
          </w:p>
        </w:tc>
        <w:tc>
          <w:tcPr>
            <w:tcW w:type="dxa" w:w="126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وتركيب L3–L6</w:t>
            </w:r>
          </w:p>
        </w:tc>
        <w:tc>
          <w:tcPr>
            <w:tcW w:type="dxa" w:w="366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مسودة برنامج لمعلّم افتراضي</w:t>
            </w:r>
          </w:p>
        </w:tc>
      </w:tr>
      <w:tr>
        <w:tc>
          <w:tcPr>
            <w:tcW w:type="dxa" w:w="10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4.5</w:t>
            </w:r>
          </w:p>
        </w:tc>
        <w:tc>
          <w:tcPr>
            <w:tcW w:type="dxa" w:w="3627"/>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يفحص منهجًا قائمًا بالمعايير الأربعة، ويحدد ثغراته (4.6)</w:t>
            </w:r>
          </w:p>
        </w:tc>
        <w:tc>
          <w:tcPr>
            <w:tcW w:type="dxa" w:w="126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وتقويم L3–L5</w:t>
            </w:r>
          </w:p>
        </w:tc>
        <w:tc>
          <w:tcPr>
            <w:tcW w:type="dxa" w:w="3663"/>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تقرير تشخيصي لمنهج حقيقي أو لنموذج محاكاة</w:t>
            </w:r>
          </w:p>
        </w:tc>
      </w:tr>
      <w:tr>
        <w:tc>
          <w:tcPr>
            <w:tcW w:type="dxa" w:w="10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4.6</w:t>
            </w:r>
          </w:p>
        </w:tc>
        <w:tc>
          <w:tcPr>
            <w:tcW w:type="dxa" w:w="3627"/>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يضع خطة استجابة لطالب ضعيف بأداة التشخيص الأكاديمي (الأداة الثالثة)</w:t>
            </w:r>
          </w:p>
        </w:tc>
        <w:tc>
          <w:tcPr>
            <w:tcW w:type="dxa" w:w="126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c>
          <w:tcPr>
            <w:tcW w:type="dxa" w:w="3663"/>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خطة مكتوبة: تشخيص فتدخّل فمتابعة</w:t>
            </w:r>
          </w:p>
        </w:tc>
      </w:tr>
      <w:tr>
        <w:tc>
          <w:tcPr>
            <w:tcW w:type="dxa" w:w="108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4.7</w:t>
            </w:r>
          </w:p>
        </w:tc>
        <w:tc>
          <w:tcPr>
            <w:tcW w:type="dxa" w:w="3627"/>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يقيس التناسق المؤسسي في مؤسسة تعليمية بمؤشر التناسق المؤسسي (الأداة العاشرة)</w:t>
            </w:r>
          </w:p>
        </w:tc>
        <w:tc>
          <w:tcPr>
            <w:tcW w:type="dxa" w:w="1269"/>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c>
          <w:tcPr>
            <w:tcW w:type="dxa" w:w="3663"/>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تقرير تناسق لمؤسسة معروفة أو افتراضية</w:t>
            </w:r>
          </w:p>
        </w:tc>
      </w:tr>
      <w:tr>
        <w:tc>
          <w:tcPr>
            <w:tcW w:type="dxa" w:w="108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4.8</w:t>
            </w:r>
          </w:p>
        </w:tc>
        <w:tc>
          <w:tcPr>
            <w:tcW w:type="dxa" w:w="3627"/>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يبني خارطة تحوّل لمؤسسة تعليمية تريد الانتقال إلى مثلث الاستخلاف (4.9)</w:t>
            </w:r>
          </w:p>
        </w:tc>
        <w:tc>
          <w:tcPr>
            <w:tcW w:type="dxa" w:w="1269"/>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c>
          <w:tcPr>
            <w:tcW w:type="dxa" w:w="3663"/>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خارطة شاملة بمؤشراتها وجدولها الزمني</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مخرجات التعلم: الفصل الخامس</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6"/>
        <w:gridCol w:w="6578"/>
        <w:gridCol w:w="1754"/>
      </w:tblGrid>
      <w:tr>
        <w:tc>
          <w:tcPr>
            <w:tcW w:type="dxa" w:w="13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657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175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5.1</w:t>
            </w:r>
          </w:p>
        </w:tc>
        <w:tc>
          <w:tcPr>
            <w:tcW w:type="dxa" w:w="657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يقوّم الأطر التقليدية لقياس التعلم بالمعايير القرآنية</w:t>
            </w:r>
          </w:p>
        </w:tc>
        <w:tc>
          <w:tcPr>
            <w:tcW w:type="dxa" w:w="17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5.2</w:t>
            </w:r>
          </w:p>
        </w:tc>
        <w:tc>
          <w:tcPr>
            <w:tcW w:type="dxa" w:w="657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يحلل الفجوة بين ما تقيسه الأنظمة الحالية والمقاصد التعليمية القرآنية</w:t>
            </w:r>
          </w:p>
        </w:tc>
        <w:tc>
          <w:tcPr>
            <w:tcW w:type="dxa" w:w="17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5.3</w:t>
            </w:r>
          </w:p>
        </w:tc>
        <w:tc>
          <w:tcPr>
            <w:tcW w:type="dxa" w:w="657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يطبّق نموذج QIMP في مؤسسة تعليمية قائمة (5.2)</w:t>
            </w:r>
          </w:p>
        </w:tc>
        <w:tc>
          <w:tcPr>
            <w:tcW w:type="dxa" w:w="17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5.4</w:t>
            </w:r>
          </w:p>
        </w:tc>
        <w:tc>
          <w:tcPr>
            <w:tcW w:type="dxa" w:w="657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يشرح مستويات القياس الثلاثة: المعرفي والقيمي والحضاري (5.3–5.5)</w:t>
            </w:r>
          </w:p>
        </w:tc>
        <w:tc>
          <w:tcPr>
            <w:tcW w:type="dxa" w:w="17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5.5</w:t>
            </w:r>
          </w:p>
        </w:tc>
        <w:tc>
          <w:tcPr>
            <w:tcW w:type="dxa" w:w="657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يستعمل أدوات القياس الثماني (5.11)</w:t>
            </w:r>
          </w:p>
        </w:tc>
        <w:tc>
          <w:tcPr>
            <w:tcW w:type="dxa" w:w="17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5.6</w:t>
            </w:r>
          </w:p>
        </w:tc>
        <w:tc>
          <w:tcPr>
            <w:tcW w:type="dxa" w:w="657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يقيّم نماذج الاعتماد الدولية، ويحدد مواضع التقائها بالمنظور القرآني وافتراقها عنه (5.8)</w:t>
            </w:r>
          </w:p>
        </w:tc>
        <w:tc>
          <w:tcPr>
            <w:tcW w:type="dxa" w:w="17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5.7</w:t>
            </w:r>
          </w:p>
        </w:tc>
        <w:tc>
          <w:tcPr>
            <w:tcW w:type="dxa" w:w="657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يركّب إطار قياس مؤسسيًا يجمع الأبعاد الثلاثة</w:t>
            </w:r>
          </w:p>
        </w:tc>
        <w:tc>
          <w:tcPr>
            <w:tcW w:type="dxa" w:w="17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5.8</w:t>
            </w:r>
          </w:p>
        </w:tc>
        <w:tc>
          <w:tcPr>
            <w:tcW w:type="dxa" w:w="657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ينزّل ميثاق القياس على واقع مؤسسته (5.12)</w:t>
            </w:r>
          </w:p>
        </w:tc>
        <w:tc>
          <w:tcPr>
            <w:tcW w:type="dxa" w:w="17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مخرجات التعلم: الفصل السادس</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6"/>
        <w:gridCol w:w="6578"/>
        <w:gridCol w:w="1754"/>
      </w:tblGrid>
      <w:tr>
        <w:tc>
          <w:tcPr>
            <w:tcW w:type="dxa" w:w="13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657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175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6.1</w:t>
            </w:r>
          </w:p>
        </w:tc>
        <w:tc>
          <w:tcPr>
            <w:tcW w:type="dxa" w:w="657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يذكر الأركان الثلاثة للمستشفى القرآني، ويصلها بمصادرها النصية (6.3)</w:t>
            </w:r>
          </w:p>
        </w:tc>
        <w:tc>
          <w:tcPr>
            <w:tcW w:type="dxa" w:w="17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معرفة وفهم L1–L2</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6.2</w:t>
            </w:r>
          </w:p>
        </w:tc>
        <w:tc>
          <w:tcPr>
            <w:tcW w:type="dxa" w:w="657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يحلل الفجوة بين معايير JCI ومؤشرات QIMP-6 (6.4)</w:t>
            </w:r>
          </w:p>
        </w:tc>
        <w:tc>
          <w:tcPr>
            <w:tcW w:type="dxa" w:w="17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6.3</w:t>
            </w:r>
          </w:p>
        </w:tc>
        <w:tc>
          <w:tcPr>
            <w:tcW w:type="dxa" w:w="657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يشخّص مؤسسة صحية قائمة بنموذج QIMP-6</w:t>
            </w:r>
          </w:p>
        </w:tc>
        <w:tc>
          <w:tcPr>
            <w:tcW w:type="dxa" w:w="17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6.4</w:t>
            </w:r>
          </w:p>
        </w:tc>
        <w:tc>
          <w:tcPr>
            <w:tcW w:type="dxa" w:w="657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يستخلص دروس الرعاية الصحية في التاريخ الإسلامي، ويقوّمها (6.5)</w:t>
            </w:r>
          </w:p>
        </w:tc>
        <w:tc>
          <w:tcPr>
            <w:tcW w:type="dxa" w:w="17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6.5</w:t>
            </w:r>
          </w:p>
        </w:tc>
        <w:tc>
          <w:tcPr>
            <w:tcW w:type="dxa" w:w="657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يصمم بروتوكول خدمة للمرضى تتجسد فيه الرحمة والكرامة</w:t>
            </w:r>
          </w:p>
        </w:tc>
        <w:tc>
          <w:tcPr>
            <w:tcW w:type="dxa" w:w="17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6.6</w:t>
            </w:r>
          </w:p>
        </w:tc>
        <w:tc>
          <w:tcPr>
            <w:tcW w:type="dxa" w:w="657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يطبّق الأدوات العشر لإدارة المستشفى القرآني (6.9)</w:t>
            </w:r>
          </w:p>
        </w:tc>
        <w:tc>
          <w:tcPr>
            <w:tcW w:type="dxa" w:w="17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6.7</w:t>
            </w:r>
          </w:p>
        </w:tc>
        <w:tc>
          <w:tcPr>
            <w:tcW w:type="dxa" w:w="657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يبني لوحة قيادة صحية تجمع المؤشرات المادية والقيمية</w:t>
            </w:r>
          </w:p>
        </w:tc>
        <w:tc>
          <w:tcPr>
            <w:tcW w:type="dxa" w:w="17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6.8</w:t>
            </w:r>
          </w:p>
        </w:tc>
        <w:tc>
          <w:tcPr>
            <w:tcW w:type="dxa" w:w="657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ينقد نماذج إدارة المستشفيات الدولية من منظور الاستخلاف</w:t>
            </w:r>
          </w:p>
        </w:tc>
        <w:tc>
          <w:tcPr>
            <w:tcW w:type="dxa" w:w="17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مخرجات التعلم: الفصل السابع</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6"/>
        <w:gridCol w:w="6578"/>
        <w:gridCol w:w="1754"/>
      </w:tblGrid>
      <w:tr>
        <w:tc>
          <w:tcPr>
            <w:tcW w:type="dxa" w:w="13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657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175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7.1</w:t>
            </w:r>
          </w:p>
        </w:tc>
        <w:tc>
          <w:tcPr>
            <w:tcW w:type="dxa" w:w="657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يشرح الفرق بين نماذج القرار الطبي المعاصرة وإطار القرار القرآني القائم على الشورى والحكمة والأمانة</w:t>
            </w:r>
          </w:p>
        </w:tc>
        <w:tc>
          <w:tcPr>
            <w:tcW w:type="dxa" w:w="17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7.2</w:t>
            </w:r>
          </w:p>
        </w:tc>
        <w:tc>
          <w:tcPr>
            <w:tcW w:type="dxa" w:w="657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يحلل مشتقات الجذر «ح ك م» في القرآن، ويستخلص منها مبادئ للقرار المؤسسي (7.2)</w:t>
            </w:r>
          </w:p>
        </w:tc>
        <w:tc>
          <w:tcPr>
            <w:tcW w:type="dxa" w:w="17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7.3</w:t>
            </w:r>
          </w:p>
        </w:tc>
        <w:tc>
          <w:tcPr>
            <w:tcW w:type="dxa" w:w="657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يطبّق نموذج الشورى السريرية الثلاثي في بيئات القرار الطبي الفعلية (7.3)</w:t>
            </w:r>
          </w:p>
        </w:tc>
        <w:tc>
          <w:tcPr>
            <w:tcW w:type="dxa" w:w="17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7.4</w:t>
            </w:r>
          </w:p>
        </w:tc>
        <w:tc>
          <w:tcPr>
            <w:tcW w:type="dxa" w:w="657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يقيّم قرارات طبية معقدة بمصفوفة المصالح والمفاسد (7.8)</w:t>
            </w:r>
          </w:p>
        </w:tc>
        <w:tc>
          <w:tcPr>
            <w:tcW w:type="dxa" w:w="17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7.5</w:t>
            </w:r>
          </w:p>
        </w:tc>
        <w:tc>
          <w:tcPr>
            <w:tcW w:type="dxa" w:w="657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يصمم بروتوكول موافقة مستنيرة يوافق أخلاقيات الطب ومقاصد الشريعة</w:t>
            </w:r>
          </w:p>
        </w:tc>
        <w:tc>
          <w:tcPr>
            <w:tcW w:type="dxa" w:w="17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7.6</w:t>
            </w:r>
          </w:p>
        </w:tc>
        <w:tc>
          <w:tcPr>
            <w:tcW w:type="dxa" w:w="657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يتبيّن الحالات التي توجب إحالة القرار الطبي إلى لجنة الأخلاقيات وفق المعايير الإسلامية</w:t>
            </w:r>
          </w:p>
        </w:tc>
        <w:tc>
          <w:tcPr>
            <w:tcW w:type="dxa" w:w="17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7.7</w:t>
            </w:r>
          </w:p>
        </w:tc>
        <w:tc>
          <w:tcPr>
            <w:tcW w:type="dxa" w:w="6578"/>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يقارن تجارب القرار في تراث الطب الإسلامي بمبادئ أخلاقيات الطب الحيوي المعاصرة (Beauchamp &amp; Childress) (7.4–7.5)</w:t>
            </w:r>
          </w:p>
        </w:tc>
        <w:tc>
          <w:tcPr>
            <w:tcW w:type="dxa" w:w="175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7.8</w:t>
            </w:r>
          </w:p>
        </w:tc>
        <w:tc>
          <w:tcPr>
            <w:tcW w:type="dxa" w:w="6578"/>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يبني خطة لتطوير لجنة أخلاقيات طبية على الإطار القرآني للإدارة</w:t>
            </w:r>
          </w:p>
        </w:tc>
        <w:tc>
          <w:tcPr>
            <w:tcW w:type="dxa" w:w="175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مخرجات التعلم: الفصل الثامن</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6"/>
        <w:gridCol w:w="6359"/>
        <w:gridCol w:w="1973"/>
      </w:tblGrid>
      <w:tr>
        <w:tc>
          <w:tcPr>
            <w:tcW w:type="dxa" w:w="13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635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1973"/>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8.1</w:t>
            </w:r>
          </w:p>
        </w:tc>
        <w:tc>
          <w:tcPr>
            <w:tcW w:type="dxa" w:w="6359"/>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يحلل فلسفة الميزان القرآني وصلتها بمنظومات القياس الصحي الحديثة (8.1)</w:t>
            </w:r>
          </w:p>
        </w:tc>
        <w:tc>
          <w:tcPr>
            <w:tcW w:type="dxa" w:w="197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8.2</w:t>
            </w:r>
          </w:p>
        </w:tc>
        <w:tc>
          <w:tcPr>
            <w:tcW w:type="dxa" w:w="6359"/>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يستخرج مبادئ القياس من مشتقات الجذر «و ز ن»، ويربطها بمؤشرات الأداء الصحي</w:t>
            </w:r>
          </w:p>
        </w:tc>
        <w:tc>
          <w:tcPr>
            <w:tcW w:type="dxa" w:w="197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وتطبيق L3–L4</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8.3</w:t>
            </w:r>
          </w:p>
        </w:tc>
        <w:tc>
          <w:tcPr>
            <w:tcW w:type="dxa" w:w="6359"/>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يوظّف أركان QMF الثلاثة للقياس الصحي في تصميم منظومة تقيس الأثر (8.2)</w:t>
            </w:r>
          </w:p>
        </w:tc>
        <w:tc>
          <w:tcPr>
            <w:tcW w:type="dxa" w:w="197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8.4</w:t>
            </w:r>
          </w:p>
        </w:tc>
        <w:tc>
          <w:tcPr>
            <w:tcW w:type="dxa" w:w="6359"/>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يقارن معايير WHO وJCI وISO 9001 بإطار QMF الصحي على محاور محددة (8.4)</w:t>
            </w:r>
          </w:p>
        </w:tc>
        <w:tc>
          <w:tcPr>
            <w:tcW w:type="dxa" w:w="197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8.5</w:t>
            </w:r>
          </w:p>
        </w:tc>
        <w:tc>
          <w:tcPr>
            <w:tcW w:type="dxa" w:w="6359"/>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يقيّم الحالات الأربع بأدوات القياس الصحي، ويحدد فجواتها (8.6)</w:t>
            </w:r>
          </w:p>
        </w:tc>
        <w:tc>
          <w:tcPr>
            <w:tcW w:type="dxa" w:w="197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8.6</w:t>
            </w:r>
          </w:p>
        </w:tc>
        <w:tc>
          <w:tcPr>
            <w:tcW w:type="dxa" w:w="6359"/>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يصمم لوحة قياس صحية إسلامية (HDB-Q) بمؤشرات قابلة للاختبار والتحقق</w:t>
            </w:r>
          </w:p>
        </w:tc>
        <w:tc>
          <w:tcPr>
            <w:tcW w:type="dxa" w:w="197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8.7</w:t>
            </w:r>
          </w:p>
        </w:tc>
        <w:tc>
          <w:tcPr>
            <w:tcW w:type="dxa" w:w="6359"/>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يدافع عن مبدأ المساءلة التحسينية أمام الاعتراضات المؤسسية الشائعة (8.7)</w:t>
            </w:r>
          </w:p>
        </w:tc>
        <w:tc>
          <w:tcPr>
            <w:tcW w:type="dxa" w:w="1973"/>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8.8</w:t>
            </w:r>
          </w:p>
        </w:tc>
        <w:tc>
          <w:tcPr>
            <w:tcW w:type="dxa" w:w="6359"/>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يبني خطة اثني عشر شهرًا لتطبيق ميثاق المساءلة التحسينية في مستشفى (8.9)</w:t>
            </w:r>
          </w:p>
        </w:tc>
        <w:tc>
          <w:tcPr>
            <w:tcW w:type="dxa" w:w="1973"/>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مخرجات التعلم: الفصل التاسع</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6"/>
        <w:gridCol w:w="6797"/>
        <w:gridCol w:w="1535"/>
      </w:tblGrid>
      <w:tr>
        <w:tc>
          <w:tcPr>
            <w:tcW w:type="dxa" w:w="1316"/>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6797"/>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1535"/>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9.1</w:t>
            </w:r>
          </w:p>
        </w:tc>
        <w:tc>
          <w:tcPr>
            <w:tcW w:type="dxa" w:w="6797"/>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يحلل مفهوم الإحسان في الصنع قرآنيًا، ويربطه بنظريات الجودة الإنتاجية الحديثة</w:t>
            </w:r>
          </w:p>
        </w:tc>
        <w:tc>
          <w:tcPr>
            <w:tcW w:type="dxa" w:w="153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9.2</w:t>
            </w:r>
          </w:p>
        </w:tc>
        <w:tc>
          <w:tcPr>
            <w:tcW w:type="dxa" w:w="6797"/>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يستخرج مفاهيم الحقل الاشتقاقي لجذر «ص ن ع»، وينزّلها على السياقات الصناعية المعاصرة (9.1)</w:t>
            </w:r>
          </w:p>
        </w:tc>
        <w:tc>
          <w:tcPr>
            <w:tcW w:type="dxa" w:w="153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وتطبيق L3–L4</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9.3</w:t>
            </w:r>
          </w:p>
        </w:tc>
        <w:tc>
          <w:tcPr>
            <w:tcW w:type="dxa" w:w="6797"/>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يوظّف أركان QMF-9 الثلاثة في تصميم نموذج جودة لمؤسسة صناعية (9.3)</w:t>
            </w:r>
          </w:p>
        </w:tc>
        <w:tc>
          <w:tcPr>
            <w:tcW w:type="dxa" w:w="153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9.4</w:t>
            </w:r>
          </w:p>
        </w:tc>
        <w:tc>
          <w:tcPr>
            <w:tcW w:type="dxa" w:w="6797"/>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يقارن ISO 9001 وLean Six Sigma وشهادة الحلال بإطار QMF-9 على محاور منهجية (9.4)</w:t>
            </w:r>
          </w:p>
        </w:tc>
        <w:tc>
          <w:tcPr>
            <w:tcW w:type="dxa" w:w="153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9.5</w:t>
            </w:r>
          </w:p>
        </w:tc>
        <w:tc>
          <w:tcPr>
            <w:tcW w:type="dxa" w:w="6797"/>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يقيّم خمس حالات صناعية بأدوات QMF-9، ويحدد فجواتها وفرصها (9.6)</w:t>
            </w:r>
          </w:p>
        </w:tc>
        <w:tc>
          <w:tcPr>
            <w:tcW w:type="dxa" w:w="153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9.6</w:t>
            </w:r>
          </w:p>
        </w:tc>
        <w:tc>
          <w:tcPr>
            <w:tcW w:type="dxa" w:w="6797"/>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يصمم بروتوكول حقوق العامل القرآني (QWR) لبيئة تصنيعية محددة</w:t>
            </w:r>
          </w:p>
        </w:tc>
        <w:tc>
          <w:tcPr>
            <w:tcW w:type="dxa" w:w="153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r>
        <w:tc>
          <w:tcPr>
            <w:tcW w:type="dxa" w:w="1316"/>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9.7</w:t>
            </w:r>
          </w:p>
        </w:tc>
        <w:tc>
          <w:tcPr>
            <w:tcW w:type="dxa" w:w="6797"/>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يدافع عن الإحسان الإنتاجي أمام الاعتراضات المؤسسية والتنافسية (9.7)</w:t>
            </w:r>
          </w:p>
        </w:tc>
        <w:tc>
          <w:tcPr>
            <w:tcW w:type="dxa" w:w="1535"/>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1316"/>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9.8</w:t>
            </w:r>
          </w:p>
        </w:tc>
        <w:tc>
          <w:tcPr>
            <w:tcW w:type="dxa" w:w="6797"/>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يرسم خارطة اثني عشر شهرًا لتطبيق ميثاق الإحسان الصناعي في مؤسسة إنتاجية حقيقية (9.9–9.10)</w:t>
            </w:r>
          </w:p>
        </w:tc>
        <w:tc>
          <w:tcPr>
            <w:tcW w:type="dxa" w:w="1535"/>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مخرجات التعلم: الفصل العاشر</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44"/>
        <w:gridCol w:w="5360"/>
        <w:gridCol w:w="2144"/>
      </w:tblGrid>
      <w:tr>
        <w:tc>
          <w:tcPr>
            <w:tcW w:type="dxa" w:w="214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53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214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21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10.1</w:t>
            </w:r>
          </w:p>
        </w:tc>
        <w:tc>
          <w:tcPr>
            <w:tcW w:type="dxa" w:w="5360"/>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يسترجع الآيات المؤسِّسة للتعامل المالي، ويصنّف العقود المالية الإسلامية في أنواعها الكبرى الأربعة</w:t>
            </w:r>
          </w:p>
        </w:tc>
        <w:tc>
          <w:tcPr>
            <w:tcW w:type="dxa" w:w="21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معرفة L1</w:t>
            </w:r>
          </w:p>
        </w:tc>
      </w:tr>
      <w:tr>
        <w:tc>
          <w:tcPr>
            <w:tcW w:type="dxa" w:w="21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10.2</w:t>
            </w:r>
          </w:p>
        </w:tc>
        <w:tc>
          <w:tcPr>
            <w:tcW w:type="dxa" w:w="5360"/>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يشرح بلغة الإدارة الفرق بين تحريم الربا وحلّ البيع، والمنطق القرآني في هذا التمييز (10.2)</w:t>
            </w:r>
          </w:p>
        </w:tc>
        <w:tc>
          <w:tcPr>
            <w:tcW w:type="dxa" w:w="21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21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10.3</w:t>
            </w:r>
          </w:p>
        </w:tc>
        <w:tc>
          <w:tcPr>
            <w:tcW w:type="dxa" w:w="5360"/>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يطبّق ركائز QMF-10 الخمس على منتج مالي محدد، ليختبر مدى تحقيقه لمقاصد المال (10.3)</w:t>
            </w:r>
          </w:p>
        </w:tc>
        <w:tc>
          <w:tcPr>
            <w:tcW w:type="dxa" w:w="21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21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10.4</w:t>
            </w:r>
          </w:p>
        </w:tc>
        <w:tc>
          <w:tcPr>
            <w:tcW w:type="dxa" w:w="5360"/>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يحلل هيكل المرابحة المصرفية السائدة، ويفرّق بين المرابحة الحقيقية والشكلية بمعايير قابلة للقياس</w:t>
            </w:r>
          </w:p>
        </w:tc>
        <w:tc>
          <w:tcPr>
            <w:tcW w:type="dxa" w:w="21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21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10.5</w:t>
            </w:r>
          </w:p>
        </w:tc>
        <w:tc>
          <w:tcPr>
            <w:tcW w:type="dxa" w:w="5360"/>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يقيّم مؤسسة مالية إسلامية بركائز QMF-10 الخمس، ويصدر حكمًا إداريًا مسبّبًا على التزامها الفعلي (10.5)</w:t>
            </w:r>
          </w:p>
        </w:tc>
        <w:tc>
          <w:tcPr>
            <w:tcW w:type="dxa" w:w="21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21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10.6</w:t>
            </w:r>
          </w:p>
        </w:tc>
        <w:tc>
          <w:tcPr>
            <w:tcW w:type="dxa" w:w="5360"/>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يصمم منتجًا ماليًا جديدًا ينبع من مقاصد المال القرآنية، ويتجاوز المرابحة إلى المشاركة الحقيقية</w:t>
            </w:r>
          </w:p>
        </w:tc>
        <w:tc>
          <w:tcPr>
            <w:tcW w:type="dxa" w:w="21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r>
        <w:tc>
          <w:tcPr>
            <w:tcW w:type="dxa" w:w="21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10.7</w:t>
            </w:r>
          </w:p>
        </w:tc>
        <w:tc>
          <w:tcPr>
            <w:tcW w:type="dxa" w:w="5360"/>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يوظّف أدوات القيادة الاستراتيجية وريادة الأعمال والإدارة في تقييم المؤسسات المالية الإسلامية وقرارات تطويرها</w:t>
            </w:r>
          </w:p>
        </w:tc>
        <w:tc>
          <w:tcPr>
            <w:tcW w:type="dxa" w:w="21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21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10.8</w:t>
            </w:r>
          </w:p>
        </w:tc>
        <w:tc>
          <w:tcPr>
            <w:tcW w:type="dxa" w:w="5360"/>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يدير حوارًا علميًا منضبطًا في الإصلاح المالي الإسلامي، ويعرض الحجج المضادة بأمانة (10.9)</w:t>
            </w:r>
          </w:p>
        </w:tc>
        <w:tc>
          <w:tcPr>
            <w:tcW w:type="dxa" w:w="21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مخرجات التعلم: الفصل الحادي عشر</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0"/>
        <w:gridCol w:w="5360"/>
        <w:gridCol w:w="2358"/>
      </w:tblGrid>
      <w:tr>
        <w:tc>
          <w:tcPr>
            <w:tcW w:type="dxa" w:w="2358"/>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536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235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11.1</w:t>
            </w:r>
          </w:p>
        </w:tc>
        <w:tc>
          <w:tcPr>
            <w:tcW w:type="dxa" w:w="5360"/>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يشرح الفروق بين الحلال والطيب والخير في الاستثمار من المنظور القرآني (11.2–11.3)</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معرفة وفهم L1–L2</w:t>
            </w:r>
          </w:p>
        </w:tc>
      </w:tr>
      <w:tr>
        <w:tc>
          <w:tcPr>
            <w:tcW w:type="dxa" w:w="235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11.2</w:t>
            </w:r>
          </w:p>
        </w:tc>
        <w:tc>
          <w:tcPr>
            <w:tcW w:type="dxa" w:w="5360"/>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يضع أي استثمار على سلّم الدرجات الثلاث بمعايير محددة (11.3)</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235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11.3</w:t>
            </w:r>
          </w:p>
        </w:tc>
        <w:tc>
          <w:tcPr>
            <w:tcW w:type="dxa" w:w="5360"/>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يحلل مؤشرات ESG، ويبيّن ما يوافق منها مؤشرات الاقتصاد القرآني وما يقصر عنها (11.7)</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235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11.4</w:t>
            </w:r>
          </w:p>
        </w:tc>
        <w:tc>
          <w:tcPr>
            <w:tcW w:type="dxa" w:w="5360"/>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يصوغ مؤشرات قرآنية تقيس التكافل والوقف والزكاة والتوزيع العادل</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وتركيب L4–L6</w:t>
            </w:r>
          </w:p>
        </w:tc>
      </w:tr>
      <w:tr>
        <w:tc>
          <w:tcPr>
            <w:tcW w:type="dxa" w:w="235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11.5</w:t>
            </w:r>
          </w:p>
        </w:tc>
        <w:tc>
          <w:tcPr>
            <w:tcW w:type="dxa" w:w="5360"/>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يقيّم نموذجَي الوقف والتمويل القرآني متناهي الصغر بالموازنة مع النماذج الغربية (11.5–11.6)</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235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11.6</w:t>
            </w:r>
          </w:p>
        </w:tc>
        <w:tc>
          <w:tcPr>
            <w:tcW w:type="dxa" w:w="5360"/>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يبني محفظة استثمار مسؤولة على إطار QIE-11 (11.4)</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r>
        <w:tc>
          <w:tcPr>
            <w:tcW w:type="dxa" w:w="2358"/>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11.7</w:t>
            </w:r>
          </w:p>
        </w:tc>
        <w:tc>
          <w:tcPr>
            <w:tcW w:type="dxa" w:w="5360"/>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يطبّق مقياس أثر الاستثمار القرآني (QIA-Score) على حالة فعلية (11.10)</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r>
      <w:tr>
        <w:tc>
          <w:tcPr>
            <w:tcW w:type="dxa" w:w="2358"/>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11.8</w:t>
            </w:r>
          </w:p>
        </w:tc>
        <w:tc>
          <w:tcPr>
            <w:tcW w:type="dxa" w:w="5360"/>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يردّ على اعتراضات المستثمرين في الجمع بين المسؤولية والعائد المالي (11.9)</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مخرجات التعلم: الفصل الثاني عشر</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4"/>
        <w:gridCol w:w="8104"/>
      </w:tblGrid>
      <w:tr>
        <w:tc>
          <w:tcPr>
            <w:tcW w:type="dxa" w:w="154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 والمستوى</w:t>
            </w:r>
          </w:p>
        </w:tc>
        <w:tc>
          <w:tcPr>
            <w:tcW w:type="dxa" w:w="810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r>
      <w:tr>
        <w:tc>
          <w:tcPr>
            <w:tcW w:type="dxa" w:w="15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12.1</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c>
          <w:tcPr>
            <w:tcW w:type="dxa" w:w="8104"/>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يحلل مفهوم الولاية العامة في القرآن، ويميّزه من مفهومي السيادة والسلطة في النظريات الغربية (12.1)</w:t>
            </w:r>
          </w:p>
        </w:tc>
      </w:tr>
      <w:tr>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12.2</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c>
          <w:tcPr>
            <w:tcW w:type="dxa" w:w="8104"/>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يبني نموذج QGAM بأبعاده الثمانية، ويطبّقه على مؤسسة حكومية محددة (12.4)</w:t>
            </w:r>
          </w:p>
        </w:tc>
      </w:tr>
      <w:tr>
        <w:tc>
          <w:tcPr>
            <w:tcW w:type="dxa" w:w="15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12.3</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c>
          <w:tcPr>
            <w:tcW w:type="dxa" w:w="8104"/>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يصمم آليات الشورى الحكومية على المستويين الداخلي والعام</w:t>
            </w:r>
          </w:p>
        </w:tc>
      </w:tr>
      <w:tr>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12.4</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c>
          <w:tcPr>
            <w:tcW w:type="dxa" w:w="8104"/>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يطوّر منظومة مساءلة تتجاوز مؤشرات الأداء إلى قياس الأثر الاجتماعي</w:t>
            </w:r>
          </w:p>
        </w:tc>
      </w:tr>
      <w:tr>
        <w:tc>
          <w:tcPr>
            <w:tcW w:type="dxa" w:w="15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12.5</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c>
          <w:tcPr>
            <w:tcW w:type="dxa" w:w="8104"/>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يستثمر دروس النماذج التاريخية الإسلامية في إصلاح مؤسسات معاصرة (12.3)</w:t>
            </w:r>
          </w:p>
        </w:tc>
      </w:tr>
      <w:tr>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12.6</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c>
          <w:tcPr>
            <w:tcW w:type="dxa" w:w="8104"/>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يقيّم السياسات الحكومية بمبدأ ولاية الضعيف، ويختبر مآلاتها</w:t>
            </w:r>
          </w:p>
        </w:tc>
      </w:tr>
      <w:tr>
        <w:tc>
          <w:tcPr>
            <w:tcW w:type="dxa" w:w="15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12.7</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c>
          <w:tcPr>
            <w:tcW w:type="dxa" w:w="8104"/>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يصوغ ميثاقًا مؤسسيًا من عشرة بنود (ميثاق الولاية) يترجم قيم الحوكمة القرآنية إلى التزامات قابلة للقياس (12.9)</w:t>
            </w:r>
          </w:p>
        </w:tc>
      </w:tr>
      <w:tr>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12.8</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c>
          <w:tcPr>
            <w:tcW w:type="dxa" w:w="8104"/>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يقود مسار إصلاح مؤسسي مدته اثنا عشر شهرًا وفق خارطة الطريق (12.9)</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مخرجات التعلم: الفصل الثالث عشر</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4"/>
        <w:gridCol w:w="8104"/>
      </w:tblGrid>
      <w:tr>
        <w:tc>
          <w:tcPr>
            <w:tcW w:type="dxa" w:w="154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 والمستوى</w:t>
            </w:r>
          </w:p>
        </w:tc>
        <w:tc>
          <w:tcPr>
            <w:tcW w:type="dxa" w:w="8104"/>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r>
      <w:tr>
        <w:tc>
          <w:tcPr>
            <w:tcW w:type="dxa" w:w="15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13.1</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معرفة L1</w:t>
            </w:r>
          </w:p>
        </w:tc>
        <w:tc>
          <w:tcPr>
            <w:tcW w:type="dxa" w:w="8104"/>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يحدد ما يثبت وما يتغيّر في الإطار القرآني للإدارة عبر القطاعات الخمسة (13.2–13.3)</w:t>
            </w:r>
          </w:p>
        </w:tc>
      </w:tr>
      <w:tr>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13.2</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تطبيق L3</w:t>
            </w:r>
          </w:p>
        </w:tc>
        <w:tc>
          <w:tcPr>
            <w:tcW w:type="dxa" w:w="8104"/>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يشخّص الفجوات في أي مؤسسة بمصفوفة المبادئ الثمانية × القطاعات الخمسة (13.4)</w:t>
            </w:r>
          </w:p>
        </w:tc>
      </w:tr>
      <w:tr>
        <w:tc>
          <w:tcPr>
            <w:tcW w:type="dxa" w:w="15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13.3</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c>
          <w:tcPr>
            <w:tcW w:type="dxa" w:w="8104"/>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يفصل الثابت العقدي عن المتغيّر السياقي في قرارات الإدارة المؤسسية</w:t>
            </w:r>
          </w:p>
        </w:tc>
      </w:tr>
      <w:tr>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13.4</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c>
          <w:tcPr>
            <w:tcW w:type="dxa" w:w="8104"/>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يصمم آليات شورى تلائم خصوصية كل قطاع (13.7)</w:t>
            </w:r>
          </w:p>
        </w:tc>
      </w:tr>
      <w:tr>
        <w:tc>
          <w:tcPr>
            <w:tcW w:type="dxa" w:w="15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13.5</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c>
          <w:tcPr>
            <w:tcW w:type="dxa" w:w="8104"/>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يقيّم الأدوار الاستراتيجية للمهارات الثماني حين يقارن بين القطاعات</w:t>
            </w:r>
          </w:p>
        </w:tc>
      </w:tr>
      <w:tr>
        <w:tc>
          <w:tcPr>
            <w:tcW w:type="dxa" w:w="1544"/>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13.6</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c>
          <w:tcPr>
            <w:tcW w:type="dxa" w:w="8104"/>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يرصد الفجوات البحثية، ويحدد أسئلة البحث المفتوحة في الإدارة القرآنية (13.8)</w:t>
            </w:r>
          </w:p>
        </w:tc>
      </w:tr>
      <w:tr>
        <w:tc>
          <w:tcPr>
            <w:tcW w:type="dxa" w:w="1544"/>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13.7</w:t>
            </w:r>
          </w:p>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c>
          <w:tcPr>
            <w:tcW w:type="dxa" w:w="8104"/>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يصوغ فرضيات قابلة للاختبار عن اختلاف تطبيق QMF من قطاع إلى قطاع</w:t>
            </w:r>
          </w:p>
        </w:tc>
      </w:tr>
    </w:tbl>
    <w:p>
      <w:pPr>
        <w:pBdr>
          <w:bottom w:val="single" w:color="1A5C2A" w:sz="6"/>
        </w:pBdr>
        <w:bidi/>
        <w:spacing w:after="160" w:before="280" w:line="340"/>
      </w:pPr>
      <w:r>
        <w:rPr>
          <w:rFonts w:ascii="Traditional Arabic" w:cs="Traditional Arabic" w:eastAsia="Traditional Arabic" w:hAnsi="Traditional Arabic"/>
          <w:b/>
          <w:bCs/>
          <w:i w:val="false"/>
          <w:iCs w:val="false"/>
          <w:color w:val="1A5C2A"/>
          <w:sz w:val="34"/>
          <w:szCs w:val="34"/>
        </w:rPr>
        <w:t xml:space="preserve">مخرجات التعلم: الفصل الرابع عشر</w:t>
      </w:r>
    </w:p>
    <w:tbl>
      <w:tblPr>
        <w:bidiVisual/>
        <w:tblW w:type="dxa" w:w="9648"/>
        <w:tblInd w:type="dxa" w:w="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30"/>
        <w:gridCol w:w="5789"/>
        <w:gridCol w:w="1929"/>
      </w:tblGrid>
      <w:tr>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الرمز</w:t>
            </w:r>
          </w:p>
        </w:tc>
        <w:tc>
          <w:tcPr>
            <w:tcW w:type="dxa" w:w="5789"/>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المخرج</w:t>
            </w:r>
          </w:p>
        </w:tc>
        <w:tc>
          <w:tcPr>
            <w:tcW w:type="dxa" w:w="1930"/>
            <w:shd w:fill="1A5C2A" w:val="clear"/>
            <w:tcMar>
              <w:top w:type="dxa" w:w="80"/>
              <w:left w:type="dxa" w:w="120"/>
              <w:bottom w:type="dxa" w:w="80"/>
              <w:right w:type="dxa" w:w="120"/>
            </w:tcMar>
          </w:tcPr>
          <w:p>
            <w:pPr>
              <w:bidi/>
              <w:jc w:val="center"/>
            </w:pPr>
            <w:r>
              <w:rPr>
                <w:rFonts w:ascii="Traditional Arabic" w:cs="Traditional Arabic" w:eastAsia="Traditional Arabic" w:hAnsi="Traditional Arabic"/>
                <w:b/>
                <w:bCs/>
                <w:i w:val="false"/>
                <w:iCs w:val="false"/>
                <w:color w:val="FFFFFF"/>
                <w:sz w:val="24"/>
                <w:szCs w:val="24"/>
              </w:rPr>
              <w:t xml:space="preserve">المستوى</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14.1</w:t>
            </w:r>
          </w:p>
        </w:tc>
        <w:tc>
          <w:tcPr>
            <w:tcW w:type="dxa" w:w="5789"/>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يلخّص مسيرة الكتب الثلاثة في خريطة ذهنية تربط النص بالنظرية بالميدان (14.1)</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14.2</w:t>
            </w:r>
          </w:p>
        </w:tc>
        <w:tc>
          <w:tcPr>
            <w:tcW w:type="dxa" w:w="5789"/>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يحلل النتائج الخمس التي لم يتوقعها الإطار، ويستخرج منها توصيات للتطوير (14.2)</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تحليل L4</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14.3</w:t>
            </w:r>
          </w:p>
        </w:tc>
        <w:tc>
          <w:tcPr>
            <w:tcW w:type="dxa" w:w="5789"/>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يقيّم حدود QMF المكتشَفة بأمانة علمية، بلا تهوين ولا مبالغة (14.3)</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تقويم L5</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14.4</w:t>
            </w:r>
          </w:p>
        </w:tc>
        <w:tc>
          <w:tcPr>
            <w:tcW w:type="dxa" w:w="5789"/>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يصف العلاقة بين اليقيني القرآني والبيان النبوي بوصفهما مصدرين متكاملين لبناء نظرية إدارية (14.6)</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فهم L2</w:t>
            </w:r>
          </w:p>
        </w:tc>
      </w:tr>
      <w:tr>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14.5</w:t>
            </w:r>
          </w:p>
        </w:tc>
        <w:tc>
          <w:tcPr>
            <w:tcW w:type="dxa" w:w="5789"/>
            <w:shd w:fill="D6EDD9"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يصوغ سؤالًا بحثيًا أصيلًا من الأسئلة الأحد عشر المطروحة، ويضع خطته الأولى (14.4)</w:t>
            </w:r>
          </w:p>
        </w:tc>
        <w:tc>
          <w:tcPr>
            <w:tcW w:type="dxa" w:w="1930"/>
            <w:shd w:fill="D6EDD9"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r>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CLO 14.6</w:t>
            </w:r>
          </w:p>
        </w:tc>
        <w:tc>
          <w:tcPr>
            <w:tcW w:type="dxa" w:w="5789"/>
            <w:shd w:fill="FFFFFF" w:val="clear"/>
            <w:tcMar>
              <w:top w:type="dxa" w:w="80"/>
              <w:left w:type="dxa" w:w="120"/>
              <w:bottom w:type="dxa" w:w="80"/>
              <w:right w:type="dxa" w:w="120"/>
            </w:tcMar>
          </w:tcPr>
          <w:p>
            <w:pPr>
              <w:bidi/>
            </w:pPr>
            <w:r>
              <w:rPr>
                <w:rFonts w:ascii="Traditional Arabic" w:cs="Traditional Arabic" w:eastAsia="Traditional Arabic" w:hAnsi="Traditional Arabic"/>
                <w:b w:val="false"/>
                <w:bCs w:val="false"/>
                <w:i w:val="false"/>
                <w:iCs w:val="false"/>
                <w:color w:val="1A1A1A"/>
                <w:sz w:val="24"/>
                <w:szCs w:val="24"/>
              </w:rPr>
              <w:t xml:space="preserve">يرسم هيكلًا مقترحًا للكتاب الرابع، ويسوّغ اختياراته البنيوية بمنطق الموسوعة (14.6)</w:t>
            </w:r>
          </w:p>
        </w:tc>
        <w:tc>
          <w:tcPr>
            <w:tcW w:type="dxa" w:w="1930"/>
            <w:shd w:fill="FFFFFF" w:val="clear"/>
            <w:tcMar>
              <w:top w:type="dxa" w:w="80"/>
              <w:left w:type="dxa" w:w="120"/>
              <w:bottom w:type="dxa" w:w="80"/>
              <w:right w:type="dxa" w:w="120"/>
            </w:tcMar>
          </w:tcPr>
          <w:p>
            <w:pPr>
              <w:bidi/>
              <w:jc w:val="center"/>
            </w:pPr>
            <w:r>
              <w:rPr>
                <w:rFonts w:ascii="Traditional Arabic" w:cs="Traditional Arabic" w:eastAsia="Traditional Arabic" w:hAnsi="Traditional Arabic"/>
                <w:b w:val="false"/>
                <w:bCs w:val="false"/>
                <w:i w:val="false"/>
                <w:iCs w:val="false"/>
                <w:color w:val="1A1A1A"/>
                <w:sz w:val="24"/>
                <w:szCs w:val="24"/>
              </w:rPr>
              <w:t xml:space="preserve">تركيب L6</w:t>
            </w:r>
          </w:p>
        </w:tc>
      </w:tr>
    </w:tbl>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color w:val="1A1A1A"/>
        <w:sz w:val="28"/>
        <w:szCs w:val="28"/>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الإدارة التعليمية القرآنية — الكتاب الثالث</dc:title>
  <dc:creator>مشروع الإدارة القرآنية</dc:creator>
  <dc:description>الكتاب الثالث في سلسلة الإدارة القرآنية — خمسة فصول متكاملة</dc:description>
  <cp:lastModifiedBy>Un-named</cp:lastModifiedBy>
  <cp:revision>1</cp:revision>
  <dcterms:created xsi:type="dcterms:W3CDTF">2026-10-04T04:36:45.201Z</dcterms:created>
  <dcterms:modified xsi:type="dcterms:W3CDTF">2026-10-04T04:36:45.206Z</dcterms:modified>
</cp:coreProperties>
</file>

<file path=docProps/custom.xml><?xml version="1.0" encoding="utf-8"?>
<Properties xmlns="http://schemas.openxmlformats.org/officeDocument/2006/custom-properties" xmlns:vt="http://schemas.openxmlformats.org/officeDocument/2006/docPropsVTypes"/>
</file>