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2D2D" w14:textId="77777777" w:rsidR="005C0A79" w:rsidRPr="00B832F2" w:rsidRDefault="005C0A79" w:rsidP="005C0A79">
      <w:pPr>
        <w:shd w:val="clear" w:color="auto" w:fill="1F3864"/>
        <w:bidi/>
        <w:jc w:val="center"/>
        <w:rPr>
          <w:rFonts w:ascii="Sakkal Majalla" w:hAnsi="Sakkal Majalla" w:cs="Sakkal Majalla"/>
          <w:sz w:val="28"/>
          <w:szCs w:val="28"/>
        </w:rPr>
      </w:pPr>
      <w:r w:rsidRPr="00B832F2">
        <w:rPr>
          <w:rFonts w:ascii="Sakkal Majalla" w:hAnsi="Sakkal Majalla" w:cs="Sakkal Majalla"/>
          <w:b/>
          <w:bCs/>
          <w:color w:val="FFFFFF"/>
          <w:sz w:val="28"/>
          <w:szCs w:val="28"/>
          <w:rtl/>
        </w:rPr>
        <w:lastRenderedPageBreak/>
        <w:t>الفصل الثالث</w:t>
      </w:r>
    </w:p>
    <w:p w14:paraId="3F63EF3D" w14:textId="77777777" w:rsidR="005C0A79" w:rsidRPr="00B832F2" w:rsidRDefault="005C0A79" w:rsidP="005C0A79">
      <w:pPr>
        <w:shd w:val="clear" w:color="auto" w:fill="156082"/>
        <w:bidi/>
        <w:jc w:val="center"/>
        <w:rPr>
          <w:rFonts w:ascii="Sakkal Majalla" w:hAnsi="Sakkal Majalla" w:cs="Sakkal Majalla"/>
          <w:sz w:val="28"/>
          <w:szCs w:val="28"/>
        </w:rPr>
      </w:pPr>
      <w:r w:rsidRPr="00B832F2">
        <w:rPr>
          <w:rFonts w:ascii="Sakkal Majalla" w:hAnsi="Sakkal Majalla" w:cs="Sakkal Majalla"/>
          <w:b/>
          <w:bCs/>
          <w:color w:val="FFFFFF"/>
          <w:sz w:val="28"/>
          <w:szCs w:val="28"/>
          <w:rtl/>
        </w:rPr>
        <w:t>الفرضية الصفرية</w:t>
      </w:r>
    </w:p>
    <w:p w14:paraId="77DDD378" w14:textId="77777777" w:rsidR="005C0A79" w:rsidRPr="00B832F2" w:rsidRDefault="005C0A79" w:rsidP="005C0A79">
      <w:pPr>
        <w:shd w:val="clear" w:color="auto" w:fill="2E74B5"/>
        <w:bidi/>
        <w:spacing w:after="20"/>
        <w:jc w:val="center"/>
        <w:rPr>
          <w:rFonts w:ascii="Sakkal Majalla" w:hAnsi="Sakkal Majalla" w:cs="Sakkal Majalla"/>
          <w:sz w:val="28"/>
          <w:szCs w:val="28"/>
        </w:rPr>
      </w:pPr>
      <w:r w:rsidRPr="00B832F2">
        <w:rPr>
          <w:rFonts w:ascii="Sakkal Majalla" w:hAnsi="Sakkal Majalla" w:cs="Sakkal Majalla"/>
          <w:color w:val="FFFFFF"/>
          <w:sz w:val="28"/>
          <w:szCs w:val="28"/>
          <w:rtl/>
        </w:rPr>
        <w:t>الضمانة العلمية للمشروع ومحكّات الاختبار</w:t>
      </w:r>
    </w:p>
    <w:p w14:paraId="14069A68" w14:textId="77777777" w:rsidR="005C0A79" w:rsidRPr="00B832F2" w:rsidRDefault="005C0A79" w:rsidP="005C0A79">
      <w:pPr>
        <w:bidi/>
        <w:spacing w:after="60"/>
        <w:jc w:val="center"/>
        <w:rPr>
          <w:rFonts w:ascii="Sakkal Majalla" w:hAnsi="Sakkal Majalla" w:cs="Sakkal Majalla"/>
          <w:sz w:val="28"/>
          <w:szCs w:val="28"/>
        </w:rPr>
      </w:pPr>
    </w:p>
    <w:p w14:paraId="5C5E4C57" w14:textId="77777777" w:rsidR="005C0A79" w:rsidRPr="00B832F2" w:rsidRDefault="005C0A79" w:rsidP="005C0A79">
      <w:pPr>
        <w:shd w:val="clear" w:color="auto" w:fill="F5F0FF"/>
        <w:bidi/>
        <w:spacing w:before="10"/>
        <w:jc w:val="center"/>
        <w:rPr>
          <w:rFonts w:ascii="Sakkal Majalla" w:hAnsi="Sakkal Majalla" w:cs="Sakkal Majalla"/>
          <w:sz w:val="28"/>
          <w:szCs w:val="28"/>
        </w:rPr>
      </w:pPr>
      <w:r w:rsidRPr="00B832F2">
        <w:rPr>
          <w:rFonts w:ascii="Sakkal Majalla" w:hAnsi="Sakkal Majalla" w:cs="Sakkal Majalla"/>
          <w:b/>
          <w:bCs/>
          <w:color w:val="1F3864"/>
          <w:sz w:val="28"/>
          <w:szCs w:val="28"/>
          <w:rtl/>
        </w:rPr>
        <w:t>﴿قُلْ هَاتُوا بُرْهَانَكُمْ إِن كُنتُمْ صَادِقِينَ﴾</w:t>
      </w:r>
    </w:p>
    <w:p w14:paraId="28A3872A" w14:textId="77777777" w:rsidR="005C0A79" w:rsidRPr="00B832F2" w:rsidRDefault="005C0A79" w:rsidP="005C0A79">
      <w:pPr>
        <w:bidi/>
        <w:spacing w:after="20"/>
        <w:jc w:val="center"/>
        <w:rPr>
          <w:rFonts w:ascii="Sakkal Majalla" w:hAnsi="Sakkal Majalla" w:cs="Sakkal Majalla"/>
          <w:sz w:val="28"/>
          <w:szCs w:val="28"/>
        </w:rPr>
      </w:pPr>
      <w:r w:rsidRPr="00B832F2">
        <w:rPr>
          <w:rFonts w:ascii="Sakkal Majalla" w:hAnsi="Sakkal Majalla" w:cs="Sakkal Majalla"/>
          <w:color w:val="595959"/>
          <w:sz w:val="28"/>
          <w:szCs w:val="28"/>
          <w:rtl/>
        </w:rPr>
        <w:t>البقرة : 111</w:t>
      </w:r>
    </w:p>
    <w:p w14:paraId="24851CC4" w14:textId="77777777" w:rsidR="005C0A79" w:rsidRPr="00B832F2" w:rsidRDefault="005C0A79" w:rsidP="005C0A79">
      <w:pPr>
        <w:pBdr>
          <w:bottom w:val="single" w:sz="14" w:space="0" w:color="1F3864"/>
        </w:pBdr>
        <w:bidi/>
        <w:spacing w:before="60" w:after="100"/>
        <w:rPr>
          <w:rFonts w:ascii="Sakkal Majalla" w:hAnsi="Sakkal Majalla" w:cs="Sakkal Majalla"/>
          <w:sz w:val="28"/>
          <w:szCs w:val="28"/>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5"/>
      </w:tblGrid>
      <w:tr w:rsidR="005C0A79" w:rsidRPr="00B832F2" w14:paraId="180CDFC7" w14:textId="77777777" w:rsidTr="00A011EA">
        <w:tc>
          <w:tcPr>
            <w:tcW w:w="9535" w:type="dxa"/>
            <w:shd w:val="clear" w:color="auto" w:fill="2E74B5"/>
            <w:tcMar>
              <w:top w:w="75" w:type="dxa"/>
              <w:left w:w="100" w:type="dxa"/>
              <w:bottom w:w="75" w:type="dxa"/>
              <w:right w:w="100" w:type="dxa"/>
            </w:tcMar>
            <w:vAlign w:val="center"/>
          </w:tcPr>
          <w:p w14:paraId="139A0DB7"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لحظة اكتشاف مؤلمة</w:t>
            </w:r>
          </w:p>
        </w:tc>
      </w:tr>
      <w:tr w:rsidR="005C0A79" w:rsidRPr="00B832F2" w14:paraId="0EEA6A4A" w14:textId="77777777" w:rsidTr="00A011EA">
        <w:tc>
          <w:tcPr>
            <w:tcW w:w="9535" w:type="dxa"/>
            <w:shd w:val="clear" w:color="auto" w:fill="EBF5FB"/>
            <w:tcMar>
              <w:top w:w="75" w:type="dxa"/>
              <w:left w:w="100" w:type="dxa"/>
              <w:bottom w:w="75" w:type="dxa"/>
              <w:right w:w="100" w:type="dxa"/>
            </w:tcMar>
            <w:vAlign w:val="center"/>
          </w:tcPr>
          <w:p w14:paraId="40F194E8"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توضيحي. قضى باحث خمس سنوات يبني نموذجًا سمّاه «نظرية الاستخلاف الإداري»: مدير يحمل المؤسسة أمانةً أمام الله، فيديرها أمينًا عليها لا مالكًا لها. ونشر بحثه في مجلة أكاديمية، واعتقد أنه أنجز شيئًا أصيلًا. وفي الليلة السابقة للمؤتمر الذي سيعرض فيه بحثه، قرأ مصادفةً مقالة Davis وSchoorman وDonaldson (1997) في Academy of Management Review، فوجد فيها ما لم يتوقعه: نموذجًا غربيًا متكاملًا اسمه «Stewardship Theory»، يصف مديرًا يتبنّى هوية المؤسسة، دافعيته داخلية، ولا يقدّم مصلحته الشخصية على مصلحتها. لم ينم تلك الليلة، وظل سؤال واحد يدور في رأسه: هل بنيتُ شيئًا أصيلًا، أم أعدتُ اختراع العجلة بمصطلحات عربية؟  </w:t>
            </w:r>
            <w:r>
              <w:rPr>
                <w:rFonts w:hint="cs"/>
                <w:color w:val="000000"/>
                <w:sz w:val="28"/>
                <w:szCs w:val="28"/>
                <w:rtl/>
              </w:rPr>
              <w:t xml:space="preserve">─────────────────────────────────────────────────────</w:t>
            </w:r>
            <w:r>
              <w:rPr>
                <w:rFonts w:ascii="Sakkal Majalla" w:hAnsi="Sakkal Majalla" w:cs="Sakkal Majalla"/>
                <w:color w:val="000000"/>
                <w:sz w:val="28"/>
                <w:szCs w:val="28"/>
                <w:rtl/>
              </w:rPr>
              <w:t xml:space="preserve"> هذا السؤال هو موضوع الفصل. ولا أطرحه تشكيكًا في نيات الباحثين، وإنما لأبني أداة تجيب عنه بدقة وأمانة.</w:t>
            </w:r>
          </w:p>
        </w:tc>
      </w:tr>
    </w:tbl>
    <w:p w14:paraId="51FC62D6"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5"/>
      </w:tblGrid>
      <w:tr w:rsidR="005C0A79" w:rsidRPr="00B832F2" w14:paraId="2904963B" w14:textId="77777777" w:rsidTr="00A011EA">
        <w:tc>
          <w:tcPr>
            <w:tcW w:w="9535" w:type="dxa"/>
            <w:shd w:val="clear" w:color="auto" w:fill="156082"/>
            <w:tcMar>
              <w:top w:w="75" w:type="dxa"/>
              <w:left w:w="100" w:type="dxa"/>
              <w:bottom w:w="75" w:type="dxa"/>
              <w:right w:w="100" w:type="dxa"/>
            </w:tcMar>
            <w:vAlign w:val="center"/>
          </w:tcPr>
          <w:p w14:paraId="7874844E"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في هذا الفصل</w:t>
            </w:r>
          </w:p>
        </w:tc>
      </w:tr>
      <w:tr w:rsidR="005C0A79" w:rsidRPr="00B832F2" w14:paraId="26609E1C" w14:textId="77777777" w:rsidTr="00A011EA">
        <w:tc>
          <w:tcPr>
            <w:tcW w:w="9535" w:type="dxa"/>
            <w:shd w:val="clear" w:color="auto" w:fill="EBF5E0"/>
            <w:tcMar>
              <w:top w:w="75" w:type="dxa"/>
              <w:left w:w="100" w:type="dxa"/>
              <w:bottom w:w="75" w:type="dxa"/>
              <w:right w:w="100" w:type="dxa"/>
            </w:tcMar>
            <w:vAlign w:val="center"/>
          </w:tcPr>
          <w:p w14:paraId="30040C82"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يسأل الفصل: كيف يجتمع إطار معرفي يسلّم بمسلّمة يقينية، هي صحة القرآن، مع شرط الصرامة العلمية، أي القابلية للتكذيب؟ وجوابه أن يصوغ فرضية صفرية للمشروع، ثم يقدّم ثلاثة محكّات إجرائية (الأصالة، والاستقلالية، والتمييز)، ثم يطبّقها على أربعة مفاهيم قرآنية مع اعتراض الناقد ورد المشروع، ثم يقترح بروتوكولًا تجريبيًا لاختبارها. ويخرج القارئ منه بأربع أدوات: الفرضية الصفرية، والمحكّات الثلاثة، وبروتوكول الاختبار، وآلية فض التعارض. وأهميته للمدير أنه كلما قال عن نهج ما «هذا إسلامي» أو «هذا قرآني»، وجد هنا أداة يختبر بها صدق الوصف.</w:t>
            </w:r>
          </w:p>
        </w:tc>
      </w:tr>
    </w:tbl>
    <w:p w14:paraId="639E6B91" w14:textId="77777777" w:rsidR="005C0A79" w:rsidRPr="00B832F2" w:rsidRDefault="005C0A79" w:rsidP="005C0A79">
      <w:pPr>
        <w:bidi/>
        <w:spacing w:after="60"/>
        <w:rPr>
          <w:rFonts w:ascii="Sakkal Majalla" w:hAnsi="Sakkal Majalla" w:cs="Sakkal Majalla"/>
          <w:sz w:val="28"/>
          <w:szCs w:val="28"/>
        </w:rPr>
      </w:pPr>
    </w:p>
    <w:p w14:paraId="4F9179E2"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1AFDB5A3" w14:textId="77777777" w:rsidR="005C0A79" w:rsidRPr="00B832F2" w:rsidRDefault="005C0A79" w:rsidP="005C0A79">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مخرجات التعلم المتوقعة من هذا الفصل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080"/>
        <w:gridCol w:w="5400"/>
        <w:gridCol w:w="1080"/>
      </w:tblGrid>
      <w:tr w:rsidR="005C0A79" w:rsidRPr="00B832F2" w14:paraId="305A5D44" w14:textId="77777777" w:rsidTr="00A011EA">
        <w:tc>
          <w:tcPr>
            <w:tcW w:w="1080" w:type="dxa"/>
            <w:shd w:val="clear" w:color="auto" w:fill="1F3864"/>
            <w:tcMar>
              <w:top w:w="75" w:type="dxa"/>
              <w:left w:w="100" w:type="dxa"/>
              <w:bottom w:w="75" w:type="dxa"/>
              <w:right w:w="100" w:type="dxa"/>
            </w:tcMar>
            <w:vAlign w:val="center"/>
          </w:tcPr>
          <w:p w14:paraId="122DDC3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lastRenderedPageBreak/>
              <w:t>CLO</w:t>
            </w:r>
          </w:p>
        </w:tc>
        <w:tc>
          <w:tcPr>
            <w:tcW w:w="1080" w:type="dxa"/>
            <w:shd w:val="clear" w:color="auto" w:fill="1F3864"/>
            <w:tcMar>
              <w:top w:w="75" w:type="dxa"/>
              <w:left w:w="100" w:type="dxa"/>
              <w:bottom w:w="75" w:type="dxa"/>
              <w:right w:w="100" w:type="dxa"/>
            </w:tcMar>
            <w:vAlign w:val="center"/>
          </w:tcPr>
          <w:p w14:paraId="04663E6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الفعل</w:t>
            </w:r>
          </w:p>
        </w:tc>
        <w:tc>
          <w:tcPr>
            <w:tcW w:w="5400" w:type="dxa"/>
            <w:shd w:val="clear" w:color="auto" w:fill="1F3864"/>
            <w:tcMar>
              <w:top w:w="75" w:type="dxa"/>
              <w:left w:w="100" w:type="dxa"/>
              <w:bottom w:w="75" w:type="dxa"/>
              <w:right w:w="100" w:type="dxa"/>
            </w:tcMar>
            <w:vAlign w:val="center"/>
          </w:tcPr>
          <w:p w14:paraId="61753BD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المحتوى</w:t>
            </w:r>
          </w:p>
        </w:tc>
        <w:tc>
          <w:tcPr>
            <w:tcW w:w="1080" w:type="dxa"/>
            <w:shd w:val="clear" w:color="auto" w:fill="1F3864"/>
            <w:tcMar>
              <w:top w:w="75" w:type="dxa"/>
              <w:left w:w="100" w:type="dxa"/>
              <w:bottom w:w="75" w:type="dxa"/>
              <w:right w:w="100" w:type="dxa"/>
            </w:tcMar>
            <w:vAlign w:val="center"/>
          </w:tcPr>
          <w:p w14:paraId="69850D4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المستوى</w:t>
            </w:r>
          </w:p>
        </w:tc>
      </w:tr>
      <w:tr w:rsidR="005C0A79" w:rsidRPr="00B832F2" w14:paraId="73373144" w14:textId="77777777" w:rsidTr="00A011EA">
        <w:tc>
          <w:tcPr>
            <w:tcW w:w="1080" w:type="dxa"/>
            <w:shd w:val="clear" w:color="auto" w:fill="EBF5FB"/>
            <w:tcMar>
              <w:top w:w="75" w:type="dxa"/>
              <w:left w:w="100" w:type="dxa"/>
              <w:bottom w:w="75" w:type="dxa"/>
              <w:right w:w="100" w:type="dxa"/>
            </w:tcMar>
            <w:vAlign w:val="center"/>
          </w:tcPr>
          <w:p w14:paraId="15B8CDB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3.1</w:t>
            </w:r>
          </w:p>
        </w:tc>
        <w:tc>
          <w:tcPr>
            <w:tcW w:w="1080" w:type="dxa"/>
            <w:shd w:val="clear" w:color="auto" w:fill="EBF5FB"/>
            <w:tcMar>
              <w:top w:w="75" w:type="dxa"/>
              <w:left w:w="100" w:type="dxa"/>
              <w:bottom w:w="75" w:type="dxa"/>
              <w:right w:w="100" w:type="dxa"/>
            </w:tcMar>
            <w:vAlign w:val="center"/>
          </w:tcPr>
          <w:p w14:paraId="6DB8174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يُناقش</w:t>
            </w:r>
          </w:p>
        </w:tc>
        <w:tc>
          <w:tcPr>
            <w:tcW w:w="5400" w:type="dxa"/>
            <w:shd w:val="clear" w:color="auto" w:fill="F8F8F8"/>
            <w:tcMar>
              <w:top w:w="75" w:type="dxa"/>
              <w:left w:w="100" w:type="dxa"/>
              <w:bottom w:w="75" w:type="dxa"/>
              <w:right w:w="100" w:type="dxa"/>
            </w:tcMar>
            <w:vAlign w:val="center"/>
          </w:tcPr>
          <w:p w14:paraId="4A61008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إشكالية القابلية للتكذيب في إطار معرفي يتضمن مسلَّمة يقينية، ويُحدد حلها المنهجي</w:t>
            </w:r>
          </w:p>
        </w:tc>
        <w:tc>
          <w:tcPr>
            <w:tcW w:w="1080" w:type="dxa"/>
            <w:shd w:val="clear" w:color="auto" w:fill="FFF2CC"/>
            <w:tcMar>
              <w:top w:w="75" w:type="dxa"/>
              <w:left w:w="100" w:type="dxa"/>
              <w:bottom w:w="75" w:type="dxa"/>
              <w:right w:w="100" w:type="dxa"/>
            </w:tcMar>
            <w:vAlign w:val="center"/>
          </w:tcPr>
          <w:p w14:paraId="065E859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تحليل L4</w:t>
            </w:r>
          </w:p>
        </w:tc>
      </w:tr>
      <w:tr w:rsidR="005C0A79" w:rsidRPr="00B832F2" w14:paraId="4A99EAD2" w14:textId="77777777" w:rsidTr="00A011EA">
        <w:tc>
          <w:tcPr>
            <w:tcW w:w="1080" w:type="dxa"/>
            <w:shd w:val="clear" w:color="auto" w:fill="FFFFFF"/>
            <w:tcMar>
              <w:top w:w="75" w:type="dxa"/>
              <w:left w:w="100" w:type="dxa"/>
              <w:bottom w:w="75" w:type="dxa"/>
              <w:right w:w="100" w:type="dxa"/>
            </w:tcMar>
            <w:vAlign w:val="center"/>
          </w:tcPr>
          <w:p w14:paraId="2769E7E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3.2</w:t>
            </w:r>
          </w:p>
        </w:tc>
        <w:tc>
          <w:tcPr>
            <w:tcW w:w="1080" w:type="dxa"/>
            <w:shd w:val="clear" w:color="auto" w:fill="FFFFFF"/>
            <w:tcMar>
              <w:top w:w="75" w:type="dxa"/>
              <w:left w:w="100" w:type="dxa"/>
              <w:bottom w:w="75" w:type="dxa"/>
              <w:right w:w="100" w:type="dxa"/>
            </w:tcMar>
            <w:vAlign w:val="center"/>
          </w:tcPr>
          <w:p w14:paraId="24F1650D"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يصوغ</w:t>
            </w:r>
          </w:p>
        </w:tc>
        <w:tc>
          <w:tcPr>
            <w:tcW w:w="5400" w:type="dxa"/>
            <w:shd w:val="clear" w:color="auto" w:fill="FFFFFF"/>
            <w:tcMar>
              <w:top w:w="75" w:type="dxa"/>
              <w:left w:w="100" w:type="dxa"/>
              <w:bottom w:w="75" w:type="dxa"/>
              <w:right w:w="100" w:type="dxa"/>
            </w:tcMar>
            <w:vAlign w:val="center"/>
          </w:tcPr>
          <w:p w14:paraId="5BBE740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الفرضية الصفرية للمشروع بدقة فلسفية ويُحدد شروط انهيارها إجرائيًا</w:t>
            </w:r>
          </w:p>
        </w:tc>
        <w:tc>
          <w:tcPr>
            <w:tcW w:w="1080" w:type="dxa"/>
            <w:shd w:val="clear" w:color="auto" w:fill="FFFFFF"/>
            <w:tcMar>
              <w:top w:w="75" w:type="dxa"/>
              <w:left w:w="100" w:type="dxa"/>
              <w:bottom w:w="75" w:type="dxa"/>
              <w:right w:w="100" w:type="dxa"/>
            </w:tcMar>
            <w:vAlign w:val="center"/>
          </w:tcPr>
          <w:p w14:paraId="3476BF6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تركيب L6</w:t>
            </w:r>
          </w:p>
        </w:tc>
      </w:tr>
      <w:tr w:rsidR="005C0A79" w:rsidRPr="00B832F2" w14:paraId="448920FC" w14:textId="77777777" w:rsidTr="00A011EA">
        <w:tc>
          <w:tcPr>
            <w:tcW w:w="1080" w:type="dxa"/>
            <w:shd w:val="clear" w:color="auto" w:fill="EBF5FB"/>
            <w:tcMar>
              <w:top w:w="75" w:type="dxa"/>
              <w:left w:w="100" w:type="dxa"/>
              <w:bottom w:w="75" w:type="dxa"/>
              <w:right w:w="100" w:type="dxa"/>
            </w:tcMar>
            <w:vAlign w:val="center"/>
          </w:tcPr>
          <w:p w14:paraId="0DD265A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3.3</w:t>
            </w:r>
          </w:p>
        </w:tc>
        <w:tc>
          <w:tcPr>
            <w:tcW w:w="1080" w:type="dxa"/>
            <w:shd w:val="clear" w:color="auto" w:fill="EBF5FB"/>
            <w:tcMar>
              <w:top w:w="75" w:type="dxa"/>
              <w:left w:w="100" w:type="dxa"/>
              <w:bottom w:w="75" w:type="dxa"/>
              <w:right w:w="100" w:type="dxa"/>
            </w:tcMar>
            <w:vAlign w:val="center"/>
          </w:tcPr>
          <w:p w14:paraId="5B92E96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يُقيِّم</w:t>
            </w:r>
          </w:p>
        </w:tc>
        <w:tc>
          <w:tcPr>
            <w:tcW w:w="5400" w:type="dxa"/>
            <w:shd w:val="clear" w:color="auto" w:fill="F8F8F8"/>
            <w:tcMar>
              <w:top w:w="75" w:type="dxa"/>
              <w:left w:w="100" w:type="dxa"/>
              <w:bottom w:w="75" w:type="dxa"/>
              <w:right w:w="100" w:type="dxa"/>
            </w:tcMar>
            <w:vAlign w:val="center"/>
          </w:tcPr>
          <w:p w14:paraId="2E10C23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المحكّات الثلاثة (الأصالة، الاستقلالية، التمييز) نقديًا ويُواجه اعتراضات الخصم المحتمل</w:t>
            </w:r>
          </w:p>
        </w:tc>
        <w:tc>
          <w:tcPr>
            <w:tcW w:w="1080" w:type="dxa"/>
            <w:shd w:val="clear" w:color="auto" w:fill="FFF2CC"/>
            <w:tcMar>
              <w:top w:w="75" w:type="dxa"/>
              <w:left w:w="100" w:type="dxa"/>
              <w:bottom w:w="75" w:type="dxa"/>
              <w:right w:w="100" w:type="dxa"/>
            </w:tcMar>
            <w:vAlign w:val="center"/>
          </w:tcPr>
          <w:p w14:paraId="53F6F7B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تقويم L5</w:t>
            </w:r>
          </w:p>
        </w:tc>
      </w:tr>
      <w:tr w:rsidR="005C0A79" w:rsidRPr="00B832F2" w14:paraId="25DEA7C7" w14:textId="77777777" w:rsidTr="00A011EA">
        <w:tc>
          <w:tcPr>
            <w:tcW w:w="1080" w:type="dxa"/>
            <w:shd w:val="clear" w:color="auto" w:fill="FFFFFF"/>
            <w:tcMar>
              <w:top w:w="75" w:type="dxa"/>
              <w:left w:w="100" w:type="dxa"/>
              <w:bottom w:w="75" w:type="dxa"/>
              <w:right w:w="100" w:type="dxa"/>
            </w:tcMar>
            <w:vAlign w:val="center"/>
          </w:tcPr>
          <w:p w14:paraId="5BC33BA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3.4</w:t>
            </w:r>
          </w:p>
        </w:tc>
        <w:tc>
          <w:tcPr>
            <w:tcW w:w="1080" w:type="dxa"/>
            <w:shd w:val="clear" w:color="auto" w:fill="FFFFFF"/>
            <w:tcMar>
              <w:top w:w="75" w:type="dxa"/>
              <w:left w:w="100" w:type="dxa"/>
              <w:bottom w:w="75" w:type="dxa"/>
              <w:right w:w="100" w:type="dxa"/>
            </w:tcMar>
            <w:vAlign w:val="center"/>
          </w:tcPr>
          <w:p w14:paraId="6BD4B39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يُطبِّق</w:t>
            </w:r>
          </w:p>
        </w:tc>
        <w:tc>
          <w:tcPr>
            <w:tcW w:w="5400" w:type="dxa"/>
            <w:shd w:val="clear" w:color="auto" w:fill="FFFFFF"/>
            <w:tcMar>
              <w:top w:w="75" w:type="dxa"/>
              <w:left w:w="100" w:type="dxa"/>
              <w:bottom w:w="75" w:type="dxa"/>
              <w:right w:w="100" w:type="dxa"/>
            </w:tcMar>
            <w:vAlign w:val="center"/>
          </w:tcPr>
          <w:p w14:paraId="59FB531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المحكّات الثلاثة على أربعة مفاهيم قرآنية ويُحلل نتائج التطبيق ونقاط ضعفها</w:t>
            </w:r>
          </w:p>
        </w:tc>
        <w:tc>
          <w:tcPr>
            <w:tcW w:w="1080" w:type="dxa"/>
            <w:shd w:val="clear" w:color="auto" w:fill="FFFFFF"/>
            <w:tcMar>
              <w:top w:w="75" w:type="dxa"/>
              <w:left w:w="100" w:type="dxa"/>
              <w:bottom w:w="75" w:type="dxa"/>
              <w:right w:w="100" w:type="dxa"/>
            </w:tcMar>
            <w:vAlign w:val="center"/>
          </w:tcPr>
          <w:p w14:paraId="19B0920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تطبيق L3</w:t>
            </w:r>
          </w:p>
        </w:tc>
      </w:tr>
      <w:tr w:rsidR="005C0A79" w:rsidRPr="00B832F2" w14:paraId="5ED1378A" w14:textId="77777777" w:rsidTr="00A011EA">
        <w:tc>
          <w:tcPr>
            <w:tcW w:w="1080" w:type="dxa"/>
            <w:shd w:val="clear" w:color="auto" w:fill="EBF5FB"/>
            <w:tcMar>
              <w:top w:w="75" w:type="dxa"/>
              <w:left w:w="100" w:type="dxa"/>
              <w:bottom w:w="75" w:type="dxa"/>
              <w:right w:w="100" w:type="dxa"/>
            </w:tcMar>
            <w:vAlign w:val="center"/>
          </w:tcPr>
          <w:p w14:paraId="69D74E9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3.5</w:t>
            </w:r>
          </w:p>
        </w:tc>
        <w:tc>
          <w:tcPr>
            <w:tcW w:w="1080" w:type="dxa"/>
            <w:shd w:val="clear" w:color="auto" w:fill="EBF5FB"/>
            <w:tcMar>
              <w:top w:w="75" w:type="dxa"/>
              <w:left w:w="100" w:type="dxa"/>
              <w:bottom w:w="75" w:type="dxa"/>
              <w:right w:w="100" w:type="dxa"/>
            </w:tcMar>
            <w:vAlign w:val="center"/>
          </w:tcPr>
          <w:p w14:paraId="03EED3C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يُصمِّم</w:t>
            </w:r>
          </w:p>
        </w:tc>
        <w:tc>
          <w:tcPr>
            <w:tcW w:w="5400" w:type="dxa"/>
            <w:shd w:val="clear" w:color="auto" w:fill="F8F8F8"/>
            <w:tcMar>
              <w:top w:w="75" w:type="dxa"/>
              <w:left w:w="100" w:type="dxa"/>
              <w:bottom w:w="75" w:type="dxa"/>
              <w:right w:w="100" w:type="dxa"/>
            </w:tcMar>
            <w:vAlign w:val="center"/>
          </w:tcPr>
          <w:p w14:paraId="7C3EE90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بروتوكولاً تجريبياً كاملاً لاختبار نموذج إداري قرآني بمعايير الصلاحية العلمية</w:t>
            </w:r>
          </w:p>
        </w:tc>
        <w:tc>
          <w:tcPr>
            <w:tcW w:w="1080" w:type="dxa"/>
            <w:shd w:val="clear" w:color="auto" w:fill="FFF2CC"/>
            <w:tcMar>
              <w:top w:w="75" w:type="dxa"/>
              <w:left w:w="100" w:type="dxa"/>
              <w:bottom w:w="75" w:type="dxa"/>
              <w:right w:w="100" w:type="dxa"/>
            </w:tcMar>
            <w:vAlign w:val="center"/>
          </w:tcPr>
          <w:p w14:paraId="147EC82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تركيب L6</w:t>
            </w:r>
          </w:p>
        </w:tc>
      </w:tr>
      <w:tr w:rsidR="005C0A79" w:rsidRPr="00B832F2" w14:paraId="7AE187E4" w14:textId="77777777" w:rsidTr="00A011EA">
        <w:tc>
          <w:tcPr>
            <w:tcW w:w="1080" w:type="dxa"/>
            <w:shd w:val="clear" w:color="auto" w:fill="FFFFFF"/>
            <w:tcMar>
              <w:top w:w="75" w:type="dxa"/>
              <w:left w:w="100" w:type="dxa"/>
              <w:bottom w:w="75" w:type="dxa"/>
              <w:right w:w="100" w:type="dxa"/>
            </w:tcMar>
            <w:vAlign w:val="center"/>
          </w:tcPr>
          <w:p w14:paraId="1B4C8BE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3.6</w:t>
            </w:r>
          </w:p>
        </w:tc>
        <w:tc>
          <w:tcPr>
            <w:tcW w:w="1080" w:type="dxa"/>
            <w:shd w:val="clear" w:color="auto" w:fill="FFFFFF"/>
            <w:tcMar>
              <w:top w:w="75" w:type="dxa"/>
              <w:left w:w="100" w:type="dxa"/>
              <w:bottom w:w="75" w:type="dxa"/>
              <w:right w:w="100" w:type="dxa"/>
            </w:tcMar>
            <w:vAlign w:val="center"/>
          </w:tcPr>
          <w:p w14:paraId="629F6CB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يُحلِّل</w:t>
            </w:r>
          </w:p>
        </w:tc>
        <w:tc>
          <w:tcPr>
            <w:tcW w:w="5400" w:type="dxa"/>
            <w:shd w:val="clear" w:color="auto" w:fill="FFFFFF"/>
            <w:tcMar>
              <w:top w:w="75" w:type="dxa"/>
              <w:left w:w="100" w:type="dxa"/>
              <w:bottom w:w="75" w:type="dxa"/>
              <w:right w:w="100" w:type="dxa"/>
            </w:tcMar>
            <w:vAlign w:val="center"/>
          </w:tcPr>
          <w:p w14:paraId="191B705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آلية فض التعارض بين النص والتجربة ضمن أطر فلسفة العلم المتنافسة (بوبر مقابل لاكاتوش)</w:t>
            </w:r>
          </w:p>
        </w:tc>
        <w:tc>
          <w:tcPr>
            <w:tcW w:w="1080" w:type="dxa"/>
            <w:shd w:val="clear" w:color="auto" w:fill="FFFFFF"/>
            <w:tcMar>
              <w:top w:w="75" w:type="dxa"/>
              <w:left w:w="100" w:type="dxa"/>
              <w:bottom w:w="75" w:type="dxa"/>
              <w:right w:w="100" w:type="dxa"/>
            </w:tcMar>
            <w:vAlign w:val="center"/>
          </w:tcPr>
          <w:p w14:paraId="4CB29A9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تحليل L4</w:t>
            </w:r>
          </w:p>
        </w:tc>
      </w:tr>
      <w:tr w:rsidR="005C0A79" w:rsidRPr="00B832F2" w14:paraId="6B297D1B" w14:textId="77777777" w:rsidTr="00A011EA">
        <w:tc>
          <w:tcPr>
            <w:tcW w:w="1080" w:type="dxa"/>
            <w:shd w:val="clear" w:color="auto" w:fill="EBF5FB"/>
            <w:tcMar>
              <w:top w:w="75" w:type="dxa"/>
              <w:left w:w="100" w:type="dxa"/>
              <w:bottom w:w="75" w:type="dxa"/>
              <w:right w:w="100" w:type="dxa"/>
            </w:tcMar>
            <w:vAlign w:val="center"/>
          </w:tcPr>
          <w:p w14:paraId="39272B6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3.7</w:t>
            </w:r>
          </w:p>
        </w:tc>
        <w:tc>
          <w:tcPr>
            <w:tcW w:w="1080" w:type="dxa"/>
            <w:shd w:val="clear" w:color="auto" w:fill="EBF5FB"/>
            <w:tcMar>
              <w:top w:w="75" w:type="dxa"/>
              <w:left w:w="100" w:type="dxa"/>
              <w:bottom w:w="75" w:type="dxa"/>
              <w:right w:w="100" w:type="dxa"/>
            </w:tcMar>
            <w:vAlign w:val="center"/>
          </w:tcPr>
          <w:p w14:paraId="2EB8750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يُقارن</w:t>
            </w:r>
          </w:p>
        </w:tc>
        <w:tc>
          <w:tcPr>
            <w:tcW w:w="5400" w:type="dxa"/>
            <w:shd w:val="clear" w:color="auto" w:fill="F8F8F8"/>
            <w:tcMar>
              <w:top w:w="75" w:type="dxa"/>
              <w:left w:w="100" w:type="dxa"/>
              <w:bottom w:w="75" w:type="dxa"/>
              <w:right w:w="100" w:type="dxa"/>
            </w:tcMar>
            <w:vAlign w:val="center"/>
          </w:tcPr>
          <w:p w14:paraId="756E048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منهجية هذا الفصل بمحاولات سابقة في الاقتصاد الإسلامي (شابرا، النقوي) ويُحدد نقطة التمايز الدقيقة</w:t>
            </w:r>
          </w:p>
        </w:tc>
        <w:tc>
          <w:tcPr>
            <w:tcW w:w="1080" w:type="dxa"/>
            <w:shd w:val="clear" w:color="auto" w:fill="FFF2CC"/>
            <w:tcMar>
              <w:top w:w="75" w:type="dxa"/>
              <w:left w:w="100" w:type="dxa"/>
              <w:bottom w:w="75" w:type="dxa"/>
              <w:right w:w="100" w:type="dxa"/>
            </w:tcMar>
            <w:vAlign w:val="center"/>
          </w:tcPr>
          <w:p w14:paraId="18B176D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تقويم L5</w:t>
            </w:r>
          </w:p>
        </w:tc>
      </w:tr>
    </w:tbl>
    <w:p w14:paraId="31B174F0" w14:textId="77777777" w:rsidR="005C0A79" w:rsidRPr="00B832F2" w:rsidRDefault="005C0A79" w:rsidP="005C0A79">
      <w:pPr>
        <w:pBdr>
          <w:bottom w:val="single" w:sz="14" w:space="0" w:color="1F3864"/>
        </w:pBdr>
        <w:bidi/>
        <w:spacing w:before="60" w:after="100"/>
        <w:rPr>
          <w:rFonts w:ascii="Sakkal Majalla" w:hAnsi="Sakkal Majalla" w:cs="Sakkal Majalla"/>
          <w:sz w:val="28"/>
          <w:szCs w:val="28"/>
        </w:rPr>
      </w:pPr>
    </w:p>
    <w:p w14:paraId="7FDFE60A"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  مشكلة الفصل بين العلم واللاعلم، ولماذا تخصّ هذا المشروع</w:t>
      </w:r>
    </w:p>
    <w:p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لن نفترض أن المفهوم قرآني لمجرد أن عنوانه عربي أو أن تحته شاهدًا من القرآن. سنبدأ من احتمال أكثر إزعاجًا: ربما نعيد تسمية فكرة إدارية غربية ثم ننسبها إلى النص. ولكي نعرف متى يحدث ذلك، نحتاج إلى معيار يفصل بين المعرفة التي يمكن اختبارها والادعاء الذي لا يمكن اختباره. وهنا يبدأ الحديث عن بوبر.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022693EE" w14:textId="77777777" w:rsidTr="00A011EA">
        <w:tc>
          <w:tcPr>
            <w:tcW w:w="8640" w:type="dxa"/>
            <w:shd w:val="clear" w:color="auto" w:fill="C55A11"/>
            <w:tcMar>
              <w:top w:w="75" w:type="dxa"/>
              <w:left w:w="100" w:type="dxa"/>
              <w:bottom w:w="75" w:type="dxa"/>
              <w:right w:w="100" w:type="dxa"/>
            </w:tcMar>
            <w:vAlign w:val="center"/>
          </w:tcPr>
          <w:p w14:paraId="60C86063"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ما معنى «قابلية التكذيب» (Falsifiability)؟</w:t>
            </w:r>
          </w:p>
        </w:tc>
      </w:tr>
      <w:tr w:rsidR="005C0A79" w:rsidRPr="00B832F2" w14:paraId="00194B9C" w14:textId="77777777" w:rsidTr="00A011EA">
        <w:tc>
          <w:tcPr>
            <w:tcW w:w="8640" w:type="dxa"/>
            <w:shd w:val="clear" w:color="auto" w:fill="FFF5E0"/>
            <w:tcMar>
              <w:top w:w="75" w:type="dxa"/>
              <w:left w:w="100" w:type="dxa"/>
              <w:bottom w:w="75" w:type="dxa"/>
              <w:right w:w="100" w:type="dxa"/>
            </w:tcMar>
            <w:vAlign w:val="center"/>
          </w:tcPr>
          <w:p w14:paraId="1D05BC66"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يرى كارل بوبر (1934) أن النظرية العلمية هي التي تحدد مسبقًا: في أي ظرف سأعترف بأنني مخطئ؟ مثال ذلك: «الأمانة القرآنية تنتج قرارات مختلفة عن Stewardship Theory في حالات تعارض المصالح»، وهذه عبارة قابلة للتكذيب لأنها تُقاس وتُختبر. أما «الإدارة القرآنية أفضل» فغير قابلة للتكذيب، لأنها لا تحدد متى تكون أفضل ومتى لا تكون. والقاعدة: ما لا يمكن تكذيبه لا يمكن إثباته، وما لا يمكن إثباته لا يضيف إلى المعرفة شيئًا.</w:t>
            </w:r>
          </w:p>
        </w:tc>
      </w:tr>
    </w:tbl>
    <w:p w14:paraId="65764CC7"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طرح كارل بوبر مشكلة «الفصل» (Demarcation Problem) في كتابه «منطق الاكتشاف العلمي» (1934)، ومنذ ذلك الحين وفلسفة العلم تسأل: ما الذي يجعل نظرية ما علمية، وأخرى «زائفة العلمية» (Pseudo-scientific)؟ رفض بوبر معيار التحقق (Verificationism) الذي تبنّته الوضعية المنطقية في حلقة فيينا، لأن أي نظرية، مهما كانت باطلة، تستطيع أن تجد شواهد تؤيدها إذا بحث صاحبها بحماسة كافية.</w:t>
      </w:r>
    </w:p>
    <w:p w14:paraId="066C5579"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فالتنجيم والتحليل النفسي الفرويدي والماركسية التاريخية، في رأي بوبر، أنظمة قادرة على «تفسير» أي حدث يقع، وهذا بالضبط ما يجعلها غير علمية: فسّرت كل شيء فلم تُخبر بشيء. والبديل الذي اقترحه أن النظرية العلمية هي التي تخاطر، فتقدّم تنبؤات محددة يمكن أن يُثبت الواقع خطأها.</w:t>
      </w:r>
    </w:p>
    <w:p w14:paraId="0517C8A5"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Popper, K. (1934/1959). The Logic of Scientific Discovery. Hutchinson &amp; Co.</w:t>
      </w:r>
    </w:p>
    <w:p w14:paraId="7C791291" w14:textId="77777777" w:rsidR="005C0A79" w:rsidRPr="00B832F2" w:rsidRDefault="005C0A79" w:rsidP="005C0A79">
      <w:pPr>
        <w:bidi/>
        <w:spacing w:after="60"/>
        <w:rPr>
          <w:rFonts w:ascii="Sakkal Majalla" w:hAnsi="Sakkal Majalla" w:cs="Sakkal Majalla"/>
          <w:sz w:val="28"/>
          <w:szCs w:val="28"/>
        </w:rPr>
      </w:pPr>
    </w:p>
    <w:p w14:paraId="4BCA4075"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لماذا تخصّ هذه المشكلة مشروعنا بالذات</w:t>
      </w:r>
    </w:p>
    <w:p w14:paraId="2917A50B"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قد يبدو الحديث عن بوبر هنا استطرادًا فلسفيًا، لكنه في صلب المسألة. فهذا المشروع يقف في منطقة حرجة من خريطة الفصل بين العلم واللاعلم: يسلّم من جهة بمسلّمة يقينية لا تقبل التكذيب، هي صحة القرآن، وهذا ما يدفع بعض النقاد إلى تصنيفه فورًا في خانة «اللاعلمي»؛ ويدّعي من جهة أخرى أنه ينتج معرفة تصمد أمام النقد الأكاديمي. فكيف يجتمع الأمران؟</w:t>
      </w:r>
    </w:p>
    <w:p w14:paraId="0B2356FD"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الجواب أن نفصل بين مستويين لا يجوز الخلط بينهما. فالمسلّمة اليقينية تقع خارج الاختبار العلمي بالضرورة المنطقية، كما تقع مسلّمات المنطق، كمبدأ عدم التناقض، خارج الاختبار التجريبي. أما كل ما يُشتق منها بفعل بشري، من تفسير وتحليل وبناء نموذج، فيقع داخل الاختبار تمامًا.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7FBB6E9D" w14:textId="77777777" w:rsidTr="00A011EA">
        <w:tc>
          <w:tcPr>
            <w:tcW w:w="8640" w:type="dxa"/>
            <w:shd w:val="clear" w:color="auto" w:fill="1F3864"/>
            <w:tcMar>
              <w:top w:w="75" w:type="dxa"/>
              <w:left w:w="100" w:type="dxa"/>
              <w:bottom w:w="75" w:type="dxa"/>
              <w:right w:w="100" w:type="dxa"/>
            </w:tcMar>
            <w:vAlign w:val="center"/>
          </w:tcPr>
          <w:p w14:paraId="65CCE008"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القاعدة الفلسفية التي يقوم عليها الفصل</w:t>
            </w:r>
          </w:p>
        </w:tc>
      </w:tr>
      <w:tr w:rsidR="005C0A79" w:rsidRPr="00B832F2" w14:paraId="21A7492F" w14:textId="77777777" w:rsidTr="00A011EA">
        <w:tc>
          <w:tcPr>
            <w:tcW w:w="8640" w:type="dxa"/>
            <w:shd w:val="clear" w:color="auto" w:fill="EBF5FB"/>
            <w:tcMar>
              <w:top w:w="75" w:type="dxa"/>
              <w:left w:w="100" w:type="dxa"/>
              <w:bottom w:w="75" w:type="dxa"/>
              <w:right w:w="100" w:type="dxa"/>
            </w:tcMar>
            <w:vAlign w:val="center"/>
          </w:tcPr>
          <w:p w14:paraId="548F89D3"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القابلية للتكذيب شرط في الاشتقاق البشري من الوحي، لا في الوحي نفسه. ومن يعترض على هذا التمييز فعليه أن يعترض على كل نظام معرفي يقوم على مسلّمات أولية، ومنها الرياضيات والمنطق الصوري، لا على هذا المشروع وحده.</w:t>
            </w:r>
          </w:p>
        </w:tc>
      </w:tr>
    </w:tbl>
    <w:p w14:paraId="29AF4846" w14:textId="77777777" w:rsidR="005C0A79" w:rsidRPr="00B832F2" w:rsidRDefault="005C0A79" w:rsidP="005C0A79">
      <w:pPr>
        <w:bidi/>
        <w:spacing w:after="60"/>
        <w:rPr>
          <w:rFonts w:ascii="Sakkal Majalla" w:hAnsi="Sakkal Majalla" w:cs="Sakkal Majalla"/>
          <w:sz w:val="28"/>
          <w:szCs w:val="28"/>
        </w:rPr>
      </w:pPr>
    </w:p>
    <w:p w14:paraId="447461BF"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اعتراض متوقع: أليست هذه حيلة لغوية تُبقي المسلّمة بمنأى عن النقد؟</w:t>
      </w:r>
    </w:p>
    <w:p w14:paraId="3FD6BEB1"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اعتراض جادّ، وجوابي عنه من ثلاثة أوجه:</w:t>
      </w:r>
    </w:p>
    <w:p w14:paraId="2C5E7221"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أولًا: التمييز بين المسلّمة والمشتق ليس اختراعًا لهذا المشروع، بل هو بنية كل نظام معرفي ناجح. فعالم الرياضيات لا يُخضع بديهيات إقليدس للتجريب، لكنه يُخضع كل نظرية مشتقة منها للبرهان الصارم.</w:t>
      </w:r>
    </w:p>
    <w:p w14:paraId="3E4D300F"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ثانيًا: المسلّمة هنا معلنة صراحة، لا مخفية خلف ادعاء الحياد، كما تفعل أطر وضعية كثيرة تُخفي افتراضاتها الفلسفية (الإنسان نفعي، والقيمة محايدة) خلف قناع «العلمية الخالصة».</w:t>
      </w:r>
    </w:p>
    <w:p w14:paraId="323981A6"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ثالثًا، وهو الأهم: كل ما يُبنى على المسلّمة يخضع للفرضية الصفرية ومحكّاتها الثلاثة، ولا يُعفى من الاختبار شيء سوى المسلّمة الأولى نفسها.</w:t>
      </w:r>
    </w:p>
    <w:p w14:paraId="2F84C921"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3.2  لماذا لا نكتفي بإطار لاكاتوش؟</w:t>
      </w:r>
    </w:p>
    <w:p w14:paraId="1424C55E"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قد يبدو إطار إمري لاكاتوش في «برامج البحث العلمي» (Scientific Research Programmes) حلًّا جاهزًا لمشكلتنا. فهو يسمح بوجود «قلب صلب» (Hard Core) من الافتراضات التي لا تُكذَّب مباشرة، ويمكن أن تقابله مسلّمة صحة القرآن، تحيط به «فرضيات مساعدة» (Auxiliary Hypotheses) قابلة للتعديل، ويمكن أن تقابلها الاشتقاقات البشرية. فلماذا لا نتبنّاه حرفيًا؟</w:t>
      </w:r>
    </w:p>
    <w:p w14:paraId="61B45A79"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لأن برنامج لاكاتوش مصمَّم لحماية القلب الصلب من النقض عن طريق تعديل الفرضيات المساعدة، وهذا بالضبط ما قد يخشاه ناقد منصف من مشروعنا: أن نعدّل الاشتقاق كلما فشل التطبيق، ونُبقي القرآن قلبًا صلبًا لا يُمسّ، فيصير البرنامج «متدهورًا» (Degenerating Research Programme) بعبارة لاكاتوش.</w:t>
      </w:r>
    </w:p>
    <w:p w14:paraId="5EFFBE0E"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Lakatos, I. (1970). Falsification and the Methodology of Scientific Research Programmes. In Lakatos &amp; Musgrave (eds.), Criticism and the Growth of Knowledge. Cambridge University Press, pp. 91-196.</w:t>
      </w:r>
    </w:p>
    <w:p w14:paraId="142B00B8"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ولهذا يتبنّى المشروع موقفًا مركّبًا: يستعير من لاكاتوش البنية، أي القلب الصلب والحزام الواقي، لأنها تصف بدقة العلاقة بين القرآن الثابت والاشتقاق المتغيّر، ويأخذ من بوبر الصرامة: فالفرضية الصفرية تحدد متى يُعلن «التدهور» ويُعاد النظر في الاشتقاق من أساسه، فلا يُسمح بالتعديل إلى ما لا نهاية.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3"/>
        <w:gridCol w:w="3717"/>
      </w:tblGrid>
      <w:tr w:rsidR="005C0A79" w:rsidRPr="00B832F2" w14:paraId="0BC6FC97" w14:textId="77777777" w:rsidTr="00A011EA">
        <w:trPr>
          <w:gridAfter w:val="1"/>
          <w:wAfter w:w="100" w:type="dxa"/>
        </w:trPr>
        <w:tc>
          <w:tcPr>
            <w:tcW w:w="8640" w:type="dxa"/>
            <w:shd w:val="clear" w:color="auto" w:fill="7030A0"/>
            <w:tcMar>
              <w:top w:w="75" w:type="dxa"/>
              <w:left w:w="100" w:type="dxa"/>
              <w:bottom w:w="75" w:type="dxa"/>
              <w:right w:w="100" w:type="dxa"/>
            </w:tcMar>
            <w:vAlign w:val="center"/>
          </w:tcPr>
          <w:p w14:paraId="50C76052"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التركيب بين بوبر ولاكاتوش: لكلٍّ وظيفته</w:t>
            </w:r>
          </w:p>
        </w:tc>
      </w:tr>
      <w:tr w:rsidR="005C0A79" w:rsidRPr="00B832F2" w14:paraId="5F93A2C2" w14:textId="77777777" w:rsidTr="00A011EA">
        <w:tc>
          <w:tcPr>
            <w:tcW w:w="2160" w:type="dxa"/>
            <w:shd w:val="clear" w:color="auto" w:fill="EBF5FB"/>
            <w:tcMar>
              <w:top w:w="75" w:type="dxa"/>
              <w:left w:w="100" w:type="dxa"/>
              <w:bottom w:w="75" w:type="dxa"/>
              <w:right w:w="100" w:type="dxa"/>
            </w:tcMar>
            <w:vAlign w:val="center"/>
          </w:tcPr>
          <w:p w14:paraId="6BD4D55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لاكاتوش يُقدِّم</w:t>
            </w:r>
          </w:p>
        </w:tc>
        <w:tc>
          <w:tcPr>
            <w:tcW w:w="6480" w:type="dxa"/>
            <w:shd w:val="clear" w:color="auto" w:fill="F5F0FF"/>
            <w:tcMar>
              <w:top w:w="75" w:type="dxa"/>
              <w:left w:w="100" w:type="dxa"/>
              <w:bottom w:w="75" w:type="dxa"/>
              <w:right w:w="100" w:type="dxa"/>
            </w:tcMar>
            <w:vAlign w:val="center"/>
          </w:tcPr>
          <w:p w14:paraId="5F08618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البنية الوصفية: كيف تُبنى المعرفة عبر الزمن (قلب صلب + حزام واقٍ)</w:t>
            </w:r>
          </w:p>
        </w:tc>
      </w:tr>
      <w:tr w:rsidR="005C0A79" w:rsidRPr="00B832F2" w14:paraId="0587F4A8" w14:textId="77777777" w:rsidTr="00A011EA">
        <w:tc>
          <w:tcPr>
            <w:tcW w:w="2160" w:type="dxa"/>
            <w:shd w:val="clear" w:color="auto" w:fill="FFFFFF"/>
            <w:tcMar>
              <w:top w:w="75" w:type="dxa"/>
              <w:left w:w="100" w:type="dxa"/>
              <w:bottom w:w="75" w:type="dxa"/>
              <w:right w:w="100" w:type="dxa"/>
            </w:tcMar>
            <w:vAlign w:val="center"/>
          </w:tcPr>
          <w:p w14:paraId="3DD7D75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بوبر يُقدِّم</w:t>
            </w:r>
          </w:p>
        </w:tc>
        <w:tc>
          <w:tcPr>
            <w:tcW w:w="6480" w:type="dxa"/>
            <w:shd w:val="clear" w:color="auto" w:fill="FFFFFF"/>
            <w:tcMar>
              <w:top w:w="75" w:type="dxa"/>
              <w:left w:w="100" w:type="dxa"/>
              <w:bottom w:w="75" w:type="dxa"/>
              <w:right w:w="100" w:type="dxa"/>
            </w:tcMar>
            <w:vAlign w:val="center"/>
          </w:tcPr>
          <w:p w14:paraId="1C6C65B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المعيار التقييمي: متى يُعلَن فشل هذا البناء (ضابط التدهور)</w:t>
            </w:r>
          </w:p>
        </w:tc>
      </w:tr>
      <w:tr w:rsidR="005C0A79" w:rsidRPr="00B832F2" w14:paraId="227D5DC2" w14:textId="77777777" w:rsidTr="00A011EA">
        <w:tc>
          <w:tcPr>
            <w:tcW w:w="2160" w:type="dxa"/>
            <w:shd w:val="clear" w:color="auto" w:fill="EBF5FB"/>
            <w:tcMar>
              <w:top w:w="75" w:type="dxa"/>
              <w:left w:w="100" w:type="dxa"/>
              <w:bottom w:w="75" w:type="dxa"/>
              <w:right w:w="100" w:type="dxa"/>
            </w:tcMar>
            <w:vAlign w:val="center"/>
          </w:tcPr>
          <w:p w14:paraId="4BC1813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الجمع بينهما</w:t>
            </w:r>
          </w:p>
        </w:tc>
        <w:tc>
          <w:tcPr>
            <w:tcW w:w="6480" w:type="dxa"/>
            <w:shd w:val="clear" w:color="auto" w:fill="F5F0FF"/>
            <w:tcMar>
              <w:top w:w="75" w:type="dxa"/>
              <w:left w:w="100" w:type="dxa"/>
              <w:bottom w:w="75" w:type="dxa"/>
              <w:right w:w="100" w:type="dxa"/>
            </w:tcMar>
            <w:vAlign w:val="center"/>
          </w:tcPr>
          <w:p w14:paraId="5986C696"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لاكاتوش يصف كيف يُبنى المشروع، وبوبر يحدد متى يُعلن فشله</w:t>
            </w:r>
          </w:p>
        </w:tc>
      </w:tr>
    </w:tbl>
    <w:p w14:paraId="3E829938"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ولا أدّعي أن بوبر ولاكاتوش متفقان، وإنما أستعير من كلٍّ منهما أداة تخدم غرضًا لا يتعارضان فيه، كما يستعمل المهندس معادلات نيوتن للحركة المعتادة ومعادلات أينشتاين للسرعات العالية.</w:t>
      </w:r>
    </w:p>
    <w:p w14:paraId="333CC699" w14:textId="77777777" w:rsidR="005C0A79" w:rsidRPr="00B832F2" w:rsidRDefault="005C0A79" w:rsidP="005C0A79">
      <w:pPr>
        <w:bidi/>
        <w:spacing w:after="60"/>
        <w:rPr>
          <w:rFonts w:ascii="Sakkal Majalla" w:hAnsi="Sakkal Majalla" w:cs="Sakkal Majalla"/>
          <w:sz w:val="28"/>
          <w:szCs w:val="28"/>
        </w:rPr>
      </w:pPr>
    </w:p>
    <w:p w14:paraId="3D9B9979"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3.3  قائمة النفي الثمانية: حدود منهجية لا نتجاوزها</w:t>
      </w:r>
    </w:p>
    <w:p w14:paraId="155B9226"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وقبل صياغة الادعاء الإيجابي، أحدد ثمانية أمور يرفضها المشروع صراحة. ولكل منها سبب: خطأ منهجي تكرر في أدبيات سابقة.</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2880"/>
        <w:gridCol w:w="6475"/>
      </w:tblGrid>
      <w:tr w:rsidR="005C0A79" w:rsidRPr="00B832F2" w14:paraId="7E299DD4" w14:textId="77777777" w:rsidTr="00A011EA">
        <w:tc>
          <w:tcPr>
            <w:tcW w:w="360" w:type="dxa"/>
            <w:shd w:val="clear" w:color="auto" w:fill="1F3864"/>
            <w:tcMar>
              <w:top w:w="75" w:type="dxa"/>
              <w:left w:w="100" w:type="dxa"/>
              <w:bottom w:w="75" w:type="dxa"/>
              <w:right w:w="100" w:type="dxa"/>
            </w:tcMar>
            <w:vAlign w:val="center"/>
          </w:tcPr>
          <w:p w14:paraId="7502717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w:t>
            </w:r>
          </w:p>
        </w:tc>
        <w:tc>
          <w:tcPr>
            <w:tcW w:w="2880" w:type="dxa"/>
            <w:shd w:val="clear" w:color="auto" w:fill="1F3864"/>
            <w:tcMar>
              <w:top w:w="75" w:type="dxa"/>
              <w:left w:w="100" w:type="dxa"/>
              <w:bottom w:w="75" w:type="dxa"/>
              <w:right w:w="100" w:type="dxa"/>
            </w:tcMar>
            <w:vAlign w:val="center"/>
          </w:tcPr>
          <w:p w14:paraId="79C74B1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النفي المنهجي</w:t>
            </w:r>
          </w:p>
        </w:tc>
        <w:tc>
          <w:tcPr>
            <w:tcW w:w="6475" w:type="dxa"/>
            <w:shd w:val="clear" w:color="auto" w:fill="1F3864"/>
            <w:tcMar>
              <w:top w:w="75" w:type="dxa"/>
              <w:left w:w="100" w:type="dxa"/>
              <w:bottom w:w="75" w:type="dxa"/>
              <w:right w:w="100" w:type="dxa"/>
            </w:tcMar>
            <w:vAlign w:val="center"/>
          </w:tcPr>
          <w:p w14:paraId="6D98134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مثال الانتهاك + كيف يتجنبه هذا الكتاب</w:t>
            </w:r>
          </w:p>
        </w:tc>
      </w:tr>
      <w:tr w:rsidR="005C0A79" w:rsidRPr="00B832F2" w14:paraId="20DAF174" w14:textId="77777777" w:rsidTr="00A011EA">
        <w:tc>
          <w:tcPr>
            <w:tcW w:w="360" w:type="dxa"/>
            <w:shd w:val="clear" w:color="auto" w:fill="D6E4F0"/>
            <w:tcMar>
              <w:top w:w="75" w:type="dxa"/>
              <w:left w:w="100" w:type="dxa"/>
              <w:bottom w:w="75" w:type="dxa"/>
              <w:right w:w="100" w:type="dxa"/>
            </w:tcMar>
            <w:vAlign w:val="center"/>
          </w:tcPr>
          <w:p w14:paraId="1D98D00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1</w:t>
            </w:r>
          </w:p>
        </w:tc>
        <w:tc>
          <w:tcPr>
            <w:tcW w:w="2880" w:type="dxa"/>
            <w:shd w:val="clear" w:color="auto" w:fill="F8F8F8"/>
            <w:tcMar>
              <w:top w:w="75" w:type="dxa"/>
              <w:left w:w="100" w:type="dxa"/>
              <w:bottom w:w="75" w:type="dxa"/>
              <w:right w:w="100" w:type="dxa"/>
            </w:tcMar>
            <w:vAlign w:val="center"/>
          </w:tcPr>
          <w:p w14:paraId="0A7108F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تبحث في القرآن عن نظريات إدارية حديثة لإثبات أن القرآن "سبق" إليها</w:t>
            </w:r>
          </w:p>
        </w:tc>
        <w:tc>
          <w:tcPr>
            <w:tcW w:w="6475" w:type="dxa"/>
            <w:shd w:val="clear" w:color="auto" w:fill="EBF5FB"/>
            <w:tcMar>
              <w:top w:w="75" w:type="dxa"/>
              <w:left w:w="100" w:type="dxa"/>
              <w:bottom w:w="75" w:type="dxa"/>
              <w:right w:w="100" w:type="dxa"/>
            </w:tcMar>
            <w:vAlign w:val="center"/>
          </w:tcPr>
          <w:p w14:paraId="2D729C1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مثال الوقوع: "القرآن سبق نظرية الإدارة بالأهداف بأربعة عشر قرناً" — قسر للنص ليصبح تابعاً لمصطلح إداري ولد في سياق مختلف (Drucker, 1954). </w:t>
            </w:r>
            <w:r w:rsidRPr="00B832F2">
              <w:rPr>
                <w:rFonts w:ascii="Sakkal Majalla" w:hAnsi="Sakkal Majalla" w:cs="Sakkal Majalla"/>
                <w:color w:val="000000"/>
                <w:sz w:val="28"/>
                <w:szCs w:val="28"/>
                <w:rtl/>
              </w:rPr>
              <w:lastRenderedPageBreak/>
              <w:t>التجنب: البدء من السياق القرآني الكامل قبل أي مقارنة — لا ذكر للنظيرة الغربية إلا بعد إثبات المفهوم القرآني مستقلاً.</w:t>
            </w:r>
          </w:p>
        </w:tc>
      </w:tr>
      <w:tr w:rsidR="005C0A79" w:rsidRPr="00B832F2" w14:paraId="07A95650" w14:textId="77777777" w:rsidTr="00A011EA">
        <w:tc>
          <w:tcPr>
            <w:tcW w:w="360" w:type="dxa"/>
            <w:shd w:val="clear" w:color="auto" w:fill="FFFFFF"/>
            <w:tcMar>
              <w:top w:w="75" w:type="dxa"/>
              <w:left w:w="100" w:type="dxa"/>
              <w:bottom w:w="75" w:type="dxa"/>
              <w:right w:w="100" w:type="dxa"/>
            </w:tcMar>
            <w:vAlign w:val="center"/>
          </w:tcPr>
          <w:p w14:paraId="0A6DB37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lastRenderedPageBreak/>
              <w:t>2</w:t>
            </w:r>
          </w:p>
        </w:tc>
        <w:tc>
          <w:tcPr>
            <w:tcW w:w="2880" w:type="dxa"/>
            <w:shd w:val="clear" w:color="auto" w:fill="FFFFFF"/>
            <w:tcMar>
              <w:top w:w="75" w:type="dxa"/>
              <w:left w:w="100" w:type="dxa"/>
              <w:bottom w:w="75" w:type="dxa"/>
              <w:right w:w="100" w:type="dxa"/>
            </w:tcMar>
            <w:vAlign w:val="center"/>
          </w:tcPr>
          <w:p w14:paraId="2D8B1BF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تضع مفهوماً إدارياً حديثاً ثم تبحث له عن آية تؤيده</w:t>
            </w:r>
          </w:p>
        </w:tc>
        <w:tc>
          <w:tcPr>
            <w:tcW w:w="6475" w:type="dxa"/>
            <w:shd w:val="clear" w:color="auto" w:fill="FFFFFF"/>
            <w:tcMar>
              <w:top w:w="75" w:type="dxa"/>
              <w:left w:w="100" w:type="dxa"/>
              <w:bottom w:w="75" w:type="dxa"/>
              <w:right w:w="100" w:type="dxa"/>
            </w:tcMar>
            <w:vAlign w:val="center"/>
          </w:tcPr>
          <w:p w14:paraId="4CBCF25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هذا هو الانحياز التأكيدي (Confirmation Bias) الذي وثَّقه Nickerson (1998): "الظاهرة الأكثر انتشاراً بين كل التحيزات المعرفية المعروفة." التجنب: بروتوكول القراءة القرآنية (الفصل السادس) يفرض ترتيباً إلزامياً يبدأ بالسياق واللغة قبل أي ربط إداري.</w:t>
            </w:r>
          </w:p>
        </w:tc>
      </w:tr>
      <w:tr w:rsidR="005C0A79" w:rsidRPr="00B832F2" w14:paraId="1FE44211" w14:textId="77777777" w:rsidTr="00A011EA">
        <w:tc>
          <w:tcPr>
            <w:tcW w:w="360" w:type="dxa"/>
            <w:shd w:val="clear" w:color="auto" w:fill="D6E4F0"/>
            <w:tcMar>
              <w:top w:w="75" w:type="dxa"/>
              <w:left w:w="100" w:type="dxa"/>
              <w:bottom w:w="75" w:type="dxa"/>
              <w:right w:w="100" w:type="dxa"/>
            </w:tcMar>
            <w:vAlign w:val="center"/>
          </w:tcPr>
          <w:p w14:paraId="0660EDB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3</w:t>
            </w:r>
          </w:p>
        </w:tc>
        <w:tc>
          <w:tcPr>
            <w:tcW w:w="2880" w:type="dxa"/>
            <w:shd w:val="clear" w:color="auto" w:fill="F8F8F8"/>
            <w:tcMar>
              <w:top w:w="75" w:type="dxa"/>
              <w:left w:w="100" w:type="dxa"/>
              <w:bottom w:w="75" w:type="dxa"/>
              <w:right w:w="100" w:type="dxa"/>
            </w:tcMar>
            <w:vAlign w:val="center"/>
          </w:tcPr>
          <w:p w14:paraId="4F8C573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تُساوِ بين المصطلح القرآني والإداري لمجرد التشابه اللفظي</w:t>
            </w:r>
          </w:p>
        </w:tc>
        <w:tc>
          <w:tcPr>
            <w:tcW w:w="6475" w:type="dxa"/>
            <w:shd w:val="clear" w:color="auto" w:fill="EBF5FB"/>
            <w:tcMar>
              <w:top w:w="75" w:type="dxa"/>
              <w:left w:w="100" w:type="dxa"/>
              <w:bottom w:w="75" w:type="dxa"/>
              <w:right w:w="100" w:type="dxa"/>
            </w:tcMar>
            <w:vAlign w:val="center"/>
          </w:tcPr>
          <w:p w14:paraId="55FB2C6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مساواة "القوامة" القرآنية (النساء:34) بـ"القيادة الإدارية" لمجرد اشتراك الجذر (ق-و-م) — رغم اختلاف السياق والمقصد. التجنب: التحليل الجذري (منهج ابن فارس) يفصل الدلالة العامة عن الاستعمال السياقي الخاص في كل بطاقة هوية.</w:t>
            </w:r>
          </w:p>
        </w:tc>
      </w:tr>
      <w:tr w:rsidR="005C0A79" w:rsidRPr="00B832F2" w14:paraId="6ED3E692" w14:textId="77777777" w:rsidTr="00A011EA">
        <w:tc>
          <w:tcPr>
            <w:tcW w:w="360" w:type="dxa"/>
            <w:shd w:val="clear" w:color="auto" w:fill="FFFFFF"/>
            <w:tcMar>
              <w:top w:w="75" w:type="dxa"/>
              <w:left w:w="100" w:type="dxa"/>
              <w:bottom w:w="75" w:type="dxa"/>
              <w:right w:w="100" w:type="dxa"/>
            </w:tcMar>
            <w:vAlign w:val="center"/>
          </w:tcPr>
          <w:p w14:paraId="12C7524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4</w:t>
            </w:r>
          </w:p>
        </w:tc>
        <w:tc>
          <w:tcPr>
            <w:tcW w:w="2880" w:type="dxa"/>
            <w:shd w:val="clear" w:color="auto" w:fill="FFFFFF"/>
            <w:tcMar>
              <w:top w:w="75" w:type="dxa"/>
              <w:left w:w="100" w:type="dxa"/>
              <w:bottom w:w="75" w:type="dxa"/>
              <w:right w:w="100" w:type="dxa"/>
            </w:tcMar>
            <w:vAlign w:val="center"/>
          </w:tcPr>
          <w:p w14:paraId="03AD42C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تنسب إلى القرآن نموذجاً بشرياً دون التصريح بمستواه في السلم</w:t>
            </w:r>
          </w:p>
        </w:tc>
        <w:tc>
          <w:tcPr>
            <w:tcW w:w="6475" w:type="dxa"/>
            <w:shd w:val="clear" w:color="auto" w:fill="FFFFFF"/>
            <w:tcMar>
              <w:top w:w="75" w:type="dxa"/>
              <w:left w:w="100" w:type="dxa"/>
              <w:bottom w:w="75" w:type="dxa"/>
              <w:right w:w="100" w:type="dxa"/>
            </w:tcMar>
            <w:vAlign w:val="center"/>
          </w:tcPr>
          <w:p w14:paraId="28E83206"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«النموذج القرآني للحوكمة يقول كذا» دون بيان أنه اجتهاد في المستوى السادس لا نص مباشر. التجنب: كل ادعاء يحمل رقم مستواه (م1–م7) وهامش عدم اليقين بلا استثناء.</w:t>
            </w:r>
          </w:p>
        </w:tc>
      </w:tr>
      <w:tr w:rsidR="005C0A79" w:rsidRPr="00B832F2" w14:paraId="68B7ACCE" w14:textId="77777777" w:rsidTr="00A011EA">
        <w:tc>
          <w:tcPr>
            <w:tcW w:w="360" w:type="dxa"/>
            <w:shd w:val="clear" w:color="auto" w:fill="D6E4F0"/>
            <w:tcMar>
              <w:top w:w="75" w:type="dxa"/>
              <w:left w:w="100" w:type="dxa"/>
              <w:bottom w:w="75" w:type="dxa"/>
              <w:right w:w="100" w:type="dxa"/>
            </w:tcMar>
            <w:vAlign w:val="center"/>
          </w:tcPr>
          <w:p w14:paraId="5241597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5</w:t>
            </w:r>
          </w:p>
        </w:tc>
        <w:tc>
          <w:tcPr>
            <w:tcW w:w="2880" w:type="dxa"/>
            <w:shd w:val="clear" w:color="auto" w:fill="F8F8F8"/>
            <w:tcMar>
              <w:top w:w="75" w:type="dxa"/>
              <w:left w:w="100" w:type="dxa"/>
              <w:bottom w:w="75" w:type="dxa"/>
              <w:right w:w="100" w:type="dxa"/>
            </w:tcMar>
            <w:vAlign w:val="center"/>
          </w:tcPr>
          <w:p w14:paraId="3010F4D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تعتبر نجاح التطبيق دليلاً كافياً على القرآنية</w:t>
            </w:r>
          </w:p>
        </w:tc>
        <w:tc>
          <w:tcPr>
            <w:tcW w:w="6475" w:type="dxa"/>
            <w:shd w:val="clear" w:color="auto" w:fill="EBF5FB"/>
            <w:tcMar>
              <w:top w:w="75" w:type="dxa"/>
              <w:left w:w="100" w:type="dxa"/>
              <w:bottom w:w="75" w:type="dxa"/>
              <w:right w:w="100" w:type="dxa"/>
            </w:tcMar>
            <w:vAlign w:val="center"/>
          </w:tcPr>
          <w:p w14:paraId="158D4C6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نجاح مؤسسة طبَّقت "شورى قرآنية" لا يُثبت أصالتها — الشفافية تنجح بمعزل عن أي مرجعية دينية (Open-Book Management). التجنب: الأصالة تُثبَت بمحك الأصالة قبل أي ادعاء بالنجاح التطبيقي.</w:t>
            </w:r>
          </w:p>
        </w:tc>
      </w:tr>
      <w:tr w:rsidR="005C0A79" w:rsidRPr="00B832F2" w14:paraId="04D0DEDF" w14:textId="77777777" w:rsidTr="00A011EA">
        <w:tc>
          <w:tcPr>
            <w:tcW w:w="360" w:type="dxa"/>
            <w:shd w:val="clear" w:color="auto" w:fill="FFFFFF"/>
            <w:tcMar>
              <w:top w:w="75" w:type="dxa"/>
              <w:left w:w="100" w:type="dxa"/>
              <w:bottom w:w="75" w:type="dxa"/>
              <w:right w:w="100" w:type="dxa"/>
            </w:tcMar>
            <w:vAlign w:val="center"/>
          </w:tcPr>
          <w:p w14:paraId="696D41E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6</w:t>
            </w:r>
          </w:p>
        </w:tc>
        <w:tc>
          <w:tcPr>
            <w:tcW w:w="2880" w:type="dxa"/>
            <w:shd w:val="clear" w:color="auto" w:fill="FFFFFF"/>
            <w:tcMar>
              <w:top w:w="75" w:type="dxa"/>
              <w:left w:w="100" w:type="dxa"/>
              <w:bottom w:w="75" w:type="dxa"/>
              <w:right w:w="100" w:type="dxa"/>
            </w:tcMar>
            <w:vAlign w:val="center"/>
          </w:tcPr>
          <w:p w14:paraId="1F876BA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تعتبر فشل التطبيق دليلاً على خطأ النص القرآني</w:t>
            </w:r>
          </w:p>
        </w:tc>
        <w:tc>
          <w:tcPr>
            <w:tcW w:w="6475" w:type="dxa"/>
            <w:shd w:val="clear" w:color="auto" w:fill="FFFFFF"/>
            <w:tcMar>
              <w:top w:w="75" w:type="dxa"/>
              <w:left w:w="100" w:type="dxa"/>
              <w:bottom w:w="75" w:type="dxa"/>
              <w:right w:w="100" w:type="dxa"/>
            </w:tcMar>
            <w:vAlign w:val="center"/>
          </w:tcPr>
          <w:p w14:paraId="2938D85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هذا الوجه الآخر للنفي الخامس، وكلاهما ضروري. فالفشل التجريبي يوجّه المراجعة إلى مستويات الاشتقاق البشري (م1–م7) لا إلى النص نفسه. التجنب: آلية فض التعارض (§3.11) تحدد موضع المراجعة بدقة.</w:t>
            </w:r>
          </w:p>
        </w:tc>
      </w:tr>
      <w:tr w:rsidR="005C0A79" w:rsidRPr="00B832F2" w14:paraId="247D7223" w14:textId="77777777" w:rsidTr="00A011EA">
        <w:tc>
          <w:tcPr>
            <w:tcW w:w="360" w:type="dxa"/>
            <w:shd w:val="clear" w:color="auto" w:fill="D6E4F0"/>
            <w:tcMar>
              <w:top w:w="75" w:type="dxa"/>
              <w:left w:w="100" w:type="dxa"/>
              <w:bottom w:w="75" w:type="dxa"/>
              <w:right w:w="100" w:type="dxa"/>
            </w:tcMar>
            <w:vAlign w:val="center"/>
          </w:tcPr>
          <w:p w14:paraId="5C02D33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7</w:t>
            </w:r>
          </w:p>
        </w:tc>
        <w:tc>
          <w:tcPr>
            <w:tcW w:w="2880" w:type="dxa"/>
            <w:shd w:val="clear" w:color="auto" w:fill="F8F8F8"/>
            <w:tcMar>
              <w:top w:w="75" w:type="dxa"/>
              <w:left w:w="100" w:type="dxa"/>
              <w:bottom w:w="75" w:type="dxa"/>
              <w:right w:w="100" w:type="dxa"/>
            </w:tcMar>
            <w:vAlign w:val="center"/>
          </w:tcPr>
          <w:p w14:paraId="736F079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تستخدم القرآن لإضفاء الشرعية الدينية على نظرية مسبقة</w:t>
            </w:r>
          </w:p>
        </w:tc>
        <w:tc>
          <w:tcPr>
            <w:tcW w:w="6475" w:type="dxa"/>
            <w:shd w:val="clear" w:color="auto" w:fill="EBF5FB"/>
            <w:tcMar>
              <w:top w:w="75" w:type="dxa"/>
              <w:left w:w="100" w:type="dxa"/>
              <w:bottom w:w="75" w:type="dxa"/>
              <w:right w:w="100" w:type="dxa"/>
            </w:tcMar>
            <w:vAlign w:val="center"/>
          </w:tcPr>
          <w:p w14:paraId="0583987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مثال: مؤسسة اتخذت قرار تقليص أجور ثم بحثت عن آية "ابتلاء" لتبرير القرار — توظيف سياسي للنص لا بناء معرفي. التجنب: منهجية الاشتقاق مبنية على اتجاه واحد: من النص إلى المبدأ إلى التطبيق — لا العكس أبداً.</w:t>
            </w:r>
          </w:p>
        </w:tc>
      </w:tr>
      <w:tr w:rsidR="005C0A79" w:rsidRPr="00B832F2" w14:paraId="54A17F32" w14:textId="77777777" w:rsidTr="00A011EA">
        <w:tc>
          <w:tcPr>
            <w:tcW w:w="360" w:type="dxa"/>
            <w:shd w:val="clear" w:color="auto" w:fill="FFFFFF"/>
            <w:tcMar>
              <w:top w:w="75" w:type="dxa"/>
              <w:left w:w="100" w:type="dxa"/>
              <w:bottom w:w="75" w:type="dxa"/>
              <w:right w:w="100" w:type="dxa"/>
            </w:tcMar>
            <w:vAlign w:val="center"/>
          </w:tcPr>
          <w:p w14:paraId="7B907F2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8</w:t>
            </w:r>
          </w:p>
        </w:tc>
        <w:tc>
          <w:tcPr>
            <w:tcW w:w="2880" w:type="dxa"/>
            <w:shd w:val="clear" w:color="auto" w:fill="FFFFFF"/>
            <w:tcMar>
              <w:top w:w="75" w:type="dxa"/>
              <w:left w:w="100" w:type="dxa"/>
              <w:bottom w:w="75" w:type="dxa"/>
              <w:right w:w="100" w:type="dxa"/>
            </w:tcMar>
            <w:vAlign w:val="center"/>
          </w:tcPr>
          <w:p w14:paraId="716BF91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1F3864"/>
                <w:sz w:val="28"/>
                <w:szCs w:val="28"/>
                <w:rtl/>
              </w:rPr>
              <w:t>لا تدَّعِ أن القرآن كتاب إدارة بالمعنى الاصطلاحي الحديث</w:t>
            </w:r>
          </w:p>
        </w:tc>
        <w:tc>
          <w:tcPr>
            <w:tcW w:w="6475" w:type="dxa"/>
            <w:shd w:val="clear" w:color="auto" w:fill="FFFFFF"/>
            <w:tcMar>
              <w:top w:w="75" w:type="dxa"/>
              <w:left w:w="100" w:type="dxa"/>
              <w:bottom w:w="75" w:type="dxa"/>
              <w:right w:w="100" w:type="dxa"/>
            </w:tcMar>
            <w:vAlign w:val="center"/>
          </w:tcPr>
          <w:p w14:paraId="563F475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القرآن هداية شاملة لا دليل تشغيلي. العنوان ذاته "الإدارة القرآنية" لا "إدارة القرآن" — الفارق اللغوي يحمل الفارق المفهومي: نسبة الإدارة إلى القرآن لا القرآن إلى الإدارة.</w:t>
            </w:r>
          </w:p>
        </w:tc>
      </w:tr>
    </w:tbl>
    <w:p w14:paraId="529974C9" w14:textId="77777777" w:rsidR="005C0A79" w:rsidRPr="00B832F2" w:rsidRDefault="005C0A79" w:rsidP="005C0A79">
      <w:pPr>
        <w:bidi/>
        <w:spacing w:after="60"/>
        <w:rPr>
          <w:rFonts w:ascii="Sakkal Majalla" w:hAnsi="Sakkal Majalla" w:cs="Sakkal Majalla"/>
          <w:sz w:val="28"/>
          <w:szCs w:val="28"/>
        </w:rPr>
      </w:pPr>
      <w:r w:rsidRPr="00B832F2">
        <w:rPr>
          <w:rFonts w:ascii="Sakkal Majalla" w:hAnsi="Sakkal Majalla" w:cs="Sakkal Majalla"/>
          <w:i/>
          <w:iCs/>
          <w:color w:val="595959"/>
          <w:sz w:val="28"/>
          <w:szCs w:val="28"/>
          <w:rtl/>
        </w:rPr>
        <w:t>جدول 3.1 — قائمة النفي الثمانية مع مثال محدد لكل انتهاك محتمل وآلية تجنبه.</w:t>
      </w:r>
    </w:p>
    <w:p w14:paraId="642211C4"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0A1088BD"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3.4  الفرضية الصفرية: الصياغة الرسمية وتحليلها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6E4DDFB1" w14:textId="77777777" w:rsidTr="00A011EA">
        <w:tc>
          <w:tcPr>
            <w:tcW w:w="8640" w:type="dxa"/>
            <w:shd w:val="clear" w:color="auto" w:fill="C55A11"/>
            <w:tcMar>
              <w:top w:w="75" w:type="dxa"/>
              <w:left w:w="100" w:type="dxa"/>
              <w:bottom w:w="75" w:type="dxa"/>
              <w:right w:w="100" w:type="dxa"/>
            </w:tcMar>
            <w:vAlign w:val="center"/>
          </w:tcPr>
          <w:p w14:paraId="22994DE4"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ما معنى «الفرضية الصفرية» (Null Hypothesis)؟</w:t>
            </w:r>
          </w:p>
        </w:tc>
      </w:tr>
      <w:tr w:rsidR="005C0A79" w:rsidRPr="00B832F2" w14:paraId="50E78305" w14:textId="77777777" w:rsidTr="00A011EA">
        <w:tc>
          <w:tcPr>
            <w:tcW w:w="8640" w:type="dxa"/>
            <w:shd w:val="clear" w:color="auto" w:fill="FFF5E0"/>
            <w:tcMar>
              <w:top w:w="75" w:type="dxa"/>
              <w:left w:w="100" w:type="dxa"/>
              <w:bottom w:w="75" w:type="dxa"/>
              <w:right w:w="100" w:type="dxa"/>
            </w:tcMar>
            <w:vAlign w:val="center"/>
          </w:tcPr>
          <w:p w14:paraId="3C8B8E86"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في الإحصاء، الفرضية الصفرية افتراض يجب تحدّيه: «لا يوجد فرق» حتى يثبت العكس. وفي هذا الكتاب هي الادعاء الذي يجب نقضه لإثبات نجاح المشروع، مثل: «هذا المشروع فاشل إذا أثبت ناقد أن مخرجاته كلها نظريات غربية بمصطلحات عربية». والغرض ليس إثبات صحة مطلقة، بل تحديد متى نعترف بالفشل؛ وهذا ما يجعل المشروع علميًا لا دعويًا.</w:t>
            </w:r>
          </w:p>
        </w:tc>
      </w:tr>
    </w:tbl>
    <w:p w14:paraId="5C9A3693"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الإحصاء التقليدي، الفرضية الصفرية (H₀) افتراض محافظ يُعدّ صحيحًا حتى يثبت الدليل خلافه. وأستعير المصطلح هنا بمعنى أوسع، من فلسفة العلم: الادعاء الذي يُعلن به المشروع شرط فشله: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7DE37624" w14:textId="77777777" w:rsidTr="00A011EA">
        <w:tc>
          <w:tcPr>
            <w:tcW w:w="8640" w:type="dxa"/>
            <w:shd w:val="clear" w:color="auto" w:fill="C00000"/>
            <w:tcMar>
              <w:top w:w="75" w:type="dxa"/>
              <w:left w:w="100" w:type="dxa"/>
              <w:bottom w:w="75" w:type="dxa"/>
              <w:right w:w="100" w:type="dxa"/>
            </w:tcMar>
            <w:vAlign w:val="center"/>
          </w:tcPr>
          <w:p w14:paraId="232C847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H</w:t>
            </w:r>
            <w:r w:rsidRPr="00B832F2">
              <w:rPr>
                <w:rFonts w:ascii="Cambria Math" w:hAnsi="Cambria Math" w:cs="Cambria Math" w:hint="cs"/>
                <w:b/>
                <w:bCs/>
                <w:color w:val="FFFFFF"/>
                <w:sz w:val="28"/>
                <w:szCs w:val="28"/>
                <w:rtl/>
              </w:rPr>
              <w:t>₀</w:t>
            </w:r>
            <w:r w:rsidRPr="00B832F2">
              <w:rPr>
                <w:rFonts w:ascii="Sakkal Majalla" w:hAnsi="Sakkal Majalla" w:cs="Sakkal Majalla"/>
                <w:b/>
                <w:bCs/>
                <w:color w:val="FFFFFF"/>
                <w:sz w:val="28"/>
                <w:szCs w:val="28"/>
                <w:rtl/>
              </w:rPr>
              <w:t xml:space="preserve"> </w:t>
            </w:r>
            <w:r w:rsidRPr="00B832F2">
              <w:rPr>
                <w:rFonts w:ascii="Sakkal Majalla" w:hAnsi="Sakkal Majalla" w:cs="Sakkal Majalla" w:hint="cs"/>
                <w:b/>
                <w:bCs/>
                <w:color w:val="FFFFFF"/>
                <w:sz w:val="28"/>
                <w:szCs w:val="28"/>
                <w:rtl/>
              </w:rPr>
              <w:t>—</w:t>
            </w:r>
            <w:r w:rsidRPr="00B832F2">
              <w:rPr>
                <w:rFonts w:ascii="Sakkal Majalla" w:hAnsi="Sakkal Majalla" w:cs="Sakkal Majalla"/>
                <w:b/>
                <w:bCs/>
                <w:color w:val="FFFFFF"/>
                <w:sz w:val="28"/>
                <w:szCs w:val="28"/>
                <w:rtl/>
              </w:rPr>
              <w:t xml:space="preserve"> </w:t>
            </w:r>
            <w:r w:rsidRPr="00B832F2">
              <w:rPr>
                <w:rFonts w:ascii="Sakkal Majalla" w:hAnsi="Sakkal Majalla" w:cs="Sakkal Majalla" w:hint="cs"/>
                <w:b/>
                <w:bCs/>
                <w:color w:val="FFFFFF"/>
                <w:sz w:val="28"/>
                <w:szCs w:val="28"/>
                <w:rtl/>
              </w:rPr>
              <w:t>الفرضية</w:t>
            </w:r>
            <w:r w:rsidRPr="00B832F2">
              <w:rPr>
                <w:rFonts w:ascii="Sakkal Majalla" w:hAnsi="Sakkal Majalla" w:cs="Sakkal Majalla"/>
                <w:b/>
                <w:bCs/>
                <w:color w:val="FFFFFF"/>
                <w:sz w:val="28"/>
                <w:szCs w:val="28"/>
                <w:rtl/>
              </w:rPr>
              <w:t xml:space="preserve"> </w:t>
            </w:r>
            <w:r w:rsidRPr="00B832F2">
              <w:rPr>
                <w:rFonts w:ascii="Sakkal Majalla" w:hAnsi="Sakkal Majalla" w:cs="Sakkal Majalla" w:hint="cs"/>
                <w:b/>
                <w:bCs/>
                <w:color w:val="FFFFFF"/>
                <w:sz w:val="28"/>
                <w:szCs w:val="28"/>
                <w:rtl/>
              </w:rPr>
              <w:t>الصفرية</w:t>
            </w:r>
            <w:r w:rsidRPr="00B832F2">
              <w:rPr>
                <w:rFonts w:ascii="Sakkal Majalla" w:hAnsi="Sakkal Majalla" w:cs="Sakkal Majalla"/>
                <w:b/>
                <w:bCs/>
                <w:color w:val="FFFFFF"/>
                <w:sz w:val="28"/>
                <w:szCs w:val="28"/>
                <w:rtl/>
              </w:rPr>
              <w:t xml:space="preserve"> </w:t>
            </w:r>
            <w:r w:rsidRPr="00B832F2">
              <w:rPr>
                <w:rFonts w:ascii="Sakkal Majalla" w:hAnsi="Sakkal Majalla" w:cs="Sakkal Majalla" w:hint="cs"/>
                <w:b/>
                <w:bCs/>
                <w:color w:val="FFFFFF"/>
                <w:sz w:val="28"/>
                <w:szCs w:val="28"/>
                <w:rtl/>
              </w:rPr>
              <w:t>للمشروع</w:t>
            </w:r>
          </w:p>
        </w:tc>
      </w:tr>
      <w:tr w:rsidR="005C0A79" w:rsidRPr="00B832F2" w14:paraId="786C1614" w14:textId="77777777" w:rsidTr="00A011EA">
        <w:tc>
          <w:tcPr>
            <w:tcW w:w="8640" w:type="dxa"/>
            <w:shd w:val="clear" w:color="auto" w:fill="FFF0F0"/>
            <w:tcMar>
              <w:top w:w="75" w:type="dxa"/>
              <w:left w:w="100" w:type="dxa"/>
              <w:bottom w:w="75" w:type="dxa"/>
              <w:right w:w="100" w:type="dxa"/>
            </w:tcMar>
            <w:vAlign w:val="center"/>
          </w:tcPr>
          <w:p w14:paraId="1A382EE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يُعدّ هذا المشروع فاشلاً في مبتغاه إذا أثبت ناقد مستقل أن جميع مخرجاته يمكن اشتقاقها من نظريات إدارية بشرية موجودة دون الرجوع إلى النص القرآني أصلاً، أو أنها لا تعدو كونها إعادة تسمية بمصطلحات عربية لمفاهيم مطوَّرة خارج المنظومة الإسلامية.</w:t>
            </w:r>
          </w:p>
        </w:tc>
      </w:tr>
    </w:tbl>
    <w:p w14:paraId="6597E603" w14:textId="77777777" w:rsidR="005C0A79" w:rsidRPr="00B832F2" w:rsidRDefault="005C0A79" w:rsidP="005C0A79">
      <w:pPr>
        <w:bidi/>
        <w:spacing w:after="60"/>
        <w:rPr>
          <w:rFonts w:ascii="Sakkal Majalla" w:hAnsi="Sakkal Majalla" w:cs="Sakkal Majalla"/>
          <w:sz w:val="28"/>
          <w:szCs w:val="28"/>
        </w:rPr>
      </w:pPr>
    </w:p>
    <w:p w14:paraId="0F5FFEE6"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تحليل الصياغة كلمة كلمة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5C0A79" w:rsidRPr="00B832F2" w14:paraId="4F56D3A7" w14:textId="77777777" w:rsidTr="00A011EA">
        <w:tc>
          <w:tcPr>
            <w:tcW w:w="2160" w:type="dxa"/>
            <w:shd w:val="clear" w:color="auto" w:fill="1F3864"/>
            <w:tcMar>
              <w:top w:w="75" w:type="dxa"/>
              <w:left w:w="100" w:type="dxa"/>
              <w:bottom w:w="75" w:type="dxa"/>
              <w:right w:w="100" w:type="dxa"/>
            </w:tcMar>
            <w:vAlign w:val="center"/>
          </w:tcPr>
          <w:p w14:paraId="70C2700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العنصر اللغوي</w:t>
            </w:r>
          </w:p>
        </w:tc>
        <w:tc>
          <w:tcPr>
            <w:tcW w:w="6480" w:type="dxa"/>
            <w:shd w:val="clear" w:color="auto" w:fill="1F3864"/>
            <w:tcMar>
              <w:top w:w="75" w:type="dxa"/>
              <w:left w:w="100" w:type="dxa"/>
              <w:bottom w:w="75" w:type="dxa"/>
              <w:right w:w="100" w:type="dxa"/>
            </w:tcMar>
            <w:vAlign w:val="center"/>
          </w:tcPr>
          <w:p w14:paraId="6E51B34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لماذا هذا الاختيار بالذات — لا غيره</w:t>
            </w:r>
          </w:p>
        </w:tc>
      </w:tr>
      <w:tr w:rsidR="005C0A79" w:rsidRPr="00B832F2" w14:paraId="2C31CDB9" w14:textId="77777777" w:rsidTr="00A011EA">
        <w:tc>
          <w:tcPr>
            <w:tcW w:w="2160" w:type="dxa"/>
            <w:shd w:val="clear" w:color="auto" w:fill="EBF5FB"/>
            <w:tcMar>
              <w:top w:w="75" w:type="dxa"/>
              <w:left w:w="100" w:type="dxa"/>
              <w:bottom w:w="75" w:type="dxa"/>
              <w:right w:w="100" w:type="dxa"/>
            </w:tcMar>
            <w:vAlign w:val="center"/>
          </w:tcPr>
          <w:p w14:paraId="51027E1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"جميع مخرجاته" لا "بعضها"</w:t>
            </w:r>
          </w:p>
        </w:tc>
        <w:tc>
          <w:tcPr>
            <w:tcW w:w="6480" w:type="dxa"/>
            <w:shd w:val="clear" w:color="auto" w:fill="F5FAFF"/>
            <w:tcMar>
              <w:top w:w="75" w:type="dxa"/>
              <w:left w:w="100" w:type="dxa"/>
              <w:bottom w:w="75" w:type="dxa"/>
              <w:right w:w="100" w:type="dxa"/>
            </w:tcMar>
            <w:vAlign w:val="center"/>
          </w:tcPr>
          <w:p w14:paraId="67AB2831"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لو صيغت بـ«بعض» لفشل حتمًا أي مشروع فيه مئات المفاهيم. فالفشل الكلي مشروط بفشل المنظومة لا الوحدة، وكل مفهوم يُختبر مستقلًا بمحكّاته.</w:t>
            </w:r>
          </w:p>
        </w:tc>
      </w:tr>
      <w:tr w:rsidR="005C0A79" w:rsidRPr="00B832F2" w14:paraId="323DF225" w14:textId="77777777" w:rsidTr="00A011EA">
        <w:tc>
          <w:tcPr>
            <w:tcW w:w="2160" w:type="dxa"/>
            <w:shd w:val="clear" w:color="auto" w:fill="FFFFFF"/>
            <w:tcMar>
              <w:top w:w="75" w:type="dxa"/>
              <w:left w:w="100" w:type="dxa"/>
              <w:bottom w:w="75" w:type="dxa"/>
              <w:right w:w="100" w:type="dxa"/>
            </w:tcMar>
            <w:vAlign w:val="center"/>
          </w:tcPr>
          <w:p w14:paraId="0DADF79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"ناقد مستقل"</w:t>
            </w:r>
          </w:p>
        </w:tc>
        <w:tc>
          <w:tcPr>
            <w:tcW w:w="6480" w:type="dxa"/>
            <w:shd w:val="clear" w:color="auto" w:fill="FFFFFF"/>
            <w:tcMar>
              <w:top w:w="75" w:type="dxa"/>
              <w:left w:w="100" w:type="dxa"/>
              <w:bottom w:w="75" w:type="dxa"/>
              <w:right w:w="100" w:type="dxa"/>
            </w:tcMar>
            <w:vAlign w:val="center"/>
          </w:tcPr>
          <w:p w14:paraId="66003D56"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يعالج مشكلة الحكم الذاتي، كالتعمية المزدوجة في التجارب السريرية؛ فمن له مصلحة في نجاح المشروع لا يصلح حكمًا عليه.</w:t>
            </w:r>
          </w:p>
        </w:tc>
      </w:tr>
      <w:tr w:rsidR="005C0A79" w:rsidRPr="00B832F2" w14:paraId="5F7092A7" w14:textId="77777777" w:rsidTr="00A011EA">
        <w:tc>
          <w:tcPr>
            <w:tcW w:w="2160" w:type="dxa"/>
            <w:shd w:val="clear" w:color="auto" w:fill="EBF5FB"/>
            <w:tcMar>
              <w:top w:w="75" w:type="dxa"/>
              <w:left w:w="100" w:type="dxa"/>
              <w:bottom w:w="75" w:type="dxa"/>
              <w:right w:w="100" w:type="dxa"/>
            </w:tcMar>
            <w:vAlign w:val="center"/>
          </w:tcPr>
          <w:p w14:paraId="0D7F507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"دون الرجوع إلى النص القرآني أصلاً"</w:t>
            </w:r>
          </w:p>
        </w:tc>
        <w:tc>
          <w:tcPr>
            <w:tcW w:w="6480" w:type="dxa"/>
            <w:shd w:val="clear" w:color="auto" w:fill="F5FAFF"/>
            <w:tcMar>
              <w:top w:w="75" w:type="dxa"/>
              <w:left w:w="100" w:type="dxa"/>
              <w:bottom w:w="75" w:type="dxa"/>
              <w:right w:w="100" w:type="dxa"/>
            </w:tcMar>
            <w:vAlign w:val="center"/>
          </w:tcPr>
          <w:p w14:paraId="683F4CC2"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يشغّل «اختبار الاستغناء» (Redundancy Test): هل يمكن حذف القرآن والوصول إلى النتيجة نفسها؟ إن كان الجواب نعم، فالقرآن في النموذج زخرفة لا مصدر.</w:t>
            </w:r>
          </w:p>
        </w:tc>
      </w:tr>
      <w:tr w:rsidR="005C0A79" w:rsidRPr="00B832F2" w14:paraId="0BC5693E" w14:textId="77777777" w:rsidTr="00A011EA">
        <w:tc>
          <w:tcPr>
            <w:tcW w:w="2160" w:type="dxa"/>
            <w:shd w:val="clear" w:color="auto" w:fill="FFFFFF"/>
            <w:tcMar>
              <w:top w:w="75" w:type="dxa"/>
              <w:left w:w="100" w:type="dxa"/>
              <w:bottom w:w="75" w:type="dxa"/>
              <w:right w:w="100" w:type="dxa"/>
            </w:tcMar>
            <w:vAlign w:val="center"/>
          </w:tcPr>
          <w:p w14:paraId="7CB70B3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"إعادة تسمية بمصطلحات عربية"</w:t>
            </w:r>
          </w:p>
        </w:tc>
        <w:tc>
          <w:tcPr>
            <w:tcW w:w="6480" w:type="dxa"/>
            <w:shd w:val="clear" w:color="auto" w:fill="FFFFFF"/>
            <w:tcMar>
              <w:top w:w="75" w:type="dxa"/>
              <w:left w:w="100" w:type="dxa"/>
              <w:bottom w:w="75" w:type="dxa"/>
              <w:right w:w="100" w:type="dxa"/>
            </w:tcMar>
            <w:vAlign w:val="center"/>
          </w:tcPr>
          <w:p w14:paraId="15377663"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يستهدف أخطر أشكال الفشل وأكثرها خداعًا للنفس: شكل عربي وبنية غربية، وهو ما رأيناه في التمويل الإسلامي (الفصل الثاني).</w:t>
            </w:r>
          </w:p>
        </w:tc>
      </w:tr>
    </w:tbl>
    <w:p w14:paraId="2F63289F" w14:textId="77777777" w:rsidR="005C0A79" w:rsidRPr="00B832F2" w:rsidRDefault="005C0A79" w:rsidP="005C0A79">
      <w:pPr>
        <w:bidi/>
        <w:spacing w:after="60"/>
        <w:rPr>
          <w:rFonts w:ascii="Sakkal Majalla" w:hAnsi="Sakkal Majalla" w:cs="Sakkal Majalla"/>
          <w:sz w:val="28"/>
          <w:szCs w:val="28"/>
        </w:rPr>
      </w:pPr>
    </w:p>
    <w:p w14:paraId="0A1A1EFA"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كيف تعمل الفرضية الصفرية: من التصريح إلى الحكم</w:t>
      </w:r>
    </w:p>
    <w:p w14:paraId="27230DAD"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ولكي لا تبقى الفرضية الصفرية تصريحًا فلسفيًا، أتتبّع مسارها العملي من التصريح إلى الاختبار إلى الحكم: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5C0A79" w:rsidRPr="00B832F2" w14:paraId="1705BED5" w14:textId="77777777" w:rsidTr="00A011EA">
        <w:tc>
          <w:tcPr>
            <w:tcW w:w="1440" w:type="dxa"/>
            <w:shd w:val="clear" w:color="auto" w:fill="1F3864"/>
            <w:tcMar>
              <w:top w:w="75" w:type="dxa"/>
              <w:left w:w="100" w:type="dxa"/>
              <w:bottom w:w="75" w:type="dxa"/>
              <w:right w:w="100" w:type="dxa"/>
            </w:tcMar>
            <w:vAlign w:val="center"/>
          </w:tcPr>
          <w:p w14:paraId="06D069D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lastRenderedPageBreak/>
              <w:t>المرحلة</w:t>
            </w:r>
          </w:p>
        </w:tc>
        <w:tc>
          <w:tcPr>
            <w:tcW w:w="3600" w:type="dxa"/>
            <w:shd w:val="clear" w:color="auto" w:fill="1F3864"/>
            <w:tcMar>
              <w:top w:w="75" w:type="dxa"/>
              <w:left w:w="100" w:type="dxa"/>
              <w:bottom w:w="75" w:type="dxa"/>
              <w:right w:w="100" w:type="dxa"/>
            </w:tcMar>
            <w:vAlign w:val="center"/>
          </w:tcPr>
          <w:p w14:paraId="0477FA6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ما يحدث فعلياً</w:t>
            </w:r>
          </w:p>
        </w:tc>
        <w:tc>
          <w:tcPr>
            <w:tcW w:w="3600" w:type="dxa"/>
            <w:shd w:val="clear" w:color="auto" w:fill="1F3864"/>
            <w:tcMar>
              <w:top w:w="75" w:type="dxa"/>
              <w:left w:w="100" w:type="dxa"/>
              <w:bottom w:w="75" w:type="dxa"/>
              <w:right w:w="100" w:type="dxa"/>
            </w:tcMar>
            <w:vAlign w:val="center"/>
          </w:tcPr>
          <w:p w14:paraId="09CCF5F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من يتحمل المسؤولية</w:t>
            </w:r>
          </w:p>
        </w:tc>
      </w:tr>
      <w:tr w:rsidR="005C0A79" w:rsidRPr="00B832F2" w14:paraId="2A90B94C" w14:textId="77777777" w:rsidTr="00A011EA">
        <w:tc>
          <w:tcPr>
            <w:tcW w:w="1440" w:type="dxa"/>
            <w:shd w:val="clear" w:color="auto" w:fill="EBF5FB"/>
            <w:tcMar>
              <w:top w:w="75" w:type="dxa"/>
              <w:left w:w="100" w:type="dxa"/>
              <w:bottom w:w="75" w:type="dxa"/>
              <w:right w:w="100" w:type="dxa"/>
            </w:tcMar>
            <w:vAlign w:val="center"/>
          </w:tcPr>
          <w:p w14:paraId="5276B5A3" w14:textId="77777777" w:rsidR="005C0A79" w:rsidRPr="00B832F2" w:rsidRDefault="005C0A79" w:rsidP="00A011EA">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①</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التصريح</w:t>
            </w:r>
          </w:p>
        </w:tc>
        <w:tc>
          <w:tcPr>
            <w:tcW w:w="3600" w:type="dxa"/>
            <w:shd w:val="clear" w:color="auto" w:fill="F8F8F8"/>
            <w:tcMar>
              <w:top w:w="75" w:type="dxa"/>
              <w:left w:w="100" w:type="dxa"/>
              <w:bottom w:w="75" w:type="dxa"/>
              <w:right w:w="100" w:type="dxa"/>
            </w:tcMar>
            <w:vAlign w:val="center"/>
          </w:tcPr>
          <w:p w14:paraId="2F231A43"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يعلن المشروع الفرضية الصفرية في هذا الفصل، ويحدد شروط انهيارها بدقة.</w:t>
            </w:r>
          </w:p>
        </w:tc>
        <w:tc>
          <w:tcPr>
            <w:tcW w:w="3600" w:type="dxa"/>
            <w:shd w:val="clear" w:color="auto" w:fill="EBF5FB"/>
            <w:tcMar>
              <w:top w:w="75" w:type="dxa"/>
              <w:left w:w="100" w:type="dxa"/>
              <w:bottom w:w="75" w:type="dxa"/>
              <w:right w:w="100" w:type="dxa"/>
            </w:tcMar>
            <w:vAlign w:val="center"/>
          </w:tcPr>
          <w:p w14:paraId="70B3535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المؤلف، وهو ملتزم بالصياغة المعلنة ولا يحق له تعديلها لاحقًا.</w:t>
            </w:r>
          </w:p>
        </w:tc>
      </w:tr>
      <w:tr w:rsidR="005C0A79" w:rsidRPr="00B832F2" w14:paraId="68C29725" w14:textId="77777777" w:rsidTr="00A011EA">
        <w:tc>
          <w:tcPr>
            <w:tcW w:w="1440" w:type="dxa"/>
            <w:shd w:val="clear" w:color="auto" w:fill="FFFFFF"/>
            <w:tcMar>
              <w:top w:w="75" w:type="dxa"/>
              <w:left w:w="100" w:type="dxa"/>
              <w:bottom w:w="75" w:type="dxa"/>
              <w:right w:w="100" w:type="dxa"/>
            </w:tcMar>
            <w:vAlign w:val="center"/>
          </w:tcPr>
          <w:p w14:paraId="0D217526" w14:textId="77777777" w:rsidR="005C0A79" w:rsidRPr="00B832F2" w:rsidRDefault="005C0A79" w:rsidP="00A011EA">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②</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الاشتقاق</w:t>
            </w:r>
          </w:p>
        </w:tc>
        <w:tc>
          <w:tcPr>
            <w:tcW w:w="3600" w:type="dxa"/>
            <w:shd w:val="clear" w:color="auto" w:fill="FFFFFF"/>
            <w:tcMar>
              <w:top w:w="75" w:type="dxa"/>
              <w:left w:w="100" w:type="dxa"/>
              <w:bottom w:w="75" w:type="dxa"/>
              <w:right w:w="100" w:type="dxa"/>
            </w:tcMar>
            <w:vAlign w:val="center"/>
          </w:tcPr>
          <w:p w14:paraId="5797F2C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لكل مفهوم يُشتق من القرآن بطاقة هوية معرفية تحدد منطلقاته الوجودية والمعرفية.</w:t>
            </w:r>
          </w:p>
        </w:tc>
        <w:tc>
          <w:tcPr>
            <w:tcW w:w="3600" w:type="dxa"/>
            <w:shd w:val="clear" w:color="auto" w:fill="FFFFFF"/>
            <w:tcMar>
              <w:top w:w="75" w:type="dxa"/>
              <w:left w:w="100" w:type="dxa"/>
              <w:bottom w:w="75" w:type="dxa"/>
              <w:right w:w="100" w:type="dxa"/>
            </w:tcMar>
            <w:vAlign w:val="center"/>
          </w:tcPr>
          <w:p w14:paraId="7B4A343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الباحث الذي يبني البطاقة، وهو ملتزم ببروتوكول الاشتقاق.</w:t>
            </w:r>
          </w:p>
        </w:tc>
      </w:tr>
      <w:tr w:rsidR="005C0A79" w:rsidRPr="00B832F2" w14:paraId="72B45F12" w14:textId="77777777" w:rsidTr="00A011EA">
        <w:tc>
          <w:tcPr>
            <w:tcW w:w="1440" w:type="dxa"/>
            <w:shd w:val="clear" w:color="auto" w:fill="EBF5FB"/>
            <w:tcMar>
              <w:top w:w="75" w:type="dxa"/>
              <w:left w:w="100" w:type="dxa"/>
              <w:bottom w:w="75" w:type="dxa"/>
              <w:right w:w="100" w:type="dxa"/>
            </w:tcMar>
            <w:vAlign w:val="center"/>
          </w:tcPr>
          <w:p w14:paraId="0C2D4CDF" w14:textId="77777777" w:rsidR="005C0A79" w:rsidRPr="00B832F2" w:rsidRDefault="005C0A79" w:rsidP="00A011EA">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③</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التحكيم</w:t>
            </w:r>
          </w:p>
        </w:tc>
        <w:tc>
          <w:tcPr>
            <w:tcW w:w="3600" w:type="dxa"/>
            <w:shd w:val="clear" w:color="auto" w:fill="F8F8F8"/>
            <w:tcMar>
              <w:top w:w="75" w:type="dxa"/>
              <w:left w:w="100" w:type="dxa"/>
              <w:bottom w:w="75" w:type="dxa"/>
              <w:right w:w="100" w:type="dxa"/>
            </w:tcMar>
            <w:vAlign w:val="center"/>
          </w:tcPr>
          <w:p w14:paraId="40EAC61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ثلاثة محكّمين مستقلين يقيّمون كل بطاقة بمحكّات الأصالة والاستقلالية والتمييز.</w:t>
            </w:r>
          </w:p>
        </w:tc>
        <w:tc>
          <w:tcPr>
            <w:tcW w:w="3600" w:type="dxa"/>
            <w:shd w:val="clear" w:color="auto" w:fill="EBF5FB"/>
            <w:tcMar>
              <w:top w:w="75" w:type="dxa"/>
              <w:left w:w="100" w:type="dxa"/>
              <w:bottom w:w="75" w:type="dxa"/>
              <w:right w:w="100" w:type="dxa"/>
            </w:tcMar>
            <w:vAlign w:val="center"/>
          </w:tcPr>
          <w:p w14:paraId="09BEAB0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المحكّمون، ولا يعرفون نتيجة أي محك قبل تطبيقه.</w:t>
            </w:r>
          </w:p>
        </w:tc>
      </w:tr>
      <w:tr w:rsidR="005C0A79" w:rsidRPr="00B832F2" w14:paraId="2D0C9049" w14:textId="77777777" w:rsidTr="00A011EA">
        <w:tc>
          <w:tcPr>
            <w:tcW w:w="1440" w:type="dxa"/>
            <w:shd w:val="clear" w:color="auto" w:fill="FFFFFF"/>
            <w:tcMar>
              <w:top w:w="75" w:type="dxa"/>
              <w:left w:w="100" w:type="dxa"/>
              <w:bottom w:w="75" w:type="dxa"/>
              <w:right w:w="100" w:type="dxa"/>
            </w:tcMar>
            <w:vAlign w:val="center"/>
          </w:tcPr>
          <w:p w14:paraId="0CB01779" w14:textId="77777777" w:rsidR="005C0A79" w:rsidRPr="00B832F2" w:rsidRDefault="005C0A79" w:rsidP="00A011EA">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④</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الاختبار</w:t>
            </w:r>
          </w:p>
        </w:tc>
        <w:tc>
          <w:tcPr>
            <w:tcW w:w="3600" w:type="dxa"/>
            <w:shd w:val="clear" w:color="auto" w:fill="FFFFFF"/>
            <w:tcMar>
              <w:top w:w="75" w:type="dxa"/>
              <w:left w:w="100" w:type="dxa"/>
              <w:bottom w:w="75" w:type="dxa"/>
              <w:right w:w="100" w:type="dxa"/>
            </w:tcMar>
            <w:vAlign w:val="center"/>
          </w:tcPr>
          <w:p w14:paraId="5A81400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المرحلة الأولى من المشروع، تُختبَر كل فرضية اشتقاقية ميدانياً بالبروتوكولات الثلاثة.</w:t>
            </w:r>
          </w:p>
        </w:tc>
        <w:tc>
          <w:tcPr>
            <w:tcW w:w="3600" w:type="dxa"/>
            <w:shd w:val="clear" w:color="auto" w:fill="FFFFFF"/>
            <w:tcMar>
              <w:top w:w="75" w:type="dxa"/>
              <w:left w:w="100" w:type="dxa"/>
              <w:bottom w:w="75" w:type="dxa"/>
              <w:right w:w="100" w:type="dxa"/>
            </w:tcMar>
            <w:vAlign w:val="center"/>
          </w:tcPr>
          <w:p w14:paraId="2B81C91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المؤسسات المُشاركة + الفريق البحثي + لجنة المراجعة الخارجية.</w:t>
            </w:r>
          </w:p>
        </w:tc>
      </w:tr>
      <w:tr w:rsidR="005C0A79" w:rsidRPr="00B832F2" w14:paraId="18521337" w14:textId="77777777" w:rsidTr="00A011EA">
        <w:tc>
          <w:tcPr>
            <w:tcW w:w="1440" w:type="dxa"/>
            <w:shd w:val="clear" w:color="auto" w:fill="EBF5FB"/>
            <w:tcMar>
              <w:top w:w="75" w:type="dxa"/>
              <w:left w:w="100" w:type="dxa"/>
              <w:bottom w:w="75" w:type="dxa"/>
              <w:right w:w="100" w:type="dxa"/>
            </w:tcMar>
            <w:vAlign w:val="center"/>
          </w:tcPr>
          <w:p w14:paraId="56080FF1" w14:textId="77777777" w:rsidR="005C0A79" w:rsidRPr="00B832F2" w:rsidRDefault="005C0A79" w:rsidP="00A011EA">
            <w:pPr>
              <w:bidi/>
              <w:spacing w:before="50" w:after="50"/>
              <w:rPr>
                <w:rFonts w:ascii="Sakkal Majalla" w:hAnsi="Sakkal Majalla" w:cs="Sakkal Majalla"/>
                <w:sz w:val="28"/>
                <w:szCs w:val="28"/>
              </w:rPr>
            </w:pPr>
            <w:r w:rsidRPr="00B832F2">
              <w:rPr>
                <w:rFonts w:ascii="Cambria Math" w:hAnsi="Cambria Math" w:cs="Cambria Math" w:hint="cs"/>
                <w:b/>
                <w:bCs/>
                <w:color w:val="156082"/>
                <w:sz w:val="28"/>
                <w:szCs w:val="28"/>
                <w:rtl/>
              </w:rPr>
              <w:t>⑤</w:t>
            </w:r>
            <w:r w:rsidRPr="00B832F2">
              <w:rPr>
                <w:rFonts w:ascii="Sakkal Majalla" w:hAnsi="Sakkal Majalla" w:cs="Sakkal Majalla"/>
                <w:b/>
                <w:bCs/>
                <w:color w:val="156082"/>
                <w:sz w:val="28"/>
                <w:szCs w:val="28"/>
                <w:rtl/>
              </w:rPr>
              <w:t xml:space="preserve"> </w:t>
            </w:r>
            <w:r w:rsidRPr="00B832F2">
              <w:rPr>
                <w:rFonts w:ascii="Sakkal Majalla" w:hAnsi="Sakkal Majalla" w:cs="Sakkal Majalla" w:hint="cs"/>
                <w:b/>
                <w:bCs/>
                <w:color w:val="156082"/>
                <w:sz w:val="28"/>
                <w:szCs w:val="28"/>
                <w:rtl/>
              </w:rPr>
              <w:t>الحكم</w:t>
            </w:r>
          </w:p>
        </w:tc>
        <w:tc>
          <w:tcPr>
            <w:tcW w:w="3600" w:type="dxa"/>
            <w:shd w:val="clear" w:color="auto" w:fill="F8F8F8"/>
            <w:tcMar>
              <w:top w:w="75" w:type="dxa"/>
              <w:left w:w="100" w:type="dxa"/>
              <w:bottom w:w="75" w:type="dxa"/>
              <w:right w:w="100" w:type="dxa"/>
            </w:tcMar>
            <w:vAlign w:val="center"/>
          </w:tcPr>
          <w:p w14:paraId="0E587F13"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إذا ثبت تجريبيًا أن «جميع» المخرجات مطابقة للنظيرة الغربية، يُعلن فشل المشروع كله.</w:t>
            </w:r>
          </w:p>
        </w:tc>
        <w:tc>
          <w:tcPr>
            <w:tcW w:w="3600" w:type="dxa"/>
            <w:shd w:val="clear" w:color="auto" w:fill="EBF5FB"/>
            <w:tcMar>
              <w:top w:w="75" w:type="dxa"/>
              <w:left w:w="100" w:type="dxa"/>
              <w:bottom w:w="75" w:type="dxa"/>
              <w:right w:w="100" w:type="dxa"/>
            </w:tcMar>
            <w:vAlign w:val="center"/>
          </w:tcPr>
          <w:p w14:paraId="740FAC4E"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مجلس علمي مستقل، لا المؤلف ولا المؤسسة الناشرة.</w:t>
            </w:r>
          </w:p>
        </w:tc>
      </w:tr>
    </w:tbl>
    <w:p w14:paraId="1FB7E798" w14:textId="77777777" w:rsidR="005C0A79" w:rsidRPr="00B832F2" w:rsidRDefault="005C0A79" w:rsidP="005C0A79">
      <w:pPr>
        <w:bidi/>
        <w:spacing w:after="60"/>
        <w:rPr>
          <w:rFonts w:ascii="Sakkal Majalla" w:hAnsi="Sakkal Majalla" w:cs="Sakkal Majalla"/>
          <w:sz w:val="28"/>
          <w:szCs w:val="28"/>
        </w:rPr>
      </w:pPr>
    </w:p>
    <w:p w14:paraId="6D3C780D"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بهذا المسار الخماسي تتحول الفرضية الصفرية من تصريح نظري إلى أداة حوكمة علمية: لكل مرحلة مسؤول محدد، وكل تحيّز محتمل في مرحلة تحاصره مسؤولية مرحلة تالية مستقلة عنها.</w:t>
      </w:r>
    </w:p>
    <w:p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وقبل تفصيل المحكّات الثلاثة، أعرّفها باختصار. أعني بالأصالة وجود أصل نصي أو دلالي يمكن تتبعه دون قفزة غير معلنة. وأعني بالاستقلالية أن مسار بناء المفهوم لا يعتمد اعتمادًا حاسمًا على نظرية خارجية ثم يستعير من القرآن مفرداتها فقط. أما التمييز فيعني أن المفهوم، حين يوضع في موقف إداري محدد، يقود إلى سؤال أو قرار أو ترتيب أولويات يختلف عن البدائل المقارنة اختلافًا يمكن وصفه، لا مجرد الإحساس به. ولا تنتج هذه المحكّات رقمًا سحريًا، ولا تلغي الاجتهاد، لكنها تمنع الخلط بين أنواع مختلفة من الادعاء.</w:t>
      </w:r>
    </w:p>
    <w:p w14:paraId="43D66FA7"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148626EC"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3.5  المحك الأول: الأصالة</w:t>
      </w:r>
    </w:p>
    <w:p w14:paraId="798FE99F"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يتحقق محك الأصالة إذا أجاب ثلاثة باحثين مستقلين، من تخصصات تشمل إدارة الأعمال والدراسات القرآنية والفلسفة، بالإيجاب عن السؤال الآتي: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771B2B25" w14:textId="77777777" w:rsidTr="00A011EA">
        <w:tc>
          <w:tcPr>
            <w:tcW w:w="8640" w:type="dxa"/>
            <w:shd w:val="clear" w:color="auto" w:fill="156082"/>
            <w:tcMar>
              <w:top w:w="75" w:type="dxa"/>
              <w:left w:w="100" w:type="dxa"/>
              <w:bottom w:w="75" w:type="dxa"/>
              <w:right w:w="100" w:type="dxa"/>
            </w:tcMar>
            <w:vAlign w:val="center"/>
          </w:tcPr>
          <w:p w14:paraId="21027A51"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السؤال الإجرائي لمحك الأصالة</w:t>
            </w:r>
          </w:p>
        </w:tc>
      </w:tr>
      <w:tr w:rsidR="005C0A79" w:rsidRPr="00B832F2" w14:paraId="5AF39DF7" w14:textId="77777777" w:rsidTr="00A011EA">
        <w:tc>
          <w:tcPr>
            <w:tcW w:w="8640" w:type="dxa"/>
            <w:shd w:val="clear" w:color="auto" w:fill="EBF5FB"/>
            <w:tcMar>
              <w:top w:w="75" w:type="dxa"/>
              <w:left w:w="100" w:type="dxa"/>
              <w:bottom w:w="75" w:type="dxa"/>
              <w:right w:w="100" w:type="dxa"/>
            </w:tcMar>
            <w:vAlign w:val="center"/>
          </w:tcPr>
          <w:p w14:paraId="685333B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لو أزلنا الجذر القرآني وأبقينا المفهوم الإداري وحده — هل يصبح مطابقاً لنظيره الغربي أم يظل مختلفاً في منطلقاته الوجودية أو المعرفية؟</w:t>
            </w:r>
          </w:p>
        </w:tc>
      </w:tr>
    </w:tbl>
    <w:p w14:paraId="4EFFE632" w14:textId="77777777" w:rsidR="005C0A79" w:rsidRPr="00B832F2" w:rsidRDefault="005C0A79" w:rsidP="005C0A79">
      <w:pPr>
        <w:bidi/>
        <w:spacing w:after="60"/>
        <w:rPr>
          <w:rFonts w:ascii="Sakkal Majalla" w:hAnsi="Sakkal Majalla" w:cs="Sakkal Majalla"/>
          <w:sz w:val="28"/>
          <w:szCs w:val="28"/>
        </w:rPr>
      </w:pPr>
    </w:p>
    <w:p w14:paraId="4A2EE15B"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معيار الاختلاف الجوهري: ليس كل اختلاف يكفي</w:t>
      </w:r>
    </w:p>
    <w:p w14:paraId="03884E0F"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وليس كل اختلاف يحقق المحك؛ فالاختلاف المعتبر يقع في أحد مستويين:</w:t>
      </w:r>
    </w:p>
    <w:p w14:paraId="1F273B71"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المنطلق الوجودي: الافتراض عن طبيعة الإنسان (مستخلَف أم نفعي رشيد).</w:t>
      </w:r>
    </w:p>
    <w:p w14:paraId="3F20150C"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المنطلق المعرفي: مصدر المعرفة والقيم (الوحي أم التجربة المحضة).</w:t>
      </w:r>
    </w:p>
    <w:p w14:paraId="4CD453A3"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أما الاختلاف اللفظي، كأن نسمّي «الثقة المؤسسية» «أمانة» دون تغيير في بنيتها المفهومية، فلا يحقق المحك مهما بدا واضحًا على مستوى المصطلح.</w:t>
      </w:r>
    </w:p>
    <w:p w14:paraId="08996BBC"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إجراء الاختبار: بروتوكول قابل للتكرار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8280"/>
      </w:tblGrid>
      <w:tr w:rsidR="005C0A79" w:rsidRPr="00B832F2" w14:paraId="56739B97" w14:textId="77777777" w:rsidTr="00A011EA">
        <w:tc>
          <w:tcPr>
            <w:tcW w:w="360" w:type="dxa"/>
            <w:shd w:val="clear" w:color="auto" w:fill="1F3864"/>
            <w:tcMar>
              <w:top w:w="75" w:type="dxa"/>
              <w:left w:w="100" w:type="dxa"/>
              <w:bottom w:w="75" w:type="dxa"/>
              <w:right w:w="100" w:type="dxa"/>
            </w:tcMar>
            <w:vAlign w:val="center"/>
          </w:tcPr>
          <w:p w14:paraId="00C6C4C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hint="cs"/>
                <w:b/>
                <w:bCs/>
                <w:color w:val="FFFFFF"/>
                <w:sz w:val="28"/>
                <w:szCs w:val="28"/>
                <w:rtl/>
              </w:rPr>
              <w:t>م</w:t>
            </w:r>
          </w:p>
        </w:tc>
        <w:tc>
          <w:tcPr>
            <w:tcW w:w="8280" w:type="dxa"/>
            <w:shd w:val="clear" w:color="auto" w:fill="1F3864"/>
            <w:tcMar>
              <w:top w:w="75" w:type="dxa"/>
              <w:left w:w="100" w:type="dxa"/>
              <w:bottom w:w="75" w:type="dxa"/>
              <w:right w:w="100" w:type="dxa"/>
            </w:tcMar>
            <w:vAlign w:val="center"/>
          </w:tcPr>
          <w:p w14:paraId="6477794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الإجراء التفصيلي</w:t>
            </w:r>
          </w:p>
        </w:tc>
      </w:tr>
      <w:tr w:rsidR="005C0A79" w:rsidRPr="00B832F2" w14:paraId="02122C1A" w14:textId="77777777" w:rsidTr="00A011EA">
        <w:tc>
          <w:tcPr>
            <w:tcW w:w="360" w:type="dxa"/>
            <w:shd w:val="clear" w:color="auto" w:fill="EBF5FB"/>
            <w:tcMar>
              <w:top w:w="75" w:type="dxa"/>
              <w:left w:w="100" w:type="dxa"/>
              <w:bottom w:w="75" w:type="dxa"/>
              <w:right w:w="100" w:type="dxa"/>
            </w:tcMar>
            <w:vAlign w:val="center"/>
          </w:tcPr>
          <w:p w14:paraId="2C24C12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1</w:t>
            </w:r>
          </w:p>
        </w:tc>
        <w:tc>
          <w:tcPr>
            <w:tcW w:w="8280" w:type="dxa"/>
            <w:shd w:val="clear" w:color="auto" w:fill="F5FAFF"/>
            <w:tcMar>
              <w:top w:w="75" w:type="dxa"/>
              <w:left w:w="100" w:type="dxa"/>
              <w:bottom w:w="75" w:type="dxa"/>
              <w:right w:w="100" w:type="dxa"/>
            </w:tcMar>
            <w:vAlign w:val="center"/>
          </w:tcPr>
          <w:p w14:paraId="1912D215"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يُقدَّم للمحكّمين الثلاثة وصف المفهوم القرآني كاملًا من بطاقة الهوية المعرفية (15 حقلًا)، دون الكشف عن اسم النظيرة الغربية المقارنة.</w:t>
            </w:r>
          </w:p>
        </w:tc>
      </w:tr>
      <w:tr w:rsidR="005C0A79" w:rsidRPr="00B832F2" w14:paraId="4AFBB276" w14:textId="77777777" w:rsidTr="00A011EA">
        <w:tc>
          <w:tcPr>
            <w:tcW w:w="360" w:type="dxa"/>
            <w:shd w:val="clear" w:color="auto" w:fill="FFFFFF"/>
            <w:tcMar>
              <w:top w:w="75" w:type="dxa"/>
              <w:left w:w="100" w:type="dxa"/>
              <w:bottom w:w="75" w:type="dxa"/>
              <w:right w:w="100" w:type="dxa"/>
            </w:tcMar>
            <w:vAlign w:val="center"/>
          </w:tcPr>
          <w:p w14:paraId="0E3284F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2</w:t>
            </w:r>
          </w:p>
        </w:tc>
        <w:tc>
          <w:tcPr>
            <w:tcW w:w="8280" w:type="dxa"/>
            <w:shd w:val="clear" w:color="auto" w:fill="FFFFFF"/>
            <w:tcMar>
              <w:top w:w="75" w:type="dxa"/>
              <w:left w:w="100" w:type="dxa"/>
              <w:bottom w:w="75" w:type="dxa"/>
              <w:right w:w="100" w:type="dxa"/>
            </w:tcMar>
            <w:vAlign w:val="center"/>
          </w:tcPr>
          <w:p w14:paraId="4323AEF5"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يكتب كل محكّم منفردًا وصفًا مستقلًا لما يراه المنطلق الوجودي والمعرفي للمفهوم القرآني.</w:t>
            </w:r>
          </w:p>
        </w:tc>
      </w:tr>
      <w:tr w:rsidR="005C0A79" w:rsidRPr="00B832F2" w14:paraId="0363A6AC" w14:textId="77777777" w:rsidTr="00A011EA">
        <w:tc>
          <w:tcPr>
            <w:tcW w:w="360" w:type="dxa"/>
            <w:shd w:val="clear" w:color="auto" w:fill="EBF5FB"/>
            <w:tcMar>
              <w:top w:w="75" w:type="dxa"/>
              <w:left w:w="100" w:type="dxa"/>
              <w:bottom w:w="75" w:type="dxa"/>
              <w:right w:w="100" w:type="dxa"/>
            </w:tcMar>
            <w:vAlign w:val="center"/>
          </w:tcPr>
          <w:p w14:paraId="34FA415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3</w:t>
            </w:r>
          </w:p>
        </w:tc>
        <w:tc>
          <w:tcPr>
            <w:tcW w:w="8280" w:type="dxa"/>
            <w:shd w:val="clear" w:color="auto" w:fill="F5FAFF"/>
            <w:tcMar>
              <w:top w:w="75" w:type="dxa"/>
              <w:left w:w="100" w:type="dxa"/>
              <w:bottom w:w="75" w:type="dxa"/>
              <w:right w:w="100" w:type="dxa"/>
            </w:tcMar>
            <w:vAlign w:val="center"/>
          </w:tcPr>
          <w:p w14:paraId="7FA8A23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بعد ذلك فقط يُقدَّم لهم وصف أقرب نظيرة غربية من أدبياتها الأصلية، لا من ملخصات ثانوية.</w:t>
            </w:r>
          </w:p>
        </w:tc>
      </w:tr>
      <w:tr w:rsidR="005C0A79" w:rsidRPr="00B832F2" w14:paraId="3824C954" w14:textId="77777777" w:rsidTr="00A011EA">
        <w:tc>
          <w:tcPr>
            <w:tcW w:w="360" w:type="dxa"/>
            <w:shd w:val="clear" w:color="auto" w:fill="FFFFFF"/>
            <w:tcMar>
              <w:top w:w="75" w:type="dxa"/>
              <w:left w:w="100" w:type="dxa"/>
              <w:bottom w:w="75" w:type="dxa"/>
              <w:right w:w="100" w:type="dxa"/>
            </w:tcMar>
            <w:vAlign w:val="center"/>
          </w:tcPr>
          <w:p w14:paraId="20FDB8A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4</w:t>
            </w:r>
          </w:p>
        </w:tc>
        <w:tc>
          <w:tcPr>
            <w:tcW w:w="8280" w:type="dxa"/>
            <w:shd w:val="clear" w:color="auto" w:fill="FFFFFF"/>
            <w:tcMar>
              <w:top w:w="75" w:type="dxa"/>
              <w:left w:w="100" w:type="dxa"/>
              <w:bottom w:w="75" w:type="dxa"/>
              <w:right w:w="100" w:type="dxa"/>
            </w:tcMar>
            <w:vAlign w:val="center"/>
          </w:tcPr>
          <w:p w14:paraId="40A2946C"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يحدد كل منهم منفردًا: هل المنطلقان متطابقان أم مختلفان؟ وما نوع الاختلاف: وجودي أم معرفي أم لفظي فقط؟</w:t>
            </w:r>
          </w:p>
        </w:tc>
      </w:tr>
      <w:tr w:rsidR="005C0A79" w:rsidRPr="00B832F2" w14:paraId="74DD6AE8" w14:textId="77777777" w:rsidTr="00A011EA">
        <w:tc>
          <w:tcPr>
            <w:tcW w:w="360" w:type="dxa"/>
            <w:shd w:val="clear" w:color="auto" w:fill="EBF5FB"/>
            <w:tcMar>
              <w:top w:w="75" w:type="dxa"/>
              <w:left w:w="100" w:type="dxa"/>
              <w:bottom w:w="75" w:type="dxa"/>
              <w:right w:w="100" w:type="dxa"/>
            </w:tcMar>
            <w:vAlign w:val="center"/>
          </w:tcPr>
          <w:p w14:paraId="764C6A0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5</w:t>
            </w:r>
          </w:p>
        </w:tc>
        <w:tc>
          <w:tcPr>
            <w:tcW w:w="8280" w:type="dxa"/>
            <w:shd w:val="clear" w:color="auto" w:fill="F5FAFF"/>
            <w:tcMar>
              <w:top w:w="75" w:type="dxa"/>
              <w:left w:w="100" w:type="dxa"/>
              <w:bottom w:w="75" w:type="dxa"/>
              <w:right w:w="100" w:type="dxa"/>
            </w:tcMar>
            <w:vAlign w:val="center"/>
          </w:tcPr>
          <w:p w14:paraId="6C8CE942"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يتحقق المحك إذا اتفق اثنان من الثلاثة على اختلاف وجودي أو معرفي حقيقي، لا لفظي.</w:t>
            </w:r>
          </w:p>
        </w:tc>
      </w:tr>
      <w:tr w:rsidR="005C0A79" w:rsidRPr="00B832F2" w14:paraId="2471916B" w14:textId="77777777" w:rsidTr="00A011EA">
        <w:tc>
          <w:tcPr>
            <w:tcW w:w="360" w:type="dxa"/>
            <w:shd w:val="clear" w:color="auto" w:fill="FFFFFF"/>
            <w:tcMar>
              <w:top w:w="75" w:type="dxa"/>
              <w:left w:w="100" w:type="dxa"/>
              <w:bottom w:w="75" w:type="dxa"/>
              <w:right w:w="100" w:type="dxa"/>
            </w:tcMar>
            <w:vAlign w:val="center"/>
          </w:tcPr>
          <w:p w14:paraId="6D5B2FB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6</w:t>
            </w:r>
          </w:p>
        </w:tc>
        <w:tc>
          <w:tcPr>
            <w:tcW w:w="8280" w:type="dxa"/>
            <w:shd w:val="clear" w:color="auto" w:fill="FFFFFF"/>
            <w:tcMar>
              <w:top w:w="75" w:type="dxa"/>
              <w:left w:w="100" w:type="dxa"/>
              <w:bottom w:w="75" w:type="dxa"/>
              <w:right w:w="100" w:type="dxa"/>
            </w:tcMar>
            <w:vAlign w:val="center"/>
          </w:tcPr>
          <w:p w14:paraId="5E41FC1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يُوثَّق الاختلاف المتفق عليه حرفيًا في البطاقة، مع أسماء المحكّمين وتاريخ المراجعة.</w:t>
            </w:r>
          </w:p>
        </w:tc>
      </w:tr>
    </w:tbl>
    <w:p w14:paraId="33E48825" w14:textId="77777777" w:rsidR="005C0A79" w:rsidRPr="00B832F2" w:rsidRDefault="005C0A79" w:rsidP="005C0A79">
      <w:pPr>
        <w:bidi/>
        <w:spacing w:after="60"/>
        <w:rPr>
          <w:rFonts w:ascii="Sakkal Majalla" w:hAnsi="Sakkal Majalla" w:cs="Sakkal Majalla"/>
          <w:sz w:val="28"/>
          <w:szCs w:val="28"/>
        </w:rPr>
      </w:pPr>
    </w:p>
    <w:p w14:paraId="6147B7D9" w14:textId="77777777" w:rsidR="005C0A79" w:rsidRPr="00B832F2" w:rsidRDefault="005C0A79" w:rsidP="005C0A79">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وضمانةً إضافية، أشترط أن يكون أحد المحكّمين الثلاثة على الأقل معروفًا بموقف نقدي معلن من مشاريع «الأسلمة» عمومًا، حتى لا يُختار المحكّمون على هوى المشروع.</w:t>
      </w:r>
    </w:p>
    <w:p w14:paraId="1764F9D1" w14:textId="77777777" w:rsidR="005C0A79" w:rsidRPr="00B832F2" w:rsidRDefault="005C0A79" w:rsidP="005C0A79">
      <w:pPr>
        <w:bidi/>
        <w:spacing w:after="60"/>
        <w:rPr>
          <w:rFonts w:ascii="Sakkal Majalla" w:hAnsi="Sakkal Majalla" w:cs="Sakkal Majalla"/>
          <w:sz w:val="28"/>
          <w:szCs w:val="28"/>
        </w:rPr>
      </w:pPr>
    </w:p>
    <w:p w14:paraId="17D095AE"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380AE404"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3.6  المحك الثاني: الاستقلالية</w:t>
      </w:r>
    </w:p>
    <w:p w14:paraId="14DA42F3"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يتحقق محك الاستقلالية إذا طبّق «باحث مقيَّد» (Blind Researcher)، لا يعرف الأدبيات الإدارية الغربية المقارَنة، بروتوكول القراءة القرآنية على النص، فتوصّل إلى مفهوم من الفئة نفسها بفارق لا يتجاوز مستوى واحدًا في سلم الاشتقاق.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07D9E81B" w14:textId="77777777" w:rsidTr="00A011EA">
        <w:tc>
          <w:tcPr>
            <w:tcW w:w="8640" w:type="dxa"/>
            <w:shd w:val="clear" w:color="auto" w:fill="375623"/>
            <w:tcMar>
              <w:top w:w="75" w:type="dxa"/>
              <w:left w:w="100" w:type="dxa"/>
              <w:bottom w:w="75" w:type="dxa"/>
              <w:right w:w="100" w:type="dxa"/>
            </w:tcMar>
            <w:vAlign w:val="center"/>
          </w:tcPr>
          <w:p w14:paraId="1447216C"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السؤال المحوري لمحك الاستقلالية</w:t>
            </w:r>
          </w:p>
        </w:tc>
      </w:tr>
      <w:tr w:rsidR="005C0A79" w:rsidRPr="00B832F2" w14:paraId="0FA6E488" w14:textId="77777777" w:rsidTr="00A011EA">
        <w:tc>
          <w:tcPr>
            <w:tcW w:w="8640" w:type="dxa"/>
            <w:shd w:val="clear" w:color="auto" w:fill="EBF5E0"/>
            <w:tcMar>
              <w:top w:w="75" w:type="dxa"/>
              <w:left w:w="100" w:type="dxa"/>
              <w:bottom w:w="75" w:type="dxa"/>
              <w:right w:w="100" w:type="dxa"/>
            </w:tcMar>
            <w:vAlign w:val="center"/>
          </w:tcPr>
          <w:p w14:paraId="4DAA0C4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هل يستطيع قارئ للقرآن لا يعرف Stewardship Theory أن يصل إلى مفهوم "الأمانة الإدارية" من القرآن وحده بتطبيق البروتوكول؟</w:t>
            </w:r>
          </w:p>
        </w:tc>
      </w:tr>
    </w:tbl>
    <w:p w14:paraId="1099E0DE" w14:textId="77777777" w:rsidR="005C0A79" w:rsidRPr="00B832F2" w:rsidRDefault="005C0A79" w:rsidP="005C0A79">
      <w:pPr>
        <w:bidi/>
        <w:spacing w:after="60"/>
        <w:rPr>
          <w:rFonts w:ascii="Sakkal Majalla" w:hAnsi="Sakkal Majalla" w:cs="Sakkal Majalla"/>
          <w:sz w:val="28"/>
          <w:szCs w:val="28"/>
        </w:rPr>
      </w:pPr>
    </w:p>
    <w:p w14:paraId="7A54659C"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التأويلي: هل يوجد «قارئ بريء» أصلًا؟</w:t>
      </w:r>
    </w:p>
    <w:p w14:paraId="12CAFE05"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يواجه هذا المحك اعتراضًا عميقًا من التقليد التأويلي (الهيرمينوطيقا) الذي أرساه هانس-غيورغ غادامير: لا يوجد قارئ «مقيَّد» بالمعنى المطلق، لأن كل فهم يحدث داخل «أفق مسبق» (Vorverständnis) تشكّل من كل ما عرفه القارئ، ومنه ما تشرّبه دون وعي من مفاهيم إدارية حديثة عبر التعليم والإعلام والثقافة العامة، وإن لم يدرسها أكاديميًا.</w:t>
      </w:r>
    </w:p>
    <w:p w14:paraId="107FD279"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Gadamer, H-G. (1960/2004). Truth and Method. Continuum. المفهوم المحوري: "Wirkungsgeschichtliches Bewusstsein" (الوعي المتشكل تاريخياً).</w:t>
      </w:r>
    </w:p>
    <w:p w14:paraId="12BA1878"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والاعتراض صحيح جزئيًا ولا يمكن دفعه كليًا، لكنه لا يُبطل المحك، بل يعيد تعريف ما يمكن أن يثبته. فالمقصود بالتقييد هنا عدم المعرفة الأكاديمية المباشرة بالنظرية الغربية موضع المقارنة، مع التزام صارم ببروتوكول القراءة القرآنية حاجزًا إجرائيًا يقلّل أثر التأثر الثقافي غير الواعي قدر الإمكان.</w:t>
      </w:r>
    </w:p>
    <w:p w14:paraId="08496307"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وأمانةً أقول: لم يُنفَّذ هذا الاختبار حتى كتابة هذا الفصل، وتنفيذه مدرج في المرحلة الأولى من خطة المشروع. وكل ادعاء بالاستقلالية قبل ذلك فرضية نظرية لا نتيجة مثبتة.</w:t>
      </w:r>
    </w:p>
    <w:p w14:paraId="0268B633" w14:textId="77777777" w:rsidR="005C0A79" w:rsidRPr="00B832F2" w:rsidRDefault="005C0A79" w:rsidP="005C0A79">
      <w:pPr>
        <w:bidi/>
        <w:spacing w:after="60"/>
        <w:rPr>
          <w:rFonts w:ascii="Sakkal Majalla" w:hAnsi="Sakkal Majalla" w:cs="Sakkal Majalla"/>
          <w:sz w:val="28"/>
          <w:szCs w:val="28"/>
        </w:rPr>
      </w:pPr>
    </w:p>
    <w:p w14:paraId="06226DEA"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تصميم اختبار محك الاستقلالية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5C0A79" w:rsidRPr="00B832F2" w14:paraId="4F1D9828" w14:textId="77777777" w:rsidTr="00A011EA">
        <w:tc>
          <w:tcPr>
            <w:tcW w:w="1800" w:type="dxa"/>
            <w:shd w:val="clear" w:color="auto" w:fill="1F3864"/>
            <w:tcMar>
              <w:top w:w="75" w:type="dxa"/>
              <w:left w:w="100" w:type="dxa"/>
              <w:bottom w:w="75" w:type="dxa"/>
              <w:right w:w="100" w:type="dxa"/>
            </w:tcMar>
            <w:vAlign w:val="center"/>
          </w:tcPr>
          <w:p w14:paraId="71DF640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العنصر</w:t>
            </w:r>
          </w:p>
        </w:tc>
        <w:tc>
          <w:tcPr>
            <w:tcW w:w="6840" w:type="dxa"/>
            <w:shd w:val="clear" w:color="auto" w:fill="1F3864"/>
            <w:tcMar>
              <w:top w:w="75" w:type="dxa"/>
              <w:left w:w="100" w:type="dxa"/>
              <w:bottom w:w="75" w:type="dxa"/>
              <w:right w:w="100" w:type="dxa"/>
            </w:tcMar>
            <w:vAlign w:val="center"/>
          </w:tcPr>
          <w:p w14:paraId="220C5B7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التفصيل الإجرائي</w:t>
            </w:r>
          </w:p>
        </w:tc>
      </w:tr>
      <w:tr w:rsidR="005C0A79" w:rsidRPr="00B832F2" w14:paraId="1A3F7B5B" w14:textId="77777777" w:rsidTr="00A011EA">
        <w:tc>
          <w:tcPr>
            <w:tcW w:w="1800" w:type="dxa"/>
            <w:shd w:val="clear" w:color="auto" w:fill="EBF5FB"/>
            <w:tcMar>
              <w:top w:w="75" w:type="dxa"/>
              <w:left w:w="100" w:type="dxa"/>
              <w:bottom w:w="75" w:type="dxa"/>
              <w:right w:w="100" w:type="dxa"/>
            </w:tcMar>
            <w:vAlign w:val="center"/>
          </w:tcPr>
          <w:p w14:paraId="3D630BA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العيّنة</w:t>
            </w:r>
          </w:p>
        </w:tc>
        <w:tc>
          <w:tcPr>
            <w:tcW w:w="6840" w:type="dxa"/>
            <w:shd w:val="clear" w:color="auto" w:fill="F5FAFF"/>
            <w:tcMar>
              <w:top w:w="75" w:type="dxa"/>
              <w:left w:w="100" w:type="dxa"/>
              <w:bottom w:w="75" w:type="dxa"/>
              <w:right w:w="100" w:type="dxa"/>
            </w:tcMar>
            <w:vAlign w:val="center"/>
          </w:tcPr>
          <w:p w14:paraId="1BC2C655"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5 إلى 8 باحثين يحملون الدكتوراه في التفسير أو أصول الدين، ويُستبعد من له تدريب رسمي في إدارة الأعمال، ويُتحقق من ذلك بالسيرة الذاتية.</w:t>
            </w:r>
          </w:p>
        </w:tc>
      </w:tr>
      <w:tr w:rsidR="005C0A79" w:rsidRPr="00B832F2" w14:paraId="607F69D9" w14:textId="77777777" w:rsidTr="00A011EA">
        <w:tc>
          <w:tcPr>
            <w:tcW w:w="1800" w:type="dxa"/>
            <w:shd w:val="clear" w:color="auto" w:fill="FFFFFF"/>
            <w:tcMar>
              <w:top w:w="75" w:type="dxa"/>
              <w:left w:w="100" w:type="dxa"/>
              <w:bottom w:w="75" w:type="dxa"/>
              <w:right w:w="100" w:type="dxa"/>
            </w:tcMar>
            <w:vAlign w:val="center"/>
          </w:tcPr>
          <w:p w14:paraId="106C08A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مادة الاختبار</w:t>
            </w:r>
          </w:p>
        </w:tc>
        <w:tc>
          <w:tcPr>
            <w:tcW w:w="6840" w:type="dxa"/>
            <w:shd w:val="clear" w:color="auto" w:fill="FFFFFF"/>
            <w:tcMar>
              <w:top w:w="75" w:type="dxa"/>
              <w:left w:w="100" w:type="dxa"/>
              <w:bottom w:w="75" w:type="dxa"/>
              <w:right w:w="100" w:type="dxa"/>
            </w:tcMar>
            <w:vAlign w:val="center"/>
          </w:tcPr>
          <w:p w14:paraId="1B95E503"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آيات محددة مسبقًا (مثلًا آيات الأمانة: الأحزاب:72، النساء:58)، ونسخة كاملة من بروتوكول القراءة القرآنية بلا أمثلة مطبّقة.</w:t>
            </w:r>
          </w:p>
        </w:tc>
      </w:tr>
      <w:tr w:rsidR="005C0A79" w:rsidRPr="00B832F2" w14:paraId="5252AAE8" w14:textId="77777777" w:rsidTr="00A011EA">
        <w:tc>
          <w:tcPr>
            <w:tcW w:w="1800" w:type="dxa"/>
            <w:shd w:val="clear" w:color="auto" w:fill="EBF5FB"/>
            <w:tcMar>
              <w:top w:w="75" w:type="dxa"/>
              <w:left w:w="100" w:type="dxa"/>
              <w:bottom w:w="75" w:type="dxa"/>
              <w:right w:w="100" w:type="dxa"/>
            </w:tcMar>
            <w:vAlign w:val="center"/>
          </w:tcPr>
          <w:p w14:paraId="130C87C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المهمة</w:t>
            </w:r>
          </w:p>
        </w:tc>
        <w:tc>
          <w:tcPr>
            <w:tcW w:w="6840" w:type="dxa"/>
            <w:shd w:val="clear" w:color="auto" w:fill="F5FAFF"/>
            <w:tcMar>
              <w:top w:w="75" w:type="dxa"/>
              <w:left w:w="100" w:type="dxa"/>
              <w:bottom w:w="75" w:type="dxa"/>
              <w:right w:w="100" w:type="dxa"/>
            </w:tcMar>
            <w:vAlign w:val="center"/>
          </w:tcPr>
          <w:p w14:paraId="62C2480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اقرأ هذه الآيات باتباع البروتوكول خطوة بخطوة. سجِّل ما توصلت إليه كتابةً بعد كل خطوة. ما المبدأ الإداري الذي يمكن استخلاصه؟</w:t>
            </w:r>
          </w:p>
        </w:tc>
      </w:tr>
      <w:tr w:rsidR="005C0A79" w:rsidRPr="00B832F2" w14:paraId="69848B17" w14:textId="77777777" w:rsidTr="00A011EA">
        <w:tc>
          <w:tcPr>
            <w:tcW w:w="1800" w:type="dxa"/>
            <w:shd w:val="clear" w:color="auto" w:fill="FFFFFF"/>
            <w:tcMar>
              <w:top w:w="75" w:type="dxa"/>
              <w:left w:w="100" w:type="dxa"/>
              <w:bottom w:w="75" w:type="dxa"/>
              <w:right w:w="100" w:type="dxa"/>
            </w:tcMar>
            <w:vAlign w:val="center"/>
          </w:tcPr>
          <w:p w14:paraId="4873691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معيار النجاح</w:t>
            </w:r>
          </w:p>
        </w:tc>
        <w:tc>
          <w:tcPr>
            <w:tcW w:w="6840" w:type="dxa"/>
            <w:shd w:val="clear" w:color="auto" w:fill="FFFFFF"/>
            <w:tcMar>
              <w:top w:w="75" w:type="dxa"/>
              <w:left w:w="100" w:type="dxa"/>
              <w:bottom w:w="75" w:type="dxa"/>
              <w:right w:w="100" w:type="dxa"/>
            </w:tcMar>
            <w:vAlign w:val="center"/>
          </w:tcPr>
          <w:p w14:paraId="0E94476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أكثر من نصف المشاركين، على ألا يقل عددهم عن أربعة، يصلون إلى مفهوم في المستوى نفسه من سلم الاشتقاق أو بفارق مستوى واحد.</w:t>
            </w:r>
          </w:p>
        </w:tc>
      </w:tr>
      <w:tr w:rsidR="005C0A79" w:rsidRPr="00B832F2" w14:paraId="4EC4127A" w14:textId="77777777" w:rsidTr="00A011EA">
        <w:tc>
          <w:tcPr>
            <w:tcW w:w="1800" w:type="dxa"/>
            <w:shd w:val="clear" w:color="auto" w:fill="EBF5FB"/>
            <w:tcMar>
              <w:top w:w="75" w:type="dxa"/>
              <w:left w:w="100" w:type="dxa"/>
              <w:bottom w:w="75" w:type="dxa"/>
              <w:right w:w="100" w:type="dxa"/>
            </w:tcMar>
            <w:vAlign w:val="center"/>
          </w:tcPr>
          <w:p w14:paraId="1CD8EC8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معيار الفشل</w:t>
            </w:r>
          </w:p>
        </w:tc>
        <w:tc>
          <w:tcPr>
            <w:tcW w:w="6840" w:type="dxa"/>
            <w:shd w:val="clear" w:color="auto" w:fill="F5FAFF"/>
            <w:tcMar>
              <w:top w:w="75" w:type="dxa"/>
              <w:left w:w="100" w:type="dxa"/>
              <w:bottom w:w="75" w:type="dxa"/>
              <w:right w:w="100" w:type="dxa"/>
            </w:tcMar>
            <w:vAlign w:val="center"/>
          </w:tcPr>
          <w:p w14:paraId="48F73549"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النصف أو أقل يصلون إلى مفهوم مشابه، أو تصل الأغلبية إلى مفهوم يبعد مستويين أو أكثر.</w:t>
            </w:r>
          </w:p>
        </w:tc>
      </w:tr>
    </w:tbl>
    <w:p w14:paraId="5305ADCF" w14:textId="77777777" w:rsidR="005C0A79" w:rsidRPr="00B832F2" w:rsidRDefault="005C0A79" w:rsidP="005C0A79">
      <w:pPr>
        <w:bidi/>
        <w:spacing w:after="60"/>
        <w:rPr>
          <w:rFonts w:ascii="Sakkal Majalla" w:hAnsi="Sakkal Majalla" w:cs="Sakkal Majalla"/>
          <w:sz w:val="28"/>
          <w:szCs w:val="28"/>
        </w:rPr>
      </w:pPr>
      <w:r w:rsidRPr="00B832F2">
        <w:rPr>
          <w:rFonts w:ascii="Sakkal Majalla" w:hAnsi="Sakkal Majalla" w:cs="Sakkal Majalla"/>
          <w:i/>
          <w:iCs/>
          <w:color w:val="595959"/>
          <w:sz w:val="28"/>
          <w:szCs w:val="28"/>
          <w:rtl/>
        </w:rPr>
        <w:t>جدول 3.2 — تصميم اختبار محك الاستقلالية مع معايير النجاح والفشل</w:t>
      </w:r>
    </w:p>
    <w:p w14:paraId="1BE9AFB9"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3.7  المحك الثالث: التمييز</w:t>
      </w:r>
    </w:p>
    <w:p w14:paraId="6F0717A8"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يتحقق محك التمييز إذا أنتج المفهوم القرآني تنبؤًا مختلفًا عن نظيره الغربي في موقف مؤسسي محدد مسبقًا. وهو أكثر المحكّات الثلاثة صلة بنظرية القرار (Decision Theory) في العلوم السلوكية، لأنه لا يكتفي بمقارنة المفاهيم تجريديًا، بل يشتق منها تنبؤات سلوكية قابلة للملاحظة.</w:t>
      </w:r>
    </w:p>
    <w:p w14:paraId="7E2384DC"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وللتمييز صورتان:</w:t>
      </w:r>
    </w:p>
    <w:p w14:paraId="33ACDD70"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اختلاف في اتجاه القرار (Directional Difference): يرجّح النموذج القرآني خيارًا غير الذي يرجّحه النموذج الغربي في الموقف نفسه، وهي أقوى الصورتين لأنها تُلاحظ مباشرة.</w:t>
      </w:r>
    </w:p>
    <w:p w14:paraId="09B7F2B9" w14:textId="77777777" w:rsidR="005C0A79" w:rsidRPr="00B832F2" w:rsidRDefault="005C0A79" w:rsidP="005C0A79">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اختلاف في الآلية (Process Difference): يصل النموذجان إلى القرار نفسه عبر آليات مختلفة جوهريًا، ويُثبت ذلك بمقاييس الدافعية أو بتحليل التفكير بصوت عالٍ (Think-Aloud) كما عند Ericsson &amp; Simon (1993).</w:t>
      </w:r>
    </w:p>
    <w:p w14:paraId="70E75F4C"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وهذا المحك أصعب المحكّات تحقيقًا وأهمها علميًا، لأنه يواجه «فجوة الموقف والسلوك» (Attitude-Behavior Gap): قد يقرّ المدير نظريًا بأن الأمانة أمام الله تلزمه برعاية العمال، ثم لا يعكس سلوكه هذا الإقرار في لحظة الضغط المالي.</w:t>
      </w:r>
    </w:p>
    <w:p w14:paraId="773FDA5F" w14:textId="77777777" w:rsidR="005C0A79" w:rsidRPr="00B832F2" w:rsidRDefault="005C0A79" w:rsidP="005C0A79">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LaPiere, R. (1934). Attitudes vs. Actions. Social Forces, 13(2), 230-237. وهي الدراسة الكلاسيكية التي أسّست لهذه المشكلة.</w:t>
      </w:r>
    </w:p>
    <w:p w14:paraId="67A960C6" w14:textId="77777777" w:rsidR="005C0A79" w:rsidRPr="00B832F2" w:rsidRDefault="005C0A79" w:rsidP="005C0A79">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والقاعدة في التصميم: كل اختبار لمحك التمييز ينبغي أن يتضمن ملاحظة سلوك فعلي في سياق مؤسسي حقيقي، أو موقفًا افتراضيًا (Vignette) واقعيًا بما يكفي لتنشيط الآليات النفسية نفسها، لا استبيانات قيم مباشرة.</w:t>
      </w:r>
    </w:p>
    <w:p w14:paraId="67F28C48" w14:textId="77777777" w:rsidR="005C0A79" w:rsidRPr="00B832F2" w:rsidRDefault="005C0A79" w:rsidP="005C0A79">
      <w:pPr>
        <w:bidi/>
        <w:spacing w:after="60"/>
        <w:rPr>
          <w:rFonts w:ascii="Sakkal Majalla" w:hAnsi="Sakkal Majalla" w:cs="Sakkal Majalla"/>
          <w:sz w:val="28"/>
          <w:szCs w:val="28"/>
        </w:rPr>
      </w:pPr>
    </w:p>
    <w:p w14:paraId="5EFC85C3"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18A4815A"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3.8  أربعة تطبيقات للمحكّات الثلاثة، مع الاعتراضات والردود</w:t>
      </w:r>
    </w:p>
    <w:p w14:paraId="7A0328AB"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تُقنع النظرية المجردة حتى تُجرَّب على مفاهيم محددة. وأقدّم هنا أربعة تطبيقات، مع اعتراض الناقد المحتمل على كل منها ورد المشروع عليه، وهو ما سيواجهه المشروع أمام محكّمي المجلات الأكاديمية:</w:t>
      </w:r>
    </w:p>
    <w:p w14:paraId="663C1331"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التطبيق الأول: الأمانة القرآنية وStewardship Theory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002"/>
        <w:gridCol w:w="3351"/>
      </w:tblGrid>
      <w:tr w:rsidR="005C0A79" w:rsidRPr="00B832F2" w14:paraId="7DA9B19A" w14:textId="77777777" w:rsidTr="00A011EA">
        <w:tc>
          <w:tcPr>
            <w:tcW w:w="3002" w:type="dxa"/>
            <w:shd w:val="clear" w:color="auto" w:fill="1F3864"/>
            <w:tcMar>
              <w:top w:w="75" w:type="dxa"/>
              <w:left w:w="100" w:type="dxa"/>
              <w:bottom w:w="75" w:type="dxa"/>
              <w:right w:w="100" w:type="dxa"/>
            </w:tcMar>
            <w:vAlign w:val="center"/>
          </w:tcPr>
          <w:p w14:paraId="29B92E5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002" w:type="dxa"/>
            <w:shd w:val="clear" w:color="auto" w:fill="595959"/>
            <w:tcMar>
              <w:top w:w="75" w:type="dxa"/>
              <w:left w:w="100" w:type="dxa"/>
              <w:bottom w:w="75" w:type="dxa"/>
              <w:right w:w="100" w:type="dxa"/>
            </w:tcMar>
            <w:vAlign w:val="center"/>
          </w:tcPr>
          <w:p w14:paraId="4034B7B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Stewardship Theory</w:t>
            </w:r>
          </w:p>
        </w:tc>
        <w:tc>
          <w:tcPr>
            <w:tcW w:w="3351" w:type="dxa"/>
            <w:shd w:val="clear" w:color="auto" w:fill="156082"/>
            <w:tcMar>
              <w:top w:w="75" w:type="dxa"/>
              <w:left w:w="100" w:type="dxa"/>
              <w:bottom w:w="75" w:type="dxa"/>
              <w:right w:w="100" w:type="dxa"/>
            </w:tcMar>
            <w:vAlign w:val="center"/>
          </w:tcPr>
          <w:p w14:paraId="4179EDE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الأمانة القرآنية</w:t>
            </w:r>
          </w:p>
        </w:tc>
      </w:tr>
      <w:tr w:rsidR="005C0A79" w:rsidRPr="00B832F2" w14:paraId="70C4FC51" w14:textId="77777777" w:rsidTr="00A011EA">
        <w:tc>
          <w:tcPr>
            <w:tcW w:w="3002" w:type="dxa"/>
            <w:shd w:val="clear" w:color="auto" w:fill="EBF5FB"/>
            <w:tcMar>
              <w:top w:w="75" w:type="dxa"/>
              <w:left w:w="100" w:type="dxa"/>
              <w:bottom w:w="75" w:type="dxa"/>
              <w:right w:w="100" w:type="dxa"/>
            </w:tcMar>
            <w:vAlign w:val="center"/>
          </w:tcPr>
          <w:p w14:paraId="720F619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الأصالة</w:t>
            </w:r>
          </w:p>
        </w:tc>
        <w:tc>
          <w:tcPr>
            <w:tcW w:w="3002" w:type="dxa"/>
            <w:shd w:val="clear" w:color="auto" w:fill="F5F5F5"/>
            <w:tcMar>
              <w:top w:w="75" w:type="dxa"/>
              <w:left w:w="100" w:type="dxa"/>
              <w:bottom w:w="75" w:type="dxa"/>
              <w:right w:w="100" w:type="dxa"/>
            </w:tcMar>
            <w:vAlign w:val="center"/>
          </w:tcPr>
          <w:p w14:paraId="531FFFC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المدير يتبنى هوية المؤسسة — مصلحته مرتبطة نفسياً بمصلحتها (Psychological Ownership). الدافعية داخلية لكن مرجعها المؤسسة.</w:t>
            </w:r>
          </w:p>
        </w:tc>
        <w:tc>
          <w:tcPr>
            <w:tcW w:w="3351" w:type="dxa"/>
            <w:shd w:val="clear" w:color="auto" w:fill="EBF5FB"/>
            <w:tcMar>
              <w:top w:w="75" w:type="dxa"/>
              <w:left w:w="100" w:type="dxa"/>
              <w:bottom w:w="75" w:type="dxa"/>
              <w:right w:w="100" w:type="dxa"/>
            </w:tcMar>
            <w:vAlign w:val="center"/>
          </w:tcPr>
          <w:p w14:paraId="0DA43D0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المدير يحمل أمانةً أمام الله أولاً. الدافعية داخلية أيضاً لكن مرجعها متجاوز للمؤسسة كلياً: "كلكم راعٍ وكلكم مسؤول عن رعيته."</w:t>
            </w:r>
          </w:p>
        </w:tc>
      </w:tr>
      <w:tr w:rsidR="005C0A79" w:rsidRPr="00B832F2" w14:paraId="114D5A04" w14:textId="77777777" w:rsidTr="00A011EA">
        <w:tc>
          <w:tcPr>
            <w:tcW w:w="3002" w:type="dxa"/>
            <w:shd w:val="clear" w:color="auto" w:fill="FFFFFF"/>
            <w:tcMar>
              <w:top w:w="75" w:type="dxa"/>
              <w:left w:w="100" w:type="dxa"/>
              <w:bottom w:w="75" w:type="dxa"/>
              <w:right w:w="100" w:type="dxa"/>
            </w:tcMar>
            <w:vAlign w:val="center"/>
          </w:tcPr>
          <w:p w14:paraId="5010AF0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الاستقلالية</w:t>
            </w:r>
          </w:p>
        </w:tc>
        <w:tc>
          <w:tcPr>
            <w:tcW w:w="3002" w:type="dxa"/>
            <w:shd w:val="clear" w:color="auto" w:fill="FFFFFF"/>
            <w:tcMar>
              <w:top w:w="75" w:type="dxa"/>
              <w:left w:w="100" w:type="dxa"/>
              <w:bottom w:w="75" w:type="dxa"/>
              <w:right w:w="100" w:type="dxa"/>
            </w:tcMar>
            <w:vAlign w:val="center"/>
          </w:tcPr>
          <w:p w14:paraId="2B17864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نشأت من نقد Agency Theory في التسعينيات (Davis, Schoorman &amp; Donaldson, 1997) — سياق أكاديمي غربي محض.</w:t>
            </w:r>
          </w:p>
        </w:tc>
        <w:tc>
          <w:tcPr>
            <w:tcW w:w="3351" w:type="dxa"/>
            <w:shd w:val="clear" w:color="auto" w:fill="FFFFFF"/>
            <w:tcMar>
              <w:top w:w="75" w:type="dxa"/>
              <w:left w:w="100" w:type="dxa"/>
              <w:bottom w:w="75" w:type="dxa"/>
              <w:right w:w="100" w:type="dxa"/>
            </w:tcMar>
            <w:vAlign w:val="center"/>
          </w:tcPr>
          <w:p w14:paraId="4086E00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مفهوم قرآني مباشر من الأحزاب:72 والنساء:58 — لا يحتاج معرفة الأدبيات الغربية للوصول إليه بالبروتوكول.</w:t>
            </w:r>
          </w:p>
        </w:tc>
      </w:tr>
      <w:tr w:rsidR="005C0A79" w:rsidRPr="00B832F2" w14:paraId="4D989D62" w14:textId="77777777" w:rsidTr="00A011EA">
        <w:tc>
          <w:tcPr>
            <w:tcW w:w="3002" w:type="dxa"/>
            <w:shd w:val="clear" w:color="auto" w:fill="EBF5FB"/>
            <w:tcMar>
              <w:top w:w="75" w:type="dxa"/>
              <w:left w:w="100" w:type="dxa"/>
              <w:bottom w:w="75" w:type="dxa"/>
              <w:right w:w="100" w:type="dxa"/>
            </w:tcMar>
            <w:vAlign w:val="center"/>
          </w:tcPr>
          <w:p w14:paraId="5F830D6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lastRenderedPageBreak/>
              <w:t>التمييز</w:t>
            </w:r>
          </w:p>
        </w:tc>
        <w:tc>
          <w:tcPr>
            <w:tcW w:w="3002" w:type="dxa"/>
            <w:shd w:val="clear" w:color="auto" w:fill="F5F5F5"/>
            <w:tcMar>
              <w:top w:w="75" w:type="dxa"/>
              <w:left w:w="100" w:type="dxa"/>
              <w:bottom w:w="75" w:type="dxa"/>
              <w:right w:w="100" w:type="dxa"/>
            </w:tcMar>
            <w:vAlign w:val="center"/>
          </w:tcPr>
          <w:p w14:paraId="41A5892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تعارض ربح المساهمين مع حقوق العمال — يُرجِّح Steward مصلحة المؤسسة طويلة المدى لأن هويته مرتبطة بها.</w:t>
            </w:r>
          </w:p>
        </w:tc>
        <w:tc>
          <w:tcPr>
            <w:tcW w:w="3351" w:type="dxa"/>
            <w:shd w:val="clear" w:color="auto" w:fill="EBF5FB"/>
            <w:tcMar>
              <w:top w:w="75" w:type="dxa"/>
              <w:left w:w="100" w:type="dxa"/>
              <w:bottom w:w="75" w:type="dxa"/>
              <w:right w:w="100" w:type="dxa"/>
            </w:tcMar>
            <w:vAlign w:val="center"/>
          </w:tcPr>
          <w:p w14:paraId="068C40A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نفس الموقف، قد يُرجِّح المدير القرآني حقوق العمال حتى بتكلفة مؤسسية — لأن المرجع الله لا المؤسسة، والأمانة أحادية الاتجاه.</w:t>
            </w:r>
          </w:p>
        </w:tc>
      </w:tr>
      <w:tr w:rsidR="005C0A79" w:rsidRPr="00B832F2" w14:paraId="530A2B5F" w14:textId="77777777" w:rsidTr="00A011EA">
        <w:trPr>
          <w:gridAfter w:val="1"/>
          <w:wAfter w:w="3351" w:type="dxa"/>
        </w:trPr>
        <w:tc>
          <w:tcPr>
            <w:tcW w:w="3002" w:type="dxa"/>
            <w:shd w:val="clear" w:color="auto" w:fill="C00000"/>
            <w:tcMar>
              <w:top w:w="75" w:type="dxa"/>
              <w:left w:w="100" w:type="dxa"/>
              <w:bottom w:w="75" w:type="dxa"/>
              <w:right w:w="100" w:type="dxa"/>
            </w:tcMar>
            <w:vAlign w:val="center"/>
          </w:tcPr>
          <w:p w14:paraId="72DA8F37"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اعتراض الناقد</w:t>
            </w:r>
          </w:p>
        </w:tc>
        <w:tc>
          <w:tcPr>
            <w:tcW w:w="3002" w:type="dxa"/>
            <w:shd w:val="clear" w:color="auto" w:fill="375623"/>
            <w:tcMar>
              <w:top w:w="75" w:type="dxa"/>
              <w:left w:w="100" w:type="dxa"/>
              <w:bottom w:w="75" w:type="dxa"/>
              <w:right w:w="100" w:type="dxa"/>
            </w:tcMar>
            <w:vAlign w:val="center"/>
          </w:tcPr>
          <w:p w14:paraId="45B53049"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رد المشروع</w:t>
            </w:r>
          </w:p>
        </w:tc>
      </w:tr>
      <w:tr w:rsidR="005C0A79" w:rsidRPr="00B832F2" w14:paraId="492D96D8" w14:textId="77777777" w:rsidTr="00A011EA">
        <w:trPr>
          <w:gridAfter w:val="1"/>
          <w:wAfter w:w="3351" w:type="dxa"/>
        </w:trPr>
        <w:tc>
          <w:tcPr>
            <w:tcW w:w="3002" w:type="dxa"/>
            <w:shd w:val="clear" w:color="auto" w:fill="FFF0F0"/>
            <w:tcMar>
              <w:top w:w="75" w:type="dxa"/>
              <w:left w:w="100" w:type="dxa"/>
              <w:bottom w:w="75" w:type="dxa"/>
              <w:right w:w="100" w:type="dxa"/>
            </w:tcMar>
            <w:vAlign w:val="center"/>
          </w:tcPr>
          <w:p w14:paraId="482EC6F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أليست "الهوية المرتبطة بالمؤسسة" في Stewardship قابلة لأن تشمل أي مرجع متجاوز — بما فيه الله — دون الحاجة لمفهوم قرآني مستقل؟ لماذا لا تكون الأمانة "حالة خاصة" من Stewardship العام؟</w:t>
            </w:r>
          </w:p>
        </w:tc>
        <w:tc>
          <w:tcPr>
            <w:tcW w:w="3002" w:type="dxa"/>
            <w:shd w:val="clear" w:color="auto" w:fill="EBF5E0"/>
            <w:tcMar>
              <w:top w:w="75" w:type="dxa"/>
              <w:left w:w="100" w:type="dxa"/>
              <w:bottom w:w="75" w:type="dxa"/>
              <w:right w:w="100" w:type="dxa"/>
            </w:tcMar>
            <w:vAlign w:val="center"/>
          </w:tcPr>
          <w:p w14:paraId="459390F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الاعتراض يخلط بين إمكانية المطابقة اللغوية وحتمية المطابقة البنيوية. الأدبيات الفعلية لـStewardship Theory لا تتضمن هذا التوسيع. وأحادية اتجاه الأمانة — الاستمرار حتى مع تقصير الطرف الآخر — غير موجودة في الأدبيات الغربية: "أدِّ الأمانة إلى من ائتمنك ولا تخن من خانك" (أبو داود).</w:t>
            </w:r>
          </w:p>
        </w:tc>
      </w:tr>
    </w:tbl>
    <w:p w14:paraId="7500B601" w14:textId="77777777" w:rsidR="005C0A79" w:rsidRPr="00B832F2" w:rsidRDefault="005C0A79" w:rsidP="005C0A79">
      <w:pPr>
        <w:bidi/>
        <w:spacing w:after="60"/>
        <w:rPr>
          <w:rFonts w:ascii="Sakkal Majalla" w:hAnsi="Sakkal Majalla" w:cs="Sakkal Majalla"/>
          <w:sz w:val="28"/>
          <w:szCs w:val="28"/>
        </w:rPr>
      </w:pPr>
    </w:p>
    <w:p w14:paraId="375346E4"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التطبيق الثاني: الشورى القرآنية وParticipative Management</w:t>
      </w:r>
    </w:p>
    <w:p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وقبل المقارنة أسأل: ما الذي يلزم لاختبار الشورى فعلًا؟ لا يكفي أن نثبت أن القرآن يحث على التشاور، ولا أن نجد في أدبيات الإدارة مفهومًا قريبًا اسمه المشاركة. نحتاج إلى أن نسأل: ما الوظيفة التي تؤديها الشورى في النموذج؟ من يملك حق الدخول فيها؟ هل تشمل من سيتأثر بالقرار؟ ماذا يحدث حين يختلف المشاركون؟ وهل يستطيع صاحب الرأي المخالف أن يعترض دون عقوبة؟ عند هذه النقطة فقط يبدأ اختبار التمييز. فقد تتفق الشورى مع المشاركة في بعض المظاهر، وتختلف عنها في مصدر الإلزام، أو في علاقتها بالمسؤولية، أو في طريقة الانتقال من التداول إلى القرار.</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563"/>
        <w:gridCol w:w="3060"/>
      </w:tblGrid>
      <w:tr w:rsidR="005C0A79" w:rsidRPr="00B832F2" w14:paraId="129854ED" w14:textId="77777777" w:rsidTr="00A011EA">
        <w:tc>
          <w:tcPr>
            <w:tcW w:w="3002" w:type="dxa"/>
            <w:shd w:val="clear" w:color="auto" w:fill="1F3864"/>
            <w:tcMar>
              <w:top w:w="75" w:type="dxa"/>
              <w:left w:w="100" w:type="dxa"/>
              <w:bottom w:w="75" w:type="dxa"/>
              <w:right w:w="100" w:type="dxa"/>
            </w:tcMar>
            <w:vAlign w:val="center"/>
          </w:tcPr>
          <w:p w14:paraId="10D35C7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563" w:type="dxa"/>
            <w:shd w:val="clear" w:color="auto" w:fill="595959"/>
            <w:tcMar>
              <w:top w:w="75" w:type="dxa"/>
              <w:left w:w="100" w:type="dxa"/>
              <w:bottom w:w="75" w:type="dxa"/>
              <w:right w:w="100" w:type="dxa"/>
            </w:tcMar>
            <w:vAlign w:val="center"/>
          </w:tcPr>
          <w:p w14:paraId="1790021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Participative Management</w:t>
            </w:r>
          </w:p>
        </w:tc>
        <w:tc>
          <w:tcPr>
            <w:tcW w:w="3060" w:type="dxa"/>
            <w:shd w:val="clear" w:color="auto" w:fill="156082"/>
            <w:tcMar>
              <w:top w:w="75" w:type="dxa"/>
              <w:left w:w="100" w:type="dxa"/>
              <w:bottom w:w="75" w:type="dxa"/>
              <w:right w:w="100" w:type="dxa"/>
            </w:tcMar>
            <w:vAlign w:val="center"/>
          </w:tcPr>
          <w:p w14:paraId="0AAC648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الشورى القرآنية</w:t>
            </w:r>
          </w:p>
        </w:tc>
      </w:tr>
      <w:tr w:rsidR="005C0A79" w:rsidRPr="00B832F2" w14:paraId="6A1128EF" w14:textId="77777777" w:rsidTr="00A011EA">
        <w:tc>
          <w:tcPr>
            <w:tcW w:w="3002" w:type="dxa"/>
            <w:shd w:val="clear" w:color="auto" w:fill="FFF2CC"/>
            <w:tcMar>
              <w:top w:w="75" w:type="dxa"/>
              <w:left w:w="100" w:type="dxa"/>
              <w:bottom w:w="75" w:type="dxa"/>
              <w:right w:w="100" w:type="dxa"/>
            </w:tcMar>
            <w:vAlign w:val="center"/>
          </w:tcPr>
          <w:p w14:paraId="78FEB41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C49A00"/>
                <w:sz w:val="28"/>
                <w:szCs w:val="28"/>
                <w:rtl/>
              </w:rPr>
              <w:t>الأصالة</w:t>
            </w:r>
          </w:p>
        </w:tc>
        <w:tc>
          <w:tcPr>
            <w:tcW w:w="3563" w:type="dxa"/>
            <w:shd w:val="clear" w:color="auto" w:fill="F5F5F5"/>
            <w:tcMar>
              <w:top w:w="75" w:type="dxa"/>
              <w:left w:w="100" w:type="dxa"/>
              <w:bottom w:w="75" w:type="dxa"/>
              <w:right w:w="100" w:type="dxa"/>
            </w:tcMar>
            <w:vAlign w:val="center"/>
          </w:tcPr>
          <w:p w14:paraId="5E4F550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أداة تُستخدم حين تُثبت الأبحاث أنها تُحسِّن الأداء (Vroom &amp; Yetton, 1973) — علاقة أداتية بالكفاءة.</w:t>
            </w:r>
          </w:p>
        </w:tc>
        <w:tc>
          <w:tcPr>
            <w:tcW w:w="3060" w:type="dxa"/>
            <w:shd w:val="clear" w:color="auto" w:fill="FFF2CC"/>
            <w:tcMar>
              <w:top w:w="75" w:type="dxa"/>
              <w:left w:w="100" w:type="dxa"/>
              <w:bottom w:w="75" w:type="dxa"/>
              <w:right w:w="100" w:type="dxa"/>
            </w:tcMar>
            <w:vAlign w:val="center"/>
          </w:tcPr>
          <w:p w14:paraId="247CFD6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فريضة مستمرة حتى حين لا تُؤدي لكفاءة أعلى — الأمر جاء بعد أُحد حين أدت الشورى لهزيمة، ومع ذلك أُمر باستمرارها (آل عمران:159).</w:t>
            </w:r>
          </w:p>
        </w:tc>
      </w:tr>
      <w:tr w:rsidR="005C0A79" w:rsidRPr="00B832F2" w14:paraId="75E4E6F7" w14:textId="77777777" w:rsidTr="00A011EA">
        <w:tc>
          <w:tcPr>
            <w:tcW w:w="3002" w:type="dxa"/>
            <w:shd w:val="clear" w:color="auto" w:fill="FFFFFF"/>
            <w:tcMar>
              <w:top w:w="75" w:type="dxa"/>
              <w:left w:w="100" w:type="dxa"/>
              <w:bottom w:w="75" w:type="dxa"/>
              <w:right w:w="100" w:type="dxa"/>
            </w:tcMar>
            <w:vAlign w:val="center"/>
          </w:tcPr>
          <w:p w14:paraId="2F5C499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C49A00"/>
                <w:sz w:val="28"/>
                <w:szCs w:val="28"/>
                <w:rtl/>
              </w:rPr>
              <w:t>الاستقلالية</w:t>
            </w:r>
          </w:p>
        </w:tc>
        <w:tc>
          <w:tcPr>
            <w:tcW w:w="3563" w:type="dxa"/>
            <w:shd w:val="clear" w:color="auto" w:fill="FFFFFF"/>
            <w:tcMar>
              <w:top w:w="75" w:type="dxa"/>
              <w:left w:w="100" w:type="dxa"/>
              <w:bottom w:w="75" w:type="dxa"/>
              <w:right w:w="100" w:type="dxa"/>
            </w:tcMar>
            <w:vAlign w:val="center"/>
          </w:tcPr>
          <w:p w14:paraId="02800DD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تطورت من Mayo (1933) إلى Likert (1961) إلى Vroom (1973) — تراكم غربي.</w:t>
            </w:r>
          </w:p>
        </w:tc>
        <w:tc>
          <w:tcPr>
            <w:tcW w:w="3060" w:type="dxa"/>
            <w:shd w:val="clear" w:color="auto" w:fill="FFFFFF"/>
            <w:tcMar>
              <w:top w:w="75" w:type="dxa"/>
              <w:left w:w="100" w:type="dxa"/>
              <w:bottom w:w="75" w:type="dxa"/>
              <w:right w:w="100" w:type="dxa"/>
            </w:tcMar>
            <w:vAlign w:val="center"/>
          </w:tcPr>
          <w:p w14:paraId="05A068E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 جذر ش-و-ر: "استخراج العسل" (ابن فارس). باحث يقرأ القرآن وحده يصل لمفهوم "استخراج الخير الكامن" لا "تحسين الأداء".</w:t>
            </w:r>
          </w:p>
        </w:tc>
      </w:tr>
      <w:tr w:rsidR="005C0A79" w:rsidRPr="00B832F2" w14:paraId="4F2C8E1E" w14:textId="77777777" w:rsidTr="00A011EA">
        <w:tc>
          <w:tcPr>
            <w:tcW w:w="3002" w:type="dxa"/>
            <w:shd w:val="clear" w:color="auto" w:fill="FFF2CC"/>
            <w:tcMar>
              <w:top w:w="75" w:type="dxa"/>
              <w:left w:w="100" w:type="dxa"/>
              <w:bottom w:w="75" w:type="dxa"/>
              <w:right w:w="100" w:type="dxa"/>
            </w:tcMar>
            <w:vAlign w:val="center"/>
          </w:tcPr>
          <w:p w14:paraId="697D976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C49A00"/>
                <w:sz w:val="28"/>
                <w:szCs w:val="28"/>
                <w:rtl/>
              </w:rPr>
              <w:t>التمييز</w:t>
            </w:r>
          </w:p>
        </w:tc>
        <w:tc>
          <w:tcPr>
            <w:tcW w:w="3563" w:type="dxa"/>
            <w:shd w:val="clear" w:color="auto" w:fill="F5F5F5"/>
            <w:tcMar>
              <w:top w:w="75" w:type="dxa"/>
              <w:left w:w="100" w:type="dxa"/>
              <w:bottom w:w="75" w:type="dxa"/>
              <w:right w:w="100" w:type="dxa"/>
            </w:tcMar>
            <w:vAlign w:val="center"/>
          </w:tcPr>
          <w:p w14:paraId="1225CA3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مدير يستشير فيحصل على نتيجة خاطئة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يُقلِّص</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الشورى</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مستقبلاً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أداة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فشلت</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في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هدفها</w:t>
            </w:r>
            <w:r w:rsidRPr="00B832F2">
              <w:rPr>
                <w:rFonts w:ascii="Sakkal Majalla" w:hAnsi="Sakkal Majalla" w:cs="Sakkal Majalla"/>
                <w:color w:val="000000"/>
                <w:sz w:val="28"/>
                <w:szCs w:val="28"/>
                <w:rtl/>
              </w:rPr>
              <w:t>).</w:t>
            </w:r>
          </w:p>
        </w:tc>
        <w:tc>
          <w:tcPr>
            <w:tcW w:w="3060" w:type="dxa"/>
            <w:shd w:val="clear" w:color="auto" w:fill="FFF2CC"/>
            <w:tcMar>
              <w:top w:w="75" w:type="dxa"/>
              <w:left w:w="100" w:type="dxa"/>
              <w:bottom w:w="75" w:type="dxa"/>
              <w:right w:w="100" w:type="dxa"/>
            </w:tcMar>
            <w:vAlign w:val="center"/>
          </w:tcPr>
          <w:p w14:paraId="4ECAA51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مدير يستشير فيحصل على نتيجة خاطئة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الشورى</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تستمر</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قيمة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بناء</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أداة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كفاءة</w:t>
            </w:r>
            <w:r w:rsidRPr="00B832F2">
              <w:rPr>
                <w:rFonts w:ascii="Sakkal Majalla" w:hAnsi="Sakkal Majalla" w:cs="Sakkal Majalla"/>
                <w:color w:val="000000"/>
                <w:sz w:val="28"/>
                <w:szCs w:val="28"/>
                <w:rtl/>
              </w:rPr>
              <w:t xml:space="preserve">) + </w:t>
            </w:r>
            <w:r w:rsidRPr="00B832F2">
              <w:rPr>
                <w:rFonts w:ascii="Sakkal Majalla" w:hAnsi="Sakkal Majalla" w:cs="Sakkal Majalla" w:hint="cs"/>
                <w:color w:val="000000"/>
                <w:sz w:val="28"/>
                <w:szCs w:val="28"/>
                <w:rtl/>
              </w:rPr>
              <w:t>تسلسل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شورى</w:t>
            </w:r>
            <w:r w:rsidRPr="00B832F2">
              <w:rPr>
                <w:rFonts w:hint="cs"/>
                <w:color w:val="000000"/>
                <w:sz w:val="28"/>
                <w:szCs w:val="28"/>
                <w:rtl/>
              </w:rPr>
              <w:t>→</w:t>
            </w:r>
            <w:r w:rsidRPr="00B832F2">
              <w:rPr>
                <w:rFonts w:ascii="Sakkal Majalla" w:hAnsi="Sakkal Majalla" w:cs="Sakkal Majalla" w:hint="cs"/>
                <w:color w:val="000000"/>
                <w:sz w:val="28"/>
                <w:szCs w:val="28"/>
                <w:rtl/>
              </w:rPr>
              <w:t>عزم</w:t>
            </w:r>
            <w:r w:rsidRPr="00B832F2">
              <w:rPr>
                <w:rFonts w:hint="cs"/>
                <w:color w:val="000000"/>
                <w:sz w:val="28"/>
                <w:szCs w:val="28"/>
                <w:rtl/>
              </w:rPr>
              <w:t>→</w:t>
            </w:r>
            <w:r w:rsidRPr="00B832F2">
              <w:rPr>
                <w:rFonts w:ascii="Sakkal Majalla" w:hAnsi="Sakkal Majalla" w:cs="Sakkal Majalla" w:hint="cs"/>
                <w:color w:val="000000"/>
                <w:sz w:val="28"/>
                <w:szCs w:val="28"/>
                <w:rtl/>
              </w:rPr>
              <w:t>توكل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الغائب</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غربياً</w:t>
            </w:r>
            <w:r w:rsidRPr="00B832F2">
              <w:rPr>
                <w:rFonts w:ascii="Sakkal Majalla" w:hAnsi="Sakkal Majalla" w:cs="Sakkal Majalla"/>
                <w:color w:val="000000"/>
                <w:sz w:val="28"/>
                <w:szCs w:val="28"/>
                <w:rtl/>
              </w:rPr>
              <w:t>.</w:t>
            </w:r>
          </w:p>
        </w:tc>
      </w:tr>
      <w:tr w:rsidR="005C0A79" w:rsidRPr="00B832F2" w14:paraId="2401D8A4" w14:textId="77777777" w:rsidTr="00A011EA">
        <w:trPr>
          <w:gridAfter w:val="1"/>
          <w:wAfter w:w="3060" w:type="dxa"/>
        </w:trPr>
        <w:tc>
          <w:tcPr>
            <w:tcW w:w="3002" w:type="dxa"/>
            <w:shd w:val="clear" w:color="auto" w:fill="C00000"/>
            <w:tcMar>
              <w:top w:w="75" w:type="dxa"/>
              <w:left w:w="100" w:type="dxa"/>
              <w:bottom w:w="75" w:type="dxa"/>
              <w:right w:w="100" w:type="dxa"/>
            </w:tcMar>
            <w:vAlign w:val="center"/>
          </w:tcPr>
          <w:p w14:paraId="7B54ED29"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اعتراض الناقد</w:t>
            </w:r>
          </w:p>
        </w:tc>
        <w:tc>
          <w:tcPr>
            <w:tcW w:w="3563" w:type="dxa"/>
            <w:shd w:val="clear" w:color="auto" w:fill="375623"/>
            <w:tcMar>
              <w:top w:w="75" w:type="dxa"/>
              <w:left w:w="100" w:type="dxa"/>
              <w:bottom w:w="75" w:type="dxa"/>
              <w:right w:w="100" w:type="dxa"/>
            </w:tcMar>
            <w:vAlign w:val="center"/>
          </w:tcPr>
          <w:p w14:paraId="041B3D0D"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رد المشروع</w:t>
            </w:r>
          </w:p>
        </w:tc>
      </w:tr>
      <w:tr w:rsidR="005C0A79" w:rsidRPr="00B832F2" w14:paraId="3EAE9938" w14:textId="77777777" w:rsidTr="00A011EA">
        <w:trPr>
          <w:gridAfter w:val="1"/>
          <w:wAfter w:w="3060" w:type="dxa"/>
        </w:trPr>
        <w:tc>
          <w:tcPr>
            <w:tcW w:w="3002" w:type="dxa"/>
            <w:shd w:val="clear" w:color="auto" w:fill="FFF0F0"/>
            <w:tcMar>
              <w:top w:w="75" w:type="dxa"/>
              <w:left w:w="100" w:type="dxa"/>
              <w:bottom w:w="75" w:type="dxa"/>
              <w:right w:w="100" w:type="dxa"/>
            </w:tcMar>
            <w:vAlign w:val="center"/>
          </w:tcPr>
          <w:p w14:paraId="75E0D8E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درس أُحد قد يُفسَّر بأنه استمرار في المنهج الاستشاري لأسباب سياسية (الحفاظ على تماسك الجماعة) لا لكون الشورى قيمة متعالية.</w:t>
            </w:r>
          </w:p>
        </w:tc>
        <w:tc>
          <w:tcPr>
            <w:tcW w:w="3563" w:type="dxa"/>
            <w:shd w:val="clear" w:color="auto" w:fill="EBF5E0"/>
            <w:tcMar>
              <w:top w:w="75" w:type="dxa"/>
              <w:left w:w="100" w:type="dxa"/>
              <w:bottom w:w="75" w:type="dxa"/>
              <w:right w:w="100" w:type="dxa"/>
            </w:tcMar>
            <w:vAlign w:val="center"/>
          </w:tcPr>
          <w:p w14:paraId="4DEE012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اعتراض قوي يستحق إقراراً جزئياً: التفسير الأداتي وارد في بعض كتب التفسير (ابن عاشور). لكن الفارق الحاسم: تسلسل "شورى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عزم</w:t>
            </w:r>
            <w:r w:rsidRPr="00B832F2">
              <w:rPr>
                <w:rFonts w:ascii="Sakkal Majalla" w:hAnsi="Sakkal Majalla" w:cs="Sakkal Majalla"/>
                <w:color w:val="000000"/>
                <w:sz w:val="28"/>
                <w:szCs w:val="28"/>
                <w:rtl/>
              </w:rPr>
              <w:t xml:space="preserve"> </w:t>
            </w:r>
            <w:r w:rsidRPr="00B832F2">
              <w:rPr>
                <w:rFonts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توكل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نظير</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له</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في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صياغة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غربية</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التوكل</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بُعد</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غيبي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لا</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يمكن</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ترجمته</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إلى</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أي</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مكوِّن</w:t>
            </w:r>
            <w:r w:rsidRPr="00B832F2">
              <w:rPr>
                <w:rFonts w:ascii="Sakkal Majalla" w:hAnsi="Sakkal Majalla" w:cs="Sakkal Majalla"/>
                <w:color w:val="000000"/>
                <w:sz w:val="28"/>
                <w:szCs w:val="28"/>
                <w:rtl/>
              </w:rPr>
              <w:t xml:space="preserve"> </w:t>
            </w:r>
            <w:r w:rsidRPr="00B832F2">
              <w:rPr>
                <w:rFonts w:ascii="Sakkal Majalla" w:hAnsi="Sakkal Majalla" w:cs="Sakkal Majalla" w:hint="cs"/>
                <w:color w:val="000000"/>
                <w:sz w:val="28"/>
                <w:szCs w:val="28"/>
                <w:rtl/>
              </w:rPr>
              <w:t>وضعي</w:t>
            </w:r>
            <w:r w:rsidRPr="00B832F2">
              <w:rPr>
                <w:rFonts w:ascii="Sakkal Majalla" w:hAnsi="Sakkal Majalla" w:cs="Sakkal Majalla"/>
                <w:color w:val="000000"/>
                <w:sz w:val="28"/>
                <w:szCs w:val="28"/>
                <w:rtl/>
              </w:rPr>
              <w:t>.</w:t>
            </w:r>
          </w:p>
        </w:tc>
      </w:tr>
    </w:tbl>
    <w:p w14:paraId="4B38DCB3" w14:textId="77777777" w:rsidR="005C0A79" w:rsidRPr="00B832F2" w:rsidRDefault="005C0A79" w:rsidP="005C0A79">
      <w:pPr>
        <w:bidi/>
        <w:spacing w:after="60"/>
        <w:rPr>
          <w:rFonts w:ascii="Sakkal Majalla" w:hAnsi="Sakkal Majalla" w:cs="Sakkal Majalla"/>
          <w:sz w:val="28"/>
          <w:szCs w:val="28"/>
        </w:rPr>
      </w:pPr>
    </w:p>
    <w:p w14:paraId="5F779352"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التطبيق الثالث: الإحسان القرآني وExcellence / TQM</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293"/>
        <w:gridCol w:w="3330"/>
      </w:tblGrid>
      <w:tr w:rsidR="005C0A79" w:rsidRPr="00B832F2" w14:paraId="1FBB2CA3" w14:textId="77777777" w:rsidTr="00A011EA">
        <w:tc>
          <w:tcPr>
            <w:tcW w:w="3002" w:type="dxa"/>
            <w:shd w:val="clear" w:color="auto" w:fill="1F3864"/>
            <w:tcMar>
              <w:top w:w="75" w:type="dxa"/>
              <w:left w:w="100" w:type="dxa"/>
              <w:bottom w:w="75" w:type="dxa"/>
              <w:right w:w="100" w:type="dxa"/>
            </w:tcMar>
            <w:vAlign w:val="center"/>
          </w:tcPr>
          <w:p w14:paraId="095B97E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293" w:type="dxa"/>
            <w:shd w:val="clear" w:color="auto" w:fill="595959"/>
            <w:tcMar>
              <w:top w:w="75" w:type="dxa"/>
              <w:left w:w="100" w:type="dxa"/>
              <w:bottom w:w="75" w:type="dxa"/>
              <w:right w:w="100" w:type="dxa"/>
            </w:tcMar>
            <w:vAlign w:val="center"/>
          </w:tcPr>
          <w:p w14:paraId="19DEDD4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Excellence / TQM</w:t>
            </w:r>
          </w:p>
        </w:tc>
        <w:tc>
          <w:tcPr>
            <w:tcW w:w="3330" w:type="dxa"/>
            <w:shd w:val="clear" w:color="auto" w:fill="156082"/>
            <w:tcMar>
              <w:top w:w="75" w:type="dxa"/>
              <w:left w:w="100" w:type="dxa"/>
              <w:bottom w:w="75" w:type="dxa"/>
              <w:right w:w="100" w:type="dxa"/>
            </w:tcMar>
            <w:vAlign w:val="center"/>
          </w:tcPr>
          <w:p w14:paraId="15DB78E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الإحسان القرآني</w:t>
            </w:r>
          </w:p>
        </w:tc>
      </w:tr>
      <w:tr w:rsidR="005C0A79" w:rsidRPr="00B832F2" w14:paraId="5D90CB00" w14:textId="77777777" w:rsidTr="00A011EA">
        <w:tc>
          <w:tcPr>
            <w:tcW w:w="3002" w:type="dxa"/>
            <w:shd w:val="clear" w:color="auto" w:fill="F2E8F8"/>
            <w:tcMar>
              <w:top w:w="75" w:type="dxa"/>
              <w:left w:w="100" w:type="dxa"/>
              <w:bottom w:w="75" w:type="dxa"/>
              <w:right w:w="100" w:type="dxa"/>
            </w:tcMar>
            <w:vAlign w:val="center"/>
          </w:tcPr>
          <w:p w14:paraId="6AAC2B7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الأصالة</w:t>
            </w:r>
          </w:p>
        </w:tc>
        <w:tc>
          <w:tcPr>
            <w:tcW w:w="3293" w:type="dxa"/>
            <w:shd w:val="clear" w:color="auto" w:fill="F5F5F5"/>
            <w:tcMar>
              <w:top w:w="75" w:type="dxa"/>
              <w:left w:w="100" w:type="dxa"/>
              <w:bottom w:w="75" w:type="dxa"/>
              <w:right w:w="100" w:type="dxa"/>
            </w:tcMar>
            <w:vAlign w:val="center"/>
          </w:tcPr>
          <w:p w14:paraId="6A0BCA7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تعظيم الأداء وفق معايير موضوعية خارجية (Peters &amp; Waterman, 1982؛ Deming, 1986). الدافعية: تنافسية + معايير قابلة للقياس.</w:t>
            </w:r>
          </w:p>
        </w:tc>
        <w:tc>
          <w:tcPr>
            <w:tcW w:w="3330" w:type="dxa"/>
            <w:shd w:val="clear" w:color="auto" w:fill="F2E8F8"/>
            <w:tcMar>
              <w:top w:w="75" w:type="dxa"/>
              <w:left w:w="100" w:type="dxa"/>
              <w:bottom w:w="75" w:type="dxa"/>
              <w:right w:w="100" w:type="dxa"/>
            </w:tcMar>
            <w:vAlign w:val="center"/>
          </w:tcPr>
          <w:p w14:paraId="61643D4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ثلاثة أبعاد: إتقان (جودة ذاتية) + إنعام (أثر في الآخر) + حضور ("كأنك تراه" — حديث جبريل). الدافعية: الوجود في حضرة الله.</w:t>
            </w:r>
          </w:p>
        </w:tc>
      </w:tr>
      <w:tr w:rsidR="005C0A79" w:rsidRPr="00B832F2" w14:paraId="2B7938C7" w14:textId="77777777" w:rsidTr="00A011EA">
        <w:tc>
          <w:tcPr>
            <w:tcW w:w="3002" w:type="dxa"/>
            <w:shd w:val="clear" w:color="auto" w:fill="FFFFFF"/>
            <w:tcMar>
              <w:top w:w="75" w:type="dxa"/>
              <w:left w:w="100" w:type="dxa"/>
              <w:bottom w:w="75" w:type="dxa"/>
              <w:right w:w="100" w:type="dxa"/>
            </w:tcMar>
            <w:vAlign w:val="center"/>
          </w:tcPr>
          <w:p w14:paraId="16C8ADE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الاستقلالية</w:t>
            </w:r>
          </w:p>
        </w:tc>
        <w:tc>
          <w:tcPr>
            <w:tcW w:w="3293" w:type="dxa"/>
            <w:shd w:val="clear" w:color="auto" w:fill="FFFFFF"/>
            <w:tcMar>
              <w:top w:w="75" w:type="dxa"/>
              <w:left w:w="100" w:type="dxa"/>
              <w:bottom w:w="75" w:type="dxa"/>
              <w:right w:w="100" w:type="dxa"/>
            </w:tcMar>
            <w:vAlign w:val="center"/>
          </w:tcPr>
          <w:p w14:paraId="2BC3FD7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تطورت في أمريكا واليابان من الخمسينيات (Deming, Juran, Ishikawa) — سياق صناعي محض.</w:t>
            </w:r>
          </w:p>
        </w:tc>
        <w:tc>
          <w:tcPr>
            <w:tcW w:w="3330" w:type="dxa"/>
            <w:shd w:val="clear" w:color="auto" w:fill="FFFFFF"/>
            <w:tcMar>
              <w:top w:w="75" w:type="dxa"/>
              <w:left w:w="100" w:type="dxa"/>
              <w:bottom w:w="75" w:type="dxa"/>
              <w:right w:w="100" w:type="dxa"/>
            </w:tcMar>
            <w:vAlign w:val="center"/>
          </w:tcPr>
          <w:p w14:paraId="18DE83F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 النحل:90 وحديث جبريل. باحث يقرأ القرآن وحده يصل إلى "العمل بحضور الله" كدافعية ذاتية متجاوزة للرقابة.</w:t>
            </w:r>
          </w:p>
        </w:tc>
      </w:tr>
      <w:tr w:rsidR="005C0A79" w:rsidRPr="00B832F2" w14:paraId="5E43DF6F" w14:textId="77777777" w:rsidTr="00A011EA">
        <w:tc>
          <w:tcPr>
            <w:tcW w:w="3002" w:type="dxa"/>
            <w:shd w:val="clear" w:color="auto" w:fill="F2E8F8"/>
            <w:tcMar>
              <w:top w:w="75" w:type="dxa"/>
              <w:left w:w="100" w:type="dxa"/>
              <w:bottom w:w="75" w:type="dxa"/>
              <w:right w:w="100" w:type="dxa"/>
            </w:tcMar>
            <w:vAlign w:val="center"/>
          </w:tcPr>
          <w:p w14:paraId="6483FDE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التمييز</w:t>
            </w:r>
          </w:p>
        </w:tc>
        <w:tc>
          <w:tcPr>
            <w:tcW w:w="3293" w:type="dxa"/>
            <w:shd w:val="clear" w:color="auto" w:fill="F5F5F5"/>
            <w:tcMar>
              <w:top w:w="75" w:type="dxa"/>
              <w:left w:w="100" w:type="dxa"/>
              <w:bottom w:w="75" w:type="dxa"/>
              <w:right w:w="100" w:type="dxa"/>
            </w:tcMar>
            <w:vAlign w:val="center"/>
          </w:tcPr>
          <w:p w14:paraId="36B0C8C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بيئة بلا رقابة خارجية: قد ينخفض الأداء لأن المعيار خارجي بطبيعته.</w:t>
            </w:r>
          </w:p>
        </w:tc>
        <w:tc>
          <w:tcPr>
            <w:tcW w:w="3330" w:type="dxa"/>
            <w:shd w:val="clear" w:color="auto" w:fill="F2E8F8"/>
            <w:tcMar>
              <w:top w:w="75" w:type="dxa"/>
              <w:left w:w="100" w:type="dxa"/>
              <w:bottom w:w="75" w:type="dxa"/>
              <w:right w:w="100" w:type="dxa"/>
            </w:tcMar>
            <w:vAlign w:val="center"/>
          </w:tcPr>
          <w:p w14:paraId="371290A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نفس البيئة: الإحسان يبقى ثابتاً نظرياً لأن مرجعه الله لا الرقيب: "فإن لم تكن تراه فإنه يراك".</w:t>
            </w:r>
          </w:p>
        </w:tc>
      </w:tr>
      <w:tr w:rsidR="005C0A79" w:rsidRPr="00B832F2" w14:paraId="1602C2D3" w14:textId="77777777" w:rsidTr="00A011EA">
        <w:trPr>
          <w:gridAfter w:val="1"/>
          <w:wAfter w:w="3330" w:type="dxa"/>
        </w:trPr>
        <w:tc>
          <w:tcPr>
            <w:tcW w:w="3002" w:type="dxa"/>
            <w:shd w:val="clear" w:color="auto" w:fill="C00000"/>
            <w:tcMar>
              <w:top w:w="75" w:type="dxa"/>
              <w:left w:w="100" w:type="dxa"/>
              <w:bottom w:w="75" w:type="dxa"/>
              <w:right w:w="100" w:type="dxa"/>
            </w:tcMar>
            <w:vAlign w:val="center"/>
          </w:tcPr>
          <w:p w14:paraId="6CDF88D4"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اعتراض الناقد</w:t>
            </w:r>
          </w:p>
        </w:tc>
        <w:tc>
          <w:tcPr>
            <w:tcW w:w="3293" w:type="dxa"/>
            <w:shd w:val="clear" w:color="auto" w:fill="375623"/>
            <w:tcMar>
              <w:top w:w="75" w:type="dxa"/>
              <w:left w:w="100" w:type="dxa"/>
              <w:bottom w:w="75" w:type="dxa"/>
              <w:right w:w="100" w:type="dxa"/>
            </w:tcMar>
            <w:vAlign w:val="center"/>
          </w:tcPr>
          <w:p w14:paraId="56910F3F"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رد المشروع</w:t>
            </w:r>
          </w:p>
        </w:tc>
      </w:tr>
      <w:tr w:rsidR="005C0A79" w:rsidRPr="00B832F2" w14:paraId="61078E06" w14:textId="77777777" w:rsidTr="00A011EA">
        <w:trPr>
          <w:gridAfter w:val="1"/>
          <w:wAfter w:w="3330" w:type="dxa"/>
        </w:trPr>
        <w:tc>
          <w:tcPr>
            <w:tcW w:w="3002" w:type="dxa"/>
            <w:shd w:val="clear" w:color="auto" w:fill="FFF0F0"/>
            <w:tcMar>
              <w:top w:w="75" w:type="dxa"/>
              <w:left w:w="100" w:type="dxa"/>
              <w:bottom w:w="75" w:type="dxa"/>
              <w:right w:w="100" w:type="dxa"/>
            </w:tcMar>
            <w:vAlign w:val="center"/>
          </w:tcPr>
          <w:p w14:paraId="02F8D17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هذا التنبؤ ("الإحسان يبقى ثابتاً بغياب الرقابة") قابل للتكذيب بسهولة — بيانات ميدانية قد تُظهر أن حتى المتدينين يتراخون في غياب الرقابة.</w:t>
            </w:r>
          </w:p>
        </w:tc>
        <w:tc>
          <w:tcPr>
            <w:tcW w:w="3293" w:type="dxa"/>
            <w:shd w:val="clear" w:color="auto" w:fill="EBF5E0"/>
            <w:tcMar>
              <w:top w:w="75" w:type="dxa"/>
              <w:left w:w="100" w:type="dxa"/>
              <w:bottom w:w="75" w:type="dxa"/>
              <w:right w:w="100" w:type="dxa"/>
            </w:tcMar>
            <w:vAlign w:val="center"/>
          </w:tcPr>
          <w:p w14:paraId="1E87F67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هذا الاعتراض يُقوِّي المحك لا يُضعفه — لأنه بالضبط ما يجعل الادعاء علمياً بالمعنى البوبري: تنبؤ يُمكن كسره. المشروع يدَّعي: "درجة الإحسان المُعتقَد (لا مجرد الانتماء الديني الاسمي) ستكون مُتنبِّئاً إحصائياً أقوى" — ادعاء احتمالي إحصائي لا حتمي مطلق.</w:t>
            </w:r>
          </w:p>
        </w:tc>
      </w:tr>
    </w:tbl>
    <w:p w14:paraId="79E055A4" w14:textId="77777777" w:rsidR="005C0A79" w:rsidRPr="00B832F2" w:rsidRDefault="005C0A79" w:rsidP="005C0A79">
      <w:pPr>
        <w:bidi/>
        <w:spacing w:after="60"/>
        <w:rPr>
          <w:rFonts w:ascii="Sakkal Majalla" w:hAnsi="Sakkal Majalla" w:cs="Sakkal Majalla"/>
          <w:sz w:val="28"/>
          <w:szCs w:val="28"/>
        </w:rPr>
      </w:pPr>
    </w:p>
    <w:p w14:paraId="2E427023"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التطبيق الرابع: العدل القرآني وDistributive Justice</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2"/>
        <w:gridCol w:w="3002"/>
        <w:gridCol w:w="3531"/>
      </w:tblGrid>
      <w:tr w:rsidR="005C0A79" w:rsidRPr="00B832F2" w14:paraId="46EA454E" w14:textId="77777777" w:rsidTr="00A011EA">
        <w:tc>
          <w:tcPr>
            <w:tcW w:w="3002" w:type="dxa"/>
            <w:shd w:val="clear" w:color="auto" w:fill="1F3864"/>
            <w:tcMar>
              <w:top w:w="75" w:type="dxa"/>
              <w:left w:w="100" w:type="dxa"/>
              <w:bottom w:w="75" w:type="dxa"/>
              <w:right w:w="100" w:type="dxa"/>
            </w:tcMar>
            <w:vAlign w:val="center"/>
          </w:tcPr>
          <w:p w14:paraId="45D4B66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المحك</w:t>
            </w:r>
          </w:p>
        </w:tc>
        <w:tc>
          <w:tcPr>
            <w:tcW w:w="3002" w:type="dxa"/>
            <w:shd w:val="clear" w:color="auto" w:fill="595959"/>
            <w:tcMar>
              <w:top w:w="75" w:type="dxa"/>
              <w:left w:w="100" w:type="dxa"/>
              <w:bottom w:w="75" w:type="dxa"/>
              <w:right w:w="100" w:type="dxa"/>
            </w:tcMar>
            <w:vAlign w:val="center"/>
          </w:tcPr>
          <w:p w14:paraId="0C67208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Distributive Justice (Rawls/Adams)</w:t>
            </w:r>
          </w:p>
        </w:tc>
        <w:tc>
          <w:tcPr>
            <w:tcW w:w="3531" w:type="dxa"/>
            <w:shd w:val="clear" w:color="auto" w:fill="156082"/>
            <w:tcMar>
              <w:top w:w="75" w:type="dxa"/>
              <w:left w:w="100" w:type="dxa"/>
              <w:bottom w:w="75" w:type="dxa"/>
              <w:right w:w="100" w:type="dxa"/>
            </w:tcMar>
            <w:vAlign w:val="center"/>
          </w:tcPr>
          <w:p w14:paraId="6B58C0D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العدل القرآني</w:t>
            </w:r>
          </w:p>
        </w:tc>
      </w:tr>
      <w:tr w:rsidR="005C0A79" w:rsidRPr="00B832F2" w14:paraId="550F9C11" w14:textId="77777777" w:rsidTr="00A011EA">
        <w:tc>
          <w:tcPr>
            <w:tcW w:w="3002" w:type="dxa"/>
            <w:shd w:val="clear" w:color="auto" w:fill="EBF5E0"/>
            <w:tcMar>
              <w:top w:w="75" w:type="dxa"/>
              <w:left w:w="100" w:type="dxa"/>
              <w:bottom w:w="75" w:type="dxa"/>
              <w:right w:w="100" w:type="dxa"/>
            </w:tcMar>
            <w:vAlign w:val="center"/>
          </w:tcPr>
          <w:p w14:paraId="2471957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375623"/>
                <w:sz w:val="28"/>
                <w:szCs w:val="28"/>
                <w:rtl/>
              </w:rPr>
              <w:t>الأصالة</w:t>
            </w:r>
          </w:p>
        </w:tc>
        <w:tc>
          <w:tcPr>
            <w:tcW w:w="3002" w:type="dxa"/>
            <w:shd w:val="clear" w:color="auto" w:fill="F5F5F5"/>
            <w:tcMar>
              <w:top w:w="75" w:type="dxa"/>
              <w:left w:w="100" w:type="dxa"/>
              <w:bottom w:w="75" w:type="dxa"/>
              <w:right w:w="100" w:type="dxa"/>
            </w:tcMar>
            <w:vAlign w:val="center"/>
          </w:tcPr>
          <w:p w14:paraId="348068D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العدل توزيع منصف وفق مبادئ عقلانية متفق عليها اجتماعياً (Rawls: "حجاب الجهل"؛ Adams: Equity Theory).</w:t>
            </w:r>
          </w:p>
        </w:tc>
        <w:tc>
          <w:tcPr>
            <w:tcW w:w="3531" w:type="dxa"/>
            <w:shd w:val="clear" w:color="auto" w:fill="EBF5E0"/>
            <w:tcMar>
              <w:top w:w="75" w:type="dxa"/>
              <w:left w:w="100" w:type="dxa"/>
              <w:bottom w:w="75" w:type="dxa"/>
              <w:right w:w="100" w:type="dxa"/>
            </w:tcMar>
            <w:vAlign w:val="center"/>
          </w:tcPr>
          <w:p w14:paraId="3D432C8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العدل القرآني أوسع من التوزيع: ﴿إِنَّ اللَّهَ يَأْمُرُ بِالْعَدْلِ وَالْإِحْسَانِ﴾ (النحل:90) — يجمع العدل (الواجب) والإحسان (الفضل) في منظومة تتجاوز حساب المُدخَل-المُخرَج.</w:t>
            </w:r>
          </w:p>
        </w:tc>
      </w:tr>
      <w:tr w:rsidR="005C0A79" w:rsidRPr="00B832F2" w14:paraId="68FD7504" w14:textId="77777777" w:rsidTr="00A011EA">
        <w:tc>
          <w:tcPr>
            <w:tcW w:w="3002" w:type="dxa"/>
            <w:shd w:val="clear" w:color="auto" w:fill="FFFFFF"/>
            <w:tcMar>
              <w:top w:w="75" w:type="dxa"/>
              <w:left w:w="100" w:type="dxa"/>
              <w:bottom w:w="75" w:type="dxa"/>
              <w:right w:w="100" w:type="dxa"/>
            </w:tcMar>
            <w:vAlign w:val="center"/>
          </w:tcPr>
          <w:p w14:paraId="52E3296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375623"/>
                <w:sz w:val="28"/>
                <w:szCs w:val="28"/>
                <w:rtl/>
              </w:rPr>
              <w:t>الاستقلالية</w:t>
            </w:r>
          </w:p>
        </w:tc>
        <w:tc>
          <w:tcPr>
            <w:tcW w:w="3002" w:type="dxa"/>
            <w:shd w:val="clear" w:color="auto" w:fill="FFFFFF"/>
            <w:tcMar>
              <w:top w:w="75" w:type="dxa"/>
              <w:left w:w="100" w:type="dxa"/>
              <w:bottom w:w="75" w:type="dxa"/>
              <w:right w:w="100" w:type="dxa"/>
            </w:tcMar>
            <w:vAlign w:val="center"/>
          </w:tcPr>
          <w:p w14:paraId="6FB7CCC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Rawls (1971): فلسفة سياسية غربية معاصرة. Adams (1963): نظرية نفسية تنظيمية.</w:t>
            </w:r>
          </w:p>
        </w:tc>
        <w:tc>
          <w:tcPr>
            <w:tcW w:w="3531" w:type="dxa"/>
            <w:shd w:val="clear" w:color="auto" w:fill="FFFFFF"/>
            <w:tcMar>
              <w:top w:w="75" w:type="dxa"/>
              <w:left w:w="100" w:type="dxa"/>
              <w:bottom w:w="75" w:type="dxa"/>
              <w:right w:w="100" w:type="dxa"/>
            </w:tcMar>
            <w:vAlign w:val="center"/>
          </w:tcPr>
          <w:p w14:paraId="7937B3E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من جذر ع-د-ل: "التسوية والاستقامة" (ابن فارس). وردت 28+ مرة في القرآن بسياقات قضائية واجتماعية واقتصادية متكاملة.</w:t>
            </w:r>
          </w:p>
        </w:tc>
      </w:tr>
      <w:tr w:rsidR="005C0A79" w:rsidRPr="00B832F2" w14:paraId="6427CB50" w14:textId="77777777" w:rsidTr="00A011EA">
        <w:tc>
          <w:tcPr>
            <w:tcW w:w="3002" w:type="dxa"/>
            <w:shd w:val="clear" w:color="auto" w:fill="EBF5E0"/>
            <w:tcMar>
              <w:top w:w="75" w:type="dxa"/>
              <w:left w:w="100" w:type="dxa"/>
              <w:bottom w:w="75" w:type="dxa"/>
              <w:right w:w="100" w:type="dxa"/>
            </w:tcMar>
            <w:vAlign w:val="center"/>
          </w:tcPr>
          <w:p w14:paraId="5E7EFB0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375623"/>
                <w:sz w:val="28"/>
                <w:szCs w:val="28"/>
                <w:rtl/>
              </w:rPr>
              <w:t>التمييز</w:t>
            </w:r>
          </w:p>
        </w:tc>
        <w:tc>
          <w:tcPr>
            <w:tcW w:w="3002" w:type="dxa"/>
            <w:shd w:val="clear" w:color="auto" w:fill="F5F5F5"/>
            <w:tcMar>
              <w:top w:w="75" w:type="dxa"/>
              <w:left w:w="100" w:type="dxa"/>
              <w:bottom w:w="75" w:type="dxa"/>
              <w:right w:w="100" w:type="dxa"/>
            </w:tcMar>
            <w:vAlign w:val="center"/>
          </w:tcPr>
          <w:p w14:paraId="4871674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في تحديد الأجور: تُحلَّل وفق مُدخَلات قابلة للقياس وتتوقف عند التوازن الحسابي.</w:t>
            </w:r>
          </w:p>
        </w:tc>
        <w:tc>
          <w:tcPr>
            <w:tcW w:w="3531" w:type="dxa"/>
            <w:shd w:val="clear" w:color="auto" w:fill="EBF5E0"/>
            <w:tcMar>
              <w:top w:w="75" w:type="dxa"/>
              <w:left w:w="100" w:type="dxa"/>
              <w:bottom w:w="75" w:type="dxa"/>
              <w:right w:w="100" w:type="dxa"/>
            </w:tcMar>
            <w:vAlign w:val="center"/>
          </w:tcPr>
          <w:p w14:paraId="4193F4EC"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يضيف بعد «حق ذي الحق» الذي لا يقف عند الحساب: «أعطوا الأجير أجره قبل أن يجف عرقه» (ابن ماجه)، أي استحقاق زمني فوري لا توازن حسابي فقط.</w:t>
            </w:r>
          </w:p>
        </w:tc>
      </w:tr>
      <w:tr w:rsidR="005C0A79" w:rsidRPr="00B832F2" w14:paraId="00F8617A" w14:textId="77777777" w:rsidTr="00A011EA">
        <w:trPr>
          <w:gridAfter w:val="1"/>
          <w:wAfter w:w="3531" w:type="dxa"/>
        </w:trPr>
        <w:tc>
          <w:tcPr>
            <w:tcW w:w="3002" w:type="dxa"/>
            <w:shd w:val="clear" w:color="auto" w:fill="C00000"/>
            <w:tcMar>
              <w:top w:w="75" w:type="dxa"/>
              <w:left w:w="100" w:type="dxa"/>
              <w:bottom w:w="75" w:type="dxa"/>
              <w:right w:w="100" w:type="dxa"/>
            </w:tcMar>
            <w:vAlign w:val="center"/>
          </w:tcPr>
          <w:p w14:paraId="65AFA423"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اعتراض الناقد</w:t>
            </w:r>
          </w:p>
        </w:tc>
        <w:tc>
          <w:tcPr>
            <w:tcW w:w="3002" w:type="dxa"/>
            <w:shd w:val="clear" w:color="auto" w:fill="C49A00"/>
            <w:tcMar>
              <w:top w:w="75" w:type="dxa"/>
              <w:left w:w="100" w:type="dxa"/>
              <w:bottom w:w="75" w:type="dxa"/>
              <w:right w:w="100" w:type="dxa"/>
            </w:tcMar>
            <w:vAlign w:val="center"/>
          </w:tcPr>
          <w:p w14:paraId="1E38B805"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رد المشروع (إقرار جزئي)</w:t>
            </w:r>
          </w:p>
        </w:tc>
      </w:tr>
      <w:tr w:rsidR="005C0A79" w:rsidRPr="00B832F2" w14:paraId="38E7138C" w14:textId="77777777" w:rsidTr="00A011EA">
        <w:trPr>
          <w:gridAfter w:val="1"/>
          <w:wAfter w:w="3531" w:type="dxa"/>
        </w:trPr>
        <w:tc>
          <w:tcPr>
            <w:tcW w:w="3002" w:type="dxa"/>
            <w:shd w:val="clear" w:color="auto" w:fill="FFF0F0"/>
            <w:tcMar>
              <w:top w:w="75" w:type="dxa"/>
              <w:left w:w="100" w:type="dxa"/>
              <w:bottom w:w="75" w:type="dxa"/>
              <w:right w:w="100" w:type="dxa"/>
            </w:tcMar>
            <w:vAlign w:val="center"/>
          </w:tcPr>
          <w:p w14:paraId="53C027A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مبدأ الاستحقاق الفوري موجود في Equity Sensitivity (Huseman et al. 1987) — الفارق قد يكون في الدرجة لا في النوع.</w:t>
            </w:r>
          </w:p>
        </w:tc>
        <w:tc>
          <w:tcPr>
            <w:tcW w:w="3002" w:type="dxa"/>
            <w:shd w:val="clear" w:color="auto" w:fill="FFFDE0"/>
            <w:tcMar>
              <w:top w:w="75" w:type="dxa"/>
              <w:left w:w="100" w:type="dxa"/>
              <w:bottom w:w="75" w:type="dxa"/>
              <w:right w:w="100" w:type="dxa"/>
            </w:tcMar>
            <w:vAlign w:val="center"/>
          </w:tcPr>
          <w:p w14:paraId="0DBD796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إقرار جزئي مشروع: الفارق الجوهري ليس في "الحساسية الزمنية" (ملاحظة سلوكية مشتركة) بل في مصدر الإلزام. في Equity Sensitivity: سمة شخصية متفاوتة. في العدل القرآني: حكم شرعي مُلزِم لكل مدير بصرف النظر عن سمته الشخصية — فارق في طبيعة الإلزام (معياري vs. وصفي).</w:t>
            </w:r>
          </w:p>
        </w:tc>
      </w:tr>
    </w:tbl>
    <w:p w14:paraId="13E5C55E" w14:textId="77777777" w:rsidR="005C0A79" w:rsidRPr="00B832F2" w:rsidRDefault="005C0A79" w:rsidP="005C0A79">
      <w:pPr>
        <w:bidi/>
        <w:spacing w:after="60"/>
        <w:rPr>
          <w:rFonts w:ascii="Sakkal Majalla" w:hAnsi="Sakkal Majalla" w:cs="Sakkal Majalla"/>
          <w:sz w:val="28"/>
          <w:szCs w:val="28"/>
        </w:rPr>
      </w:pPr>
    </w:p>
    <w:p w14:paraId="70D16303"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خلاصة التطبيقات الأربعة: نمط متكرر بدرجات متفاوتة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440"/>
        <w:gridCol w:w="1440"/>
        <w:gridCol w:w="1440"/>
        <w:gridCol w:w="2880"/>
      </w:tblGrid>
      <w:tr w:rsidR="005C0A79" w:rsidRPr="00B832F2" w14:paraId="21E975B1" w14:textId="77777777" w:rsidTr="00A011EA">
        <w:tc>
          <w:tcPr>
            <w:tcW w:w="1440" w:type="dxa"/>
            <w:shd w:val="clear" w:color="auto" w:fill="1F3864"/>
            <w:tcMar>
              <w:top w:w="75" w:type="dxa"/>
              <w:left w:w="100" w:type="dxa"/>
              <w:bottom w:w="75" w:type="dxa"/>
              <w:right w:w="100" w:type="dxa"/>
            </w:tcMar>
            <w:vAlign w:val="center"/>
          </w:tcPr>
          <w:p w14:paraId="2BD06F5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المفهوم</w:t>
            </w:r>
          </w:p>
        </w:tc>
        <w:tc>
          <w:tcPr>
            <w:tcW w:w="1440" w:type="dxa"/>
            <w:shd w:val="clear" w:color="auto" w:fill="1F3864"/>
            <w:tcMar>
              <w:top w:w="75" w:type="dxa"/>
              <w:left w:w="100" w:type="dxa"/>
              <w:bottom w:w="75" w:type="dxa"/>
              <w:right w:w="100" w:type="dxa"/>
            </w:tcMar>
            <w:vAlign w:val="center"/>
          </w:tcPr>
          <w:p w14:paraId="764B286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الأصالة</w:t>
            </w:r>
          </w:p>
        </w:tc>
        <w:tc>
          <w:tcPr>
            <w:tcW w:w="1440" w:type="dxa"/>
            <w:shd w:val="clear" w:color="auto" w:fill="1F3864"/>
            <w:tcMar>
              <w:top w:w="75" w:type="dxa"/>
              <w:left w:w="100" w:type="dxa"/>
              <w:bottom w:w="75" w:type="dxa"/>
              <w:right w:w="100" w:type="dxa"/>
            </w:tcMar>
            <w:vAlign w:val="center"/>
          </w:tcPr>
          <w:p w14:paraId="3C59D72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الاستقلالية</w:t>
            </w:r>
          </w:p>
        </w:tc>
        <w:tc>
          <w:tcPr>
            <w:tcW w:w="1440" w:type="dxa"/>
            <w:shd w:val="clear" w:color="auto" w:fill="1F3864"/>
            <w:tcMar>
              <w:top w:w="75" w:type="dxa"/>
              <w:left w:w="100" w:type="dxa"/>
              <w:bottom w:w="75" w:type="dxa"/>
              <w:right w:w="100" w:type="dxa"/>
            </w:tcMar>
            <w:vAlign w:val="center"/>
          </w:tcPr>
          <w:p w14:paraId="5DA0B89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التمييز</w:t>
            </w:r>
          </w:p>
        </w:tc>
        <w:tc>
          <w:tcPr>
            <w:tcW w:w="2880" w:type="dxa"/>
            <w:shd w:val="clear" w:color="auto" w:fill="1F3864"/>
            <w:tcMar>
              <w:top w:w="75" w:type="dxa"/>
              <w:left w:w="100" w:type="dxa"/>
              <w:bottom w:w="75" w:type="dxa"/>
              <w:right w:w="100" w:type="dxa"/>
            </w:tcMar>
            <w:vAlign w:val="center"/>
          </w:tcPr>
          <w:p w14:paraId="79D600C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قوة الاعتراض</w:t>
            </w:r>
          </w:p>
        </w:tc>
      </w:tr>
      <w:tr w:rsidR="005C0A79" w:rsidRPr="00B832F2" w14:paraId="2582D9F7" w14:textId="77777777" w:rsidTr="00A011EA">
        <w:tc>
          <w:tcPr>
            <w:tcW w:w="1440" w:type="dxa"/>
            <w:shd w:val="clear" w:color="auto" w:fill="EBF5FB"/>
            <w:tcMar>
              <w:top w:w="75" w:type="dxa"/>
              <w:left w:w="100" w:type="dxa"/>
              <w:bottom w:w="75" w:type="dxa"/>
              <w:right w:w="100" w:type="dxa"/>
            </w:tcMar>
            <w:vAlign w:val="center"/>
          </w:tcPr>
          <w:p w14:paraId="1454CA3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الأمانة</w:t>
            </w:r>
          </w:p>
        </w:tc>
        <w:tc>
          <w:tcPr>
            <w:tcW w:w="1440" w:type="dxa"/>
            <w:shd w:val="clear" w:color="auto" w:fill="EBF5E0"/>
            <w:tcMar>
              <w:top w:w="75" w:type="dxa"/>
              <w:left w:w="100" w:type="dxa"/>
              <w:bottom w:w="75" w:type="dxa"/>
              <w:right w:w="100" w:type="dxa"/>
            </w:tcMar>
            <w:vAlign w:val="center"/>
          </w:tcPr>
          <w:p w14:paraId="13DE5B5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5462539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2CC"/>
            <w:tcMar>
              <w:top w:w="75" w:type="dxa"/>
              <w:left w:w="100" w:type="dxa"/>
              <w:bottom w:w="75" w:type="dxa"/>
              <w:right w:w="100" w:type="dxa"/>
            </w:tcMar>
            <w:vAlign w:val="center"/>
          </w:tcPr>
          <w:p w14:paraId="5B2DE34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قوي </w:t>
            </w:r>
            <w:r w:rsidRPr="00B832F2">
              <w:rPr>
                <w:rFonts w:ascii="Segoe UI Symbol" w:hAnsi="Segoe UI Symbol" w:cs="Segoe UI Symbol" w:hint="cs"/>
                <w:color w:val="000000"/>
                <w:sz w:val="28"/>
                <w:szCs w:val="28"/>
                <w:rtl/>
              </w:rPr>
              <w:t>✓</w:t>
            </w:r>
          </w:p>
        </w:tc>
        <w:tc>
          <w:tcPr>
            <w:tcW w:w="2880" w:type="dxa"/>
            <w:shd w:val="clear" w:color="auto" w:fill="FFF5F5"/>
            <w:tcMar>
              <w:top w:w="75" w:type="dxa"/>
              <w:left w:w="100" w:type="dxa"/>
              <w:bottom w:w="75" w:type="dxa"/>
              <w:right w:w="100" w:type="dxa"/>
            </w:tcMar>
            <w:vAlign w:val="center"/>
          </w:tcPr>
          <w:p w14:paraId="0A742A2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ضعيف </w:t>
            </w:r>
            <w:r w:rsidRPr="00B832F2">
              <w:rPr>
                <w:rFonts w:ascii="Cambria Math" w:hAnsi="Cambria Math" w:cs="Cambria Math" w:hint="cs"/>
                <w:color w:val="000000"/>
                <w:sz w:val="28"/>
                <w:szCs w:val="28"/>
                <w:rtl/>
              </w:rPr>
              <w:t>↘</w:t>
            </w:r>
          </w:p>
        </w:tc>
      </w:tr>
      <w:tr w:rsidR="005C0A79" w:rsidRPr="00B832F2" w14:paraId="50931678" w14:textId="77777777" w:rsidTr="00A011EA">
        <w:tc>
          <w:tcPr>
            <w:tcW w:w="1440" w:type="dxa"/>
            <w:shd w:val="clear" w:color="auto" w:fill="FFFFFF"/>
            <w:tcMar>
              <w:top w:w="75" w:type="dxa"/>
              <w:left w:w="100" w:type="dxa"/>
              <w:bottom w:w="75" w:type="dxa"/>
              <w:right w:w="100" w:type="dxa"/>
            </w:tcMar>
            <w:vAlign w:val="center"/>
          </w:tcPr>
          <w:p w14:paraId="27F0958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lastRenderedPageBreak/>
              <w:t>الشورى</w:t>
            </w:r>
          </w:p>
        </w:tc>
        <w:tc>
          <w:tcPr>
            <w:tcW w:w="1440" w:type="dxa"/>
            <w:shd w:val="clear" w:color="auto" w:fill="FFFFFF"/>
            <w:tcMar>
              <w:top w:w="75" w:type="dxa"/>
              <w:left w:w="100" w:type="dxa"/>
              <w:bottom w:w="75" w:type="dxa"/>
              <w:right w:w="100" w:type="dxa"/>
            </w:tcMar>
            <w:vAlign w:val="center"/>
          </w:tcPr>
          <w:p w14:paraId="53A40EE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57DC0DE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300F39C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متوسط ≈</w:t>
            </w:r>
          </w:p>
        </w:tc>
        <w:tc>
          <w:tcPr>
            <w:tcW w:w="2880" w:type="dxa"/>
            <w:shd w:val="clear" w:color="auto" w:fill="FFFFFF"/>
            <w:tcMar>
              <w:top w:w="75" w:type="dxa"/>
              <w:left w:w="100" w:type="dxa"/>
              <w:bottom w:w="75" w:type="dxa"/>
              <w:right w:w="100" w:type="dxa"/>
            </w:tcMar>
            <w:vAlign w:val="center"/>
          </w:tcPr>
          <w:p w14:paraId="53286AB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متوسط </w:t>
            </w:r>
            <w:r w:rsidRPr="00B832F2">
              <w:rPr>
                <w:rFonts w:hint="cs"/>
                <w:color w:val="000000"/>
                <w:sz w:val="28"/>
                <w:szCs w:val="28"/>
                <w:rtl/>
              </w:rPr>
              <w:t>↔</w:t>
            </w:r>
          </w:p>
        </w:tc>
      </w:tr>
      <w:tr w:rsidR="005C0A79" w:rsidRPr="00B832F2" w14:paraId="2D15D918" w14:textId="77777777" w:rsidTr="00A011EA">
        <w:tc>
          <w:tcPr>
            <w:tcW w:w="1440" w:type="dxa"/>
            <w:shd w:val="clear" w:color="auto" w:fill="EBF5FB"/>
            <w:tcMar>
              <w:top w:w="75" w:type="dxa"/>
              <w:left w:w="100" w:type="dxa"/>
              <w:bottom w:w="75" w:type="dxa"/>
              <w:right w:w="100" w:type="dxa"/>
            </w:tcMar>
            <w:vAlign w:val="center"/>
          </w:tcPr>
          <w:p w14:paraId="35D1DC9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الإحسان</w:t>
            </w:r>
          </w:p>
        </w:tc>
        <w:tc>
          <w:tcPr>
            <w:tcW w:w="1440" w:type="dxa"/>
            <w:shd w:val="clear" w:color="auto" w:fill="EBF5E0"/>
            <w:tcMar>
              <w:top w:w="75" w:type="dxa"/>
              <w:left w:w="100" w:type="dxa"/>
              <w:bottom w:w="75" w:type="dxa"/>
              <w:right w:w="100" w:type="dxa"/>
            </w:tcMar>
            <w:vAlign w:val="center"/>
          </w:tcPr>
          <w:p w14:paraId="4F07CB3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790BF8A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2CC"/>
            <w:tcMar>
              <w:top w:w="75" w:type="dxa"/>
              <w:left w:w="100" w:type="dxa"/>
              <w:bottom w:w="75" w:type="dxa"/>
              <w:right w:w="100" w:type="dxa"/>
            </w:tcMar>
            <w:vAlign w:val="center"/>
          </w:tcPr>
          <w:p w14:paraId="5B504D8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قوي احتمالي </w:t>
            </w:r>
            <w:r w:rsidRPr="00B832F2">
              <w:rPr>
                <w:rFonts w:ascii="Segoe UI Symbol" w:hAnsi="Segoe UI Symbol" w:cs="Segoe UI Symbol" w:hint="cs"/>
                <w:color w:val="000000"/>
                <w:sz w:val="28"/>
                <w:szCs w:val="28"/>
                <w:rtl/>
              </w:rPr>
              <w:t>✓</w:t>
            </w:r>
            <w:r w:rsidRPr="00B832F2">
              <w:rPr>
                <w:rFonts w:ascii="Sakkal Majalla" w:hAnsi="Sakkal Majalla" w:cs="Sakkal Majalla"/>
                <w:color w:val="000000"/>
                <w:sz w:val="28"/>
                <w:szCs w:val="28"/>
                <w:rtl/>
              </w:rPr>
              <w:t>~</w:t>
            </w:r>
          </w:p>
        </w:tc>
        <w:tc>
          <w:tcPr>
            <w:tcW w:w="2880" w:type="dxa"/>
            <w:shd w:val="clear" w:color="auto" w:fill="FFF5F5"/>
            <w:tcMar>
              <w:top w:w="75" w:type="dxa"/>
              <w:left w:w="100" w:type="dxa"/>
              <w:bottom w:w="75" w:type="dxa"/>
              <w:right w:w="100" w:type="dxa"/>
            </w:tcMar>
            <w:vAlign w:val="center"/>
          </w:tcPr>
          <w:p w14:paraId="32BA387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ضعيف </w:t>
            </w:r>
            <w:r w:rsidRPr="00B832F2">
              <w:rPr>
                <w:rFonts w:ascii="Cambria Math" w:hAnsi="Cambria Math" w:cs="Cambria Math" w:hint="cs"/>
                <w:color w:val="000000"/>
                <w:sz w:val="28"/>
                <w:szCs w:val="28"/>
                <w:rtl/>
              </w:rPr>
              <w:t>↘</w:t>
            </w:r>
          </w:p>
        </w:tc>
      </w:tr>
      <w:tr w:rsidR="005C0A79" w:rsidRPr="00B832F2" w14:paraId="513309B0" w14:textId="77777777" w:rsidTr="00A011EA">
        <w:tc>
          <w:tcPr>
            <w:tcW w:w="1440" w:type="dxa"/>
            <w:shd w:val="clear" w:color="auto" w:fill="FFFFFF"/>
            <w:tcMar>
              <w:top w:w="75" w:type="dxa"/>
              <w:left w:w="100" w:type="dxa"/>
              <w:bottom w:w="75" w:type="dxa"/>
              <w:right w:w="100" w:type="dxa"/>
            </w:tcMar>
            <w:vAlign w:val="center"/>
          </w:tcPr>
          <w:p w14:paraId="3A3644B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العدل</w:t>
            </w:r>
          </w:p>
        </w:tc>
        <w:tc>
          <w:tcPr>
            <w:tcW w:w="1440" w:type="dxa"/>
            <w:shd w:val="clear" w:color="auto" w:fill="FFFFFF"/>
            <w:tcMar>
              <w:top w:w="75" w:type="dxa"/>
              <w:left w:w="100" w:type="dxa"/>
              <w:bottom w:w="75" w:type="dxa"/>
              <w:right w:w="100" w:type="dxa"/>
            </w:tcMar>
            <w:vAlign w:val="center"/>
          </w:tcPr>
          <w:p w14:paraId="4EF6CF8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متوسط ≈</w:t>
            </w:r>
          </w:p>
        </w:tc>
        <w:tc>
          <w:tcPr>
            <w:tcW w:w="1440" w:type="dxa"/>
            <w:shd w:val="clear" w:color="auto" w:fill="FFFFFF"/>
            <w:tcMar>
              <w:top w:w="75" w:type="dxa"/>
              <w:left w:w="100" w:type="dxa"/>
              <w:bottom w:w="75" w:type="dxa"/>
              <w:right w:w="100" w:type="dxa"/>
            </w:tcMar>
            <w:vAlign w:val="center"/>
          </w:tcPr>
          <w:p w14:paraId="6D84974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375623"/>
                <w:sz w:val="28"/>
                <w:szCs w:val="28"/>
                <w:rtl/>
              </w:rPr>
              <w:t xml:space="preserve">قوي </w:t>
            </w: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12AD71B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متوسط ≈</w:t>
            </w:r>
          </w:p>
        </w:tc>
        <w:tc>
          <w:tcPr>
            <w:tcW w:w="2880" w:type="dxa"/>
            <w:shd w:val="clear" w:color="auto" w:fill="FFFFFF"/>
            <w:tcMar>
              <w:top w:w="75" w:type="dxa"/>
              <w:left w:w="100" w:type="dxa"/>
              <w:bottom w:w="75" w:type="dxa"/>
              <w:right w:w="100" w:type="dxa"/>
            </w:tcMar>
            <w:vAlign w:val="center"/>
          </w:tcPr>
          <w:p w14:paraId="22EF4B9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 xml:space="preserve">متوسط-قوي </w:t>
            </w:r>
            <w:r w:rsidRPr="00B832F2">
              <w:rPr>
                <w:rFonts w:hint="cs"/>
                <w:color w:val="000000"/>
                <w:sz w:val="28"/>
                <w:szCs w:val="28"/>
                <w:rtl/>
              </w:rPr>
              <w:t>↑</w:t>
            </w:r>
          </w:p>
        </w:tc>
      </w:tr>
    </w:tbl>
    <w:p w14:paraId="2E078320" w14:textId="77777777" w:rsidR="005C0A79" w:rsidRPr="00B832F2" w:rsidRDefault="005C0A79" w:rsidP="005C0A79">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3.3 — تقييم صادق لقوة تحقق كل محك في التطبيقات الأربعة؛ والتفاوت علامة أمانة لا عيب.</w:t>
      </w:r>
    </w:p>
    <w:p w14:paraId="713E2276"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ولا أرى في تفاوت قوة التطبيقات عيبًا في المنهج، بل علامة على سلامته؛ فلو أثبتت الأمثلة كلها المحكّات بالقوة نفسها، لكان ذلك قرينة على انحياز تأكيدي في اختيارها.</w:t>
      </w:r>
    </w:p>
    <w:p w14:paraId="77BCFFC6" w14:textId="77777777" w:rsidR="005C0A79" w:rsidRPr="00B832F2" w:rsidRDefault="005C0A79" w:rsidP="005C0A79">
      <w:pPr>
        <w:bidi/>
        <w:spacing w:after="60"/>
        <w:rPr>
          <w:rFonts w:ascii="Sakkal Majalla" w:hAnsi="Sakkal Majalla" w:cs="Sakkal Majalla"/>
          <w:sz w:val="28"/>
          <w:szCs w:val="28"/>
        </w:rPr>
      </w:pPr>
    </w:p>
    <w:p w14:paraId="28AD5953"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1D488B83"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3.9  بروتوكول الاختبار التجريبي: من التصميم إلى النشر</w:t>
      </w:r>
    </w:p>
    <w:p w14:paraId="031CE993"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يبقى الاشتقاق النظري، مهما بلغت دقته، فرضية حتى يُختبر ميدانيًا. وهذا بروتوكول قابل للتنفيذ في ثلاثة تصاميم:</w:t>
      </w:r>
    </w:p>
    <w:p w14:paraId="07395CBC" w14:textId="77777777" w:rsidR="005C0A79" w:rsidRPr="00B832F2" w:rsidRDefault="005C0A79" w:rsidP="005C0A79">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أ) دراسات الحالة المقارنة (Comparative Case Studies)</w:t>
      </w:r>
    </w:p>
    <w:p w14:paraId="3EA751D8"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تُقارن مؤسستان أو أكثر متشابهتان في الحجم والقطاع والسياق الثقافي، وتختلفان في تبنّي المبدأ الإداري المختبَر. ويُتبع منهج Eisenhardt (1989) في بناء النظرية من دراسة الحالة، مع معايير Yin (2018) للصلاحية الداخلية والخارجية.</w:t>
      </w:r>
    </w:p>
    <w:p w14:paraId="33FBA91F"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Eisenhardt, K. (1989). Building Theories from Case Study Research. AMR, 14(4), 532-550. | Yin, R. (2018). Case Study Research and Applications (6th ed.). Sage.</w:t>
      </w:r>
    </w:p>
    <w:p w14:paraId="5893D6C3"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ب) الدراسات التجريبية: تصميم الموقف الافتراضي</w:t>
      </w:r>
    </w:p>
    <w:p w14:paraId="3AA2E223"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يُعرض موقف إداري افتراضي (Vignette) مصمَّم بعناية على مجموعتين عشوائيتين: الأولى يُنشَّط لديها الإطار القرآني (آيات الأمانة مع شرح مختصر)، والثانية يُنشَّط لديها إطار غربي مقابل، ثم يُقاس الفرق في القرار المتخذ في موقف فيه تعارض مصالح. وتُتبع في ذلك توصيات Aguinis &amp; Bradley (2014) في منهجية المواقف الافتراضية.</w:t>
      </w:r>
    </w:p>
    <w:p w14:paraId="15CA36C1"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ج) الدراسات النوعية الاستكشافية: بروتوكول المقابلة</w:t>
      </w:r>
    </w:p>
    <w:p w14:paraId="09A33C05"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مقابلات معمّقة شبه مقنَّنة (Semi-Structured) مع قادة يطبّقون مفاهيم الأمانة أو الشورى أو الإحسان عن وعي معلن، بمنهجية Gioia (2013) لضمان الصرامة الاستقرائية، أي بناء «شجرة بيانات» تربط الاقتباسات الخام بالمفاهيم النظرية بخطوات موثّقة.</w:t>
      </w:r>
    </w:p>
    <w:p w14:paraId="56423E3E" w14:textId="77777777" w:rsidR="005C0A79" w:rsidRPr="00B832F2" w:rsidRDefault="005C0A79" w:rsidP="005C0A79">
      <w:pPr>
        <w:bidi/>
        <w:spacing w:after="60"/>
        <w:rPr>
          <w:rFonts w:ascii="Sakkal Majalla" w:hAnsi="Sakkal Majalla" w:cs="Sakkal Majalla"/>
          <w:sz w:val="28"/>
          <w:szCs w:val="28"/>
        </w:rPr>
      </w:pPr>
    </w:p>
    <w:p w14:paraId="465AB3BA"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تهديدات الصلاحية التي يجب ضبطها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5C0A79" w:rsidRPr="00B832F2" w14:paraId="6DF560C3" w14:textId="77777777" w:rsidTr="00A011EA">
        <w:tc>
          <w:tcPr>
            <w:tcW w:w="2160" w:type="dxa"/>
            <w:shd w:val="clear" w:color="auto" w:fill="1F3864"/>
            <w:tcMar>
              <w:top w:w="75" w:type="dxa"/>
              <w:left w:w="100" w:type="dxa"/>
              <w:bottom w:w="75" w:type="dxa"/>
              <w:right w:w="100" w:type="dxa"/>
            </w:tcMar>
            <w:vAlign w:val="center"/>
          </w:tcPr>
          <w:p w14:paraId="20ADD34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نوع التهديد</w:t>
            </w:r>
          </w:p>
        </w:tc>
        <w:tc>
          <w:tcPr>
            <w:tcW w:w="6480" w:type="dxa"/>
            <w:shd w:val="clear" w:color="auto" w:fill="1F3864"/>
            <w:tcMar>
              <w:top w:w="75" w:type="dxa"/>
              <w:left w:w="100" w:type="dxa"/>
              <w:bottom w:w="75" w:type="dxa"/>
              <w:right w:w="100" w:type="dxa"/>
            </w:tcMar>
            <w:vAlign w:val="center"/>
          </w:tcPr>
          <w:p w14:paraId="478FAD3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الوصف وطريقة الضبط</w:t>
            </w:r>
          </w:p>
        </w:tc>
      </w:tr>
      <w:tr w:rsidR="005C0A79" w:rsidRPr="00B832F2" w14:paraId="6C8C0EB5" w14:textId="77777777" w:rsidTr="00A011EA">
        <w:tc>
          <w:tcPr>
            <w:tcW w:w="2160" w:type="dxa"/>
            <w:shd w:val="clear" w:color="auto" w:fill="EBF5FB"/>
            <w:tcMar>
              <w:top w:w="75" w:type="dxa"/>
              <w:left w:w="100" w:type="dxa"/>
              <w:bottom w:w="75" w:type="dxa"/>
              <w:right w:w="100" w:type="dxa"/>
            </w:tcMar>
            <w:vAlign w:val="center"/>
          </w:tcPr>
          <w:p w14:paraId="798DF8B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lastRenderedPageBreak/>
              <w:t>التحيز الديني (Religious Priming)</w:t>
            </w:r>
          </w:p>
        </w:tc>
        <w:tc>
          <w:tcPr>
            <w:tcW w:w="6480" w:type="dxa"/>
            <w:shd w:val="clear" w:color="auto" w:fill="F5FAFF"/>
            <w:tcMar>
              <w:top w:w="75" w:type="dxa"/>
              <w:left w:w="100" w:type="dxa"/>
              <w:bottom w:w="75" w:type="dxa"/>
              <w:right w:w="100" w:type="dxa"/>
            </w:tcMar>
            <w:vAlign w:val="center"/>
          </w:tcPr>
          <w:p w14:paraId="568CA46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مجرد ذكر آيات قد يُنشِّط استجابة "دينية مرغوبة اجتماعياً". الضبط: مجموعة ضابطة ثالثة تُعرَض عليها آيات في سياق غير إداري (لعزل أثر التنشيط الديني عن المفهوم الإداري تحديداً).</w:t>
            </w:r>
          </w:p>
        </w:tc>
      </w:tr>
      <w:tr w:rsidR="005C0A79" w:rsidRPr="00B832F2" w14:paraId="2FEEA375" w14:textId="77777777" w:rsidTr="00A011EA">
        <w:tc>
          <w:tcPr>
            <w:tcW w:w="2160" w:type="dxa"/>
            <w:shd w:val="clear" w:color="auto" w:fill="FFFFFF"/>
            <w:tcMar>
              <w:top w:w="75" w:type="dxa"/>
              <w:left w:w="100" w:type="dxa"/>
              <w:bottom w:w="75" w:type="dxa"/>
              <w:right w:w="100" w:type="dxa"/>
            </w:tcMar>
            <w:vAlign w:val="center"/>
          </w:tcPr>
          <w:p w14:paraId="541D294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التحيز الثقافي المُختلَط (Confounding)</w:t>
            </w:r>
          </w:p>
        </w:tc>
        <w:tc>
          <w:tcPr>
            <w:tcW w:w="6480" w:type="dxa"/>
            <w:shd w:val="clear" w:color="auto" w:fill="FFFFFF"/>
            <w:tcMar>
              <w:top w:w="75" w:type="dxa"/>
              <w:left w:w="100" w:type="dxa"/>
              <w:bottom w:w="75" w:type="dxa"/>
              <w:right w:w="100" w:type="dxa"/>
            </w:tcMar>
            <w:vAlign w:val="center"/>
          </w:tcPr>
          <w:p w14:paraId="7DC5FFA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إذا اختلفت الثقافة الوطنية — أي فارق يعكس الثقافة لا المبدأ. الضبط: مقارنة مؤسستين في نفس البيئة الثقافية، تختلفان فقط في المبدأ الإداري المُتبنَّى رسمياً.</w:t>
            </w:r>
          </w:p>
        </w:tc>
      </w:tr>
      <w:tr w:rsidR="005C0A79" w:rsidRPr="00B832F2" w14:paraId="2FD92C4E" w14:textId="77777777" w:rsidTr="00A011EA">
        <w:tc>
          <w:tcPr>
            <w:tcW w:w="2160" w:type="dxa"/>
            <w:shd w:val="clear" w:color="auto" w:fill="EBF5FB"/>
            <w:tcMar>
              <w:top w:w="75" w:type="dxa"/>
              <w:left w:w="100" w:type="dxa"/>
              <w:bottom w:w="75" w:type="dxa"/>
              <w:right w:w="100" w:type="dxa"/>
            </w:tcMar>
            <w:vAlign w:val="center"/>
          </w:tcPr>
          <w:p w14:paraId="7101930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الرغبة الاجتماعية (Social Desirability)</w:t>
            </w:r>
          </w:p>
        </w:tc>
        <w:tc>
          <w:tcPr>
            <w:tcW w:w="6480" w:type="dxa"/>
            <w:shd w:val="clear" w:color="auto" w:fill="F5FAFF"/>
            <w:tcMar>
              <w:top w:w="75" w:type="dxa"/>
              <w:left w:w="100" w:type="dxa"/>
              <w:bottom w:w="75" w:type="dxa"/>
              <w:right w:w="100" w:type="dxa"/>
            </w:tcMar>
            <w:vAlign w:val="center"/>
          </w:tcPr>
          <w:p w14:paraId="6473218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الإجابات اللفظية المباشرة تميل للتجميل. الضبط: مقاييس ضمنية (Implicit Measures) أو ملاحظة سلوكية فعلية بدلاً من الاستبيان المباشر.</w:t>
            </w:r>
          </w:p>
        </w:tc>
      </w:tr>
      <w:tr w:rsidR="005C0A79" w:rsidRPr="00B832F2" w14:paraId="7F4E37BC" w14:textId="77777777" w:rsidTr="00A011EA">
        <w:tc>
          <w:tcPr>
            <w:tcW w:w="2160" w:type="dxa"/>
            <w:shd w:val="clear" w:color="auto" w:fill="FFFFFF"/>
            <w:tcMar>
              <w:top w:w="75" w:type="dxa"/>
              <w:left w:w="100" w:type="dxa"/>
              <w:bottom w:w="75" w:type="dxa"/>
              <w:right w:w="100" w:type="dxa"/>
            </w:tcMar>
            <w:vAlign w:val="center"/>
          </w:tcPr>
          <w:p w14:paraId="3985690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القوة الإحصائية (Statistical Power)</w:t>
            </w:r>
          </w:p>
        </w:tc>
        <w:tc>
          <w:tcPr>
            <w:tcW w:w="6480" w:type="dxa"/>
            <w:shd w:val="clear" w:color="auto" w:fill="FFFFFF"/>
            <w:tcMar>
              <w:top w:w="75" w:type="dxa"/>
              <w:left w:w="100" w:type="dxa"/>
              <w:bottom w:w="75" w:type="dxa"/>
              <w:right w:w="100" w:type="dxa"/>
            </w:tcMar>
            <w:vAlign w:val="center"/>
          </w:tcPr>
          <w:p w14:paraId="4E1B105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دراسات المقارنة بين مؤسستين (n=2) لا تسمح بالتعميم — قيمتها نظرية (Theory-Building). يجب الإفصاح عن هذا القيد صراحةً.</w:t>
            </w:r>
          </w:p>
        </w:tc>
      </w:tr>
    </w:tbl>
    <w:p w14:paraId="76BD239A" w14:textId="77777777" w:rsidR="005C0A79" w:rsidRPr="00B832F2" w:rsidRDefault="005C0A79" w:rsidP="005C0A79">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3.4 — أربعة تهديدات رئيسية لصلاحية الاختبار التجريبي وطرق ضبطها (انظر Shadish, Cook &amp; Campbell, 2002).</w:t>
      </w:r>
    </w:p>
    <w:p w14:paraId="510BB1F9" w14:textId="77777777" w:rsidR="005C0A79" w:rsidRPr="00B832F2" w:rsidRDefault="005C0A79" w:rsidP="005C0A79">
      <w:pPr>
        <w:bidi/>
        <w:spacing w:after="60"/>
        <w:rPr>
          <w:rFonts w:ascii="Sakkal Majalla" w:hAnsi="Sakkal Majalla" w:cs="Sakkal Majalla"/>
          <w:sz w:val="28"/>
          <w:szCs w:val="28"/>
        </w:rPr>
      </w:pPr>
    </w:p>
    <w:p w14:paraId="48B76E01"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40040051"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3.10  جدول القبول والرفض، ودراسة حالة للفشل الكامل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5400"/>
      </w:tblGrid>
      <w:tr w:rsidR="005C0A79" w:rsidRPr="00B832F2" w14:paraId="48B3F5FD" w14:textId="77777777" w:rsidTr="00A011EA">
        <w:tc>
          <w:tcPr>
            <w:tcW w:w="3240" w:type="dxa"/>
            <w:shd w:val="clear" w:color="auto" w:fill="1F3864"/>
            <w:tcMar>
              <w:top w:w="75" w:type="dxa"/>
              <w:left w:w="100" w:type="dxa"/>
              <w:bottom w:w="75" w:type="dxa"/>
              <w:right w:w="100" w:type="dxa"/>
            </w:tcMar>
            <w:vAlign w:val="center"/>
          </w:tcPr>
          <w:p w14:paraId="748D091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النتيجة التجريبية</w:t>
            </w:r>
          </w:p>
        </w:tc>
        <w:tc>
          <w:tcPr>
            <w:tcW w:w="5400" w:type="dxa"/>
            <w:shd w:val="clear" w:color="auto" w:fill="1F3864"/>
            <w:tcMar>
              <w:top w:w="75" w:type="dxa"/>
              <w:left w:w="100" w:type="dxa"/>
              <w:bottom w:w="75" w:type="dxa"/>
              <w:right w:w="100" w:type="dxa"/>
            </w:tcMar>
            <w:vAlign w:val="center"/>
          </w:tcPr>
          <w:p w14:paraId="61A316F1"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الإجراء المنهجي</w:t>
            </w:r>
          </w:p>
        </w:tc>
      </w:tr>
      <w:tr w:rsidR="005C0A79" w:rsidRPr="00B832F2" w14:paraId="6535A82C" w14:textId="77777777" w:rsidTr="00A011EA">
        <w:tc>
          <w:tcPr>
            <w:tcW w:w="3240" w:type="dxa"/>
            <w:shd w:val="clear" w:color="auto" w:fill="EBF5E0"/>
            <w:tcMar>
              <w:top w:w="75" w:type="dxa"/>
              <w:left w:w="100" w:type="dxa"/>
              <w:bottom w:w="75" w:type="dxa"/>
              <w:right w:w="100" w:type="dxa"/>
            </w:tcMar>
            <w:vAlign w:val="center"/>
          </w:tcPr>
          <w:p w14:paraId="3AF0CDF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أ) تنبؤات مختلفة + يعمل في الواقع</w:t>
            </w:r>
          </w:p>
        </w:tc>
        <w:tc>
          <w:tcPr>
            <w:tcW w:w="5400" w:type="dxa"/>
            <w:shd w:val="clear" w:color="auto" w:fill="EBF5E0"/>
            <w:tcMar>
              <w:top w:w="75" w:type="dxa"/>
              <w:left w:w="100" w:type="dxa"/>
              <w:bottom w:w="75" w:type="dxa"/>
              <w:right w:w="100" w:type="dxa"/>
            </w:tcMar>
            <w:vAlign w:val="center"/>
          </w:tcPr>
          <w:p w14:paraId="431A5B8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قبول: تُحدَّث البطاقة وترتفع درجة الثقة، ثم يُنشر ويُدرَّس.</w:t>
            </w:r>
          </w:p>
        </w:tc>
      </w:tr>
      <w:tr w:rsidR="005C0A79" w:rsidRPr="00B832F2" w14:paraId="02614040" w14:textId="77777777" w:rsidTr="00A011EA">
        <w:tc>
          <w:tcPr>
            <w:tcW w:w="3240" w:type="dxa"/>
            <w:shd w:val="clear" w:color="auto" w:fill="FFFFFF"/>
            <w:tcMar>
              <w:top w:w="75" w:type="dxa"/>
              <w:left w:w="100" w:type="dxa"/>
              <w:bottom w:w="75" w:type="dxa"/>
              <w:right w:w="100" w:type="dxa"/>
            </w:tcMar>
            <w:vAlign w:val="center"/>
          </w:tcPr>
          <w:p w14:paraId="56819C4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ب) تنبؤات مختلفة لكن لا يعمل</w:t>
            </w:r>
          </w:p>
        </w:tc>
        <w:tc>
          <w:tcPr>
            <w:tcW w:w="5400" w:type="dxa"/>
            <w:shd w:val="clear" w:color="auto" w:fill="FFFFFF"/>
            <w:tcMar>
              <w:top w:w="75" w:type="dxa"/>
              <w:left w:w="100" w:type="dxa"/>
              <w:bottom w:w="75" w:type="dxa"/>
              <w:right w:w="100" w:type="dxa"/>
            </w:tcMar>
            <w:vAlign w:val="center"/>
          </w:tcPr>
          <w:p w14:paraId="4555A9D6"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مراجعة المستويين م6–م7 (التطبيق)؛ فالخلل في شروط السياق لا في المبدأ. يُعدَّل ثم يُعاد الاختبار.</w:t>
            </w:r>
          </w:p>
        </w:tc>
      </w:tr>
      <w:tr w:rsidR="005C0A79" w:rsidRPr="00B832F2" w14:paraId="00DB0150" w14:textId="77777777" w:rsidTr="00A011EA">
        <w:tc>
          <w:tcPr>
            <w:tcW w:w="3240" w:type="dxa"/>
            <w:shd w:val="clear" w:color="auto" w:fill="FFF2CC"/>
            <w:tcMar>
              <w:top w:w="75" w:type="dxa"/>
              <w:left w:w="100" w:type="dxa"/>
              <w:bottom w:w="75" w:type="dxa"/>
              <w:right w:w="100" w:type="dxa"/>
            </w:tcMar>
            <w:vAlign w:val="center"/>
          </w:tcPr>
          <w:p w14:paraId="67EA91F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ج) لا تنبؤات مختلفة عن النظيرة الغربية</w:t>
            </w:r>
          </w:p>
        </w:tc>
        <w:tc>
          <w:tcPr>
            <w:tcW w:w="5400" w:type="dxa"/>
            <w:shd w:val="clear" w:color="auto" w:fill="EBF5FB"/>
            <w:tcMar>
              <w:top w:w="75" w:type="dxa"/>
              <w:left w:w="100" w:type="dxa"/>
              <w:bottom w:w="75" w:type="dxa"/>
              <w:right w:w="100" w:type="dxa"/>
            </w:tcMar>
            <w:vAlign w:val="center"/>
          </w:tcPr>
          <w:p w14:paraId="2CEFA6B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مراجعة المستويين م4–م5: هل التمييز محدد بما يكفي؟ تُعاد الصياغة ثم يُعاد الاختبار.</w:t>
            </w:r>
          </w:p>
        </w:tc>
      </w:tr>
      <w:tr w:rsidR="005C0A79" w:rsidRPr="00B832F2" w14:paraId="370E8EFD" w14:textId="77777777" w:rsidTr="00A011EA">
        <w:tc>
          <w:tcPr>
            <w:tcW w:w="3240" w:type="dxa"/>
            <w:shd w:val="clear" w:color="auto" w:fill="FFF0F0"/>
            <w:tcMar>
              <w:top w:w="75" w:type="dxa"/>
              <w:left w:w="100" w:type="dxa"/>
              <w:bottom w:w="75" w:type="dxa"/>
              <w:right w:w="100" w:type="dxa"/>
            </w:tcMar>
            <w:vAlign w:val="center"/>
          </w:tcPr>
          <w:p w14:paraId="6CCE1D3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د) فاشل تجريبياً + يتفق مع النظيرة كلياً</w:t>
            </w:r>
          </w:p>
        </w:tc>
        <w:tc>
          <w:tcPr>
            <w:tcW w:w="5400" w:type="dxa"/>
            <w:shd w:val="clear" w:color="auto" w:fill="FFF8F8"/>
            <w:tcMar>
              <w:top w:w="75" w:type="dxa"/>
              <w:left w:w="100" w:type="dxa"/>
              <w:bottom w:w="75" w:type="dxa"/>
              <w:right w:w="100" w:type="dxa"/>
            </w:tcMar>
            <w:vAlign w:val="center"/>
          </w:tcPr>
          <w:p w14:paraId="3A42FDC7"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تسجيل حالة عدم مطابقة، ومراجعة الاشتقاق من المستوى الأول. وقد يعني ذلك أن المفهوم إسقاط لا اشتقاق حقيقي.</w:t>
            </w:r>
          </w:p>
        </w:tc>
      </w:tr>
    </w:tbl>
    <w:p w14:paraId="449055A1" w14:textId="77777777" w:rsidR="005C0A79" w:rsidRPr="00B832F2" w:rsidRDefault="005C0A79" w:rsidP="005C0A79">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3.5 — أربعة سيناريوهات لنتائج الاختبار التجريبي والإجراء المنهجي لكل منها.</w:t>
      </w:r>
    </w:p>
    <w:p w14:paraId="7031D388" w14:textId="77777777" w:rsidR="005C0A79" w:rsidRPr="00B832F2" w:rsidRDefault="005C0A79" w:rsidP="005C0A79">
      <w:pPr>
        <w:bidi/>
        <w:spacing w:after="60"/>
        <w:rPr>
          <w:rFonts w:ascii="Sakkal Majalla" w:hAnsi="Sakkal Majalla" w:cs="Sakkal Majalla"/>
          <w:sz w:val="28"/>
          <w:szCs w:val="28"/>
        </w:rPr>
      </w:pPr>
    </w:p>
    <w:p w14:paraId="428D04A3"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دراسة حالة: كيف يبدو السيناريو (د) في الممارسة</w:t>
      </w:r>
    </w:p>
    <w:p w14:paraId="36F7C159"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لنفترض أن باحثًا اشتق مفهوم «الحزم الإداري» من ﴿فَإِذَا عَزَمْتَ فَتَوَكَّلْ عَلَى اللَّهِ﴾، وبناه في نموذج سمّاه «العزم القيادي القرآني»، ثم اختبره فوجده مطابقًا تمامًا لما تصفه أدبيات «الحسم القيادي» (Decisiveness) في دراسات القيادة، لا في اتجاه القرار ولا في آليته.</w:t>
      </w:r>
    </w:p>
    <w:p w14:paraId="59C14EE5"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وفق الجدول 3.5، هذا هو السيناريو (د). لكن المراجعة قد تكشف أن «العزم» في الآية ليس مرادفًا كاملًا لـ«الحسم»، بل حلقة في تسلسل أعمق: شورى، ثم عزم، ثم توكل. فالباحث الذي عزل العزم عن سياقه هو الذي أخطأ، لا النص.</w:t>
      </w:r>
    </w:p>
    <w:p w14:paraId="67FC7FAE" w14:textId="77777777" w:rsidR="005C0A79" w:rsidRPr="00B832F2" w:rsidRDefault="005C0A79" w:rsidP="005C0A79">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والدرس أن السيناريو (د) ليس فشلًا للمشروع، بل فشل خطوة اشتقاقية بعينها. ففشل التطبيق حكم على الاشتقاق البشري، لا على القرآن الكريم.</w:t>
      </w:r>
    </w:p>
    <w:p w14:paraId="5CBB23E8" w14:textId="77777777" w:rsidR="005C0A79" w:rsidRPr="00B832F2" w:rsidRDefault="005C0A79" w:rsidP="005C0A79">
      <w:pPr>
        <w:bidi/>
        <w:spacing w:after="60"/>
        <w:rPr>
          <w:rFonts w:ascii="Sakkal Majalla" w:hAnsi="Sakkal Majalla" w:cs="Sakkal Majalla"/>
          <w:sz w:val="28"/>
          <w:szCs w:val="28"/>
        </w:rPr>
      </w:pPr>
    </w:p>
    <w:p w14:paraId="125D5220"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21245D1C"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3.11  آلية فض التعارض بين النص والتجربة: مراتب المرجعية وقابلية التعديل</w:t>
      </w:r>
    </w:p>
    <w:p w14:paraId="0B14B997"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ويطبّق الجدول الآتي فكرة «القلب الصلب» و«الحزام الواقي» عند لاكاتوش على بنية المشروع، مرتّبةً على درجات سلم الاشتقاق (الفصل الخامس):</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2160"/>
        <w:gridCol w:w="1440"/>
        <w:gridCol w:w="3960"/>
      </w:tblGrid>
      <w:tr w:rsidR="005C0A79" w:rsidRPr="00B832F2" w14:paraId="74E9B506" w14:textId="77777777" w:rsidTr="00A011EA">
        <w:tc>
          <w:tcPr>
            <w:tcW w:w="1080" w:type="dxa"/>
            <w:shd w:val="clear" w:color="auto" w:fill="1F3864"/>
            <w:tcMar>
              <w:top w:w="75" w:type="dxa"/>
              <w:left w:w="100" w:type="dxa"/>
              <w:bottom w:w="75" w:type="dxa"/>
              <w:right w:w="100" w:type="dxa"/>
            </w:tcMar>
            <w:vAlign w:val="center"/>
          </w:tcPr>
          <w:p w14:paraId="35209519"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المستوى</w:t>
            </w:r>
          </w:p>
        </w:tc>
        <w:tc>
          <w:tcPr>
            <w:tcW w:w="2160" w:type="dxa"/>
            <w:shd w:val="clear" w:color="auto" w:fill="1F3864"/>
            <w:tcMar>
              <w:top w:w="75" w:type="dxa"/>
              <w:left w:w="100" w:type="dxa"/>
              <w:bottom w:w="75" w:type="dxa"/>
              <w:right w:w="100" w:type="dxa"/>
            </w:tcMar>
            <w:vAlign w:val="center"/>
          </w:tcPr>
          <w:p w14:paraId="3E049F3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وصفه</w:t>
            </w:r>
          </w:p>
        </w:tc>
        <w:tc>
          <w:tcPr>
            <w:tcW w:w="1440" w:type="dxa"/>
            <w:shd w:val="clear" w:color="auto" w:fill="1F3864"/>
            <w:tcMar>
              <w:top w:w="75" w:type="dxa"/>
              <w:left w:w="100" w:type="dxa"/>
              <w:bottom w:w="75" w:type="dxa"/>
              <w:right w:w="100" w:type="dxa"/>
            </w:tcMar>
            <w:vAlign w:val="center"/>
          </w:tcPr>
          <w:p w14:paraId="525E127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قابلية التعديل</w:t>
            </w:r>
          </w:p>
        </w:tc>
        <w:tc>
          <w:tcPr>
            <w:tcW w:w="3960" w:type="dxa"/>
            <w:shd w:val="clear" w:color="auto" w:fill="1F3864"/>
            <w:tcMar>
              <w:top w:w="75" w:type="dxa"/>
              <w:left w:w="100" w:type="dxa"/>
              <w:bottom w:w="75" w:type="dxa"/>
              <w:right w:w="100" w:type="dxa"/>
            </w:tcMar>
            <w:vAlign w:val="center"/>
          </w:tcPr>
          <w:p w14:paraId="7DF6821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إجراء فض التعارض</w:t>
            </w:r>
          </w:p>
        </w:tc>
      </w:tr>
      <w:tr w:rsidR="005C0A79" w:rsidRPr="00B832F2" w14:paraId="450B9206" w14:textId="77777777" w:rsidTr="00A011EA">
        <w:tc>
          <w:tcPr>
            <w:tcW w:w="1080" w:type="dxa"/>
            <w:shd w:val="clear" w:color="auto" w:fill="1F3864"/>
            <w:tcMar>
              <w:top w:w="75" w:type="dxa"/>
              <w:left w:w="100" w:type="dxa"/>
              <w:bottom w:w="75" w:type="dxa"/>
              <w:right w:w="100" w:type="dxa"/>
            </w:tcMar>
            <w:vAlign w:val="center"/>
          </w:tcPr>
          <w:p w14:paraId="44D28D02"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w:t>
            </w:r>
          </w:p>
        </w:tc>
        <w:tc>
          <w:tcPr>
            <w:tcW w:w="2160" w:type="dxa"/>
            <w:shd w:val="clear" w:color="auto" w:fill="F8F8F8"/>
            <w:tcMar>
              <w:top w:w="75" w:type="dxa"/>
              <w:left w:w="100" w:type="dxa"/>
              <w:bottom w:w="75" w:type="dxa"/>
              <w:right w:w="100" w:type="dxa"/>
            </w:tcMar>
            <w:vAlign w:val="center"/>
          </w:tcPr>
          <w:p w14:paraId="5C7859DF"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القرآن الكريم: القلب الصلب</w:t>
            </w:r>
          </w:p>
        </w:tc>
        <w:tc>
          <w:tcPr>
            <w:tcW w:w="1440" w:type="dxa"/>
            <w:shd w:val="clear" w:color="auto" w:fill="FFF0F0"/>
            <w:tcMar>
              <w:top w:w="75" w:type="dxa"/>
              <w:left w:w="100" w:type="dxa"/>
              <w:bottom w:w="75" w:type="dxa"/>
              <w:right w:w="100" w:type="dxa"/>
            </w:tcMar>
            <w:vAlign w:val="center"/>
          </w:tcPr>
          <w:p w14:paraId="101C992E"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غير قابل للتعديل (المسلّمة الأولى)</w:t>
            </w:r>
          </w:p>
        </w:tc>
        <w:tc>
          <w:tcPr>
            <w:tcW w:w="3960" w:type="dxa"/>
            <w:shd w:val="clear" w:color="auto" w:fill="EBF5FB"/>
            <w:tcMar>
              <w:top w:w="75" w:type="dxa"/>
              <w:left w:w="100" w:type="dxa"/>
              <w:bottom w:w="75" w:type="dxa"/>
              <w:right w:w="100" w:type="dxa"/>
            </w:tcMar>
            <w:vAlign w:val="center"/>
          </w:tcPr>
          <w:p w14:paraId="342D3308"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خارج الاختبار؛ فإن ظهر تعارض فهو في فهمنا لا في النص.</w:t>
            </w:r>
          </w:p>
        </w:tc>
      </w:tr>
      <w:tr w:rsidR="005C0A79" w:rsidRPr="00B832F2" w14:paraId="3335FDFB" w14:textId="77777777" w:rsidTr="00A011EA">
        <w:tc>
          <w:tcPr>
            <w:tcW w:w="1080" w:type="dxa"/>
            <w:shd w:val="clear" w:color="auto" w:fill="156082"/>
            <w:tcMar>
              <w:top w:w="75" w:type="dxa"/>
              <w:left w:w="100" w:type="dxa"/>
              <w:bottom w:w="75" w:type="dxa"/>
              <w:right w:w="100" w:type="dxa"/>
            </w:tcMar>
            <w:vAlign w:val="center"/>
          </w:tcPr>
          <w:p w14:paraId="67EDBB08"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w:t>
            </w:r>
          </w:p>
        </w:tc>
        <w:tc>
          <w:tcPr>
            <w:tcW w:w="2160" w:type="dxa"/>
            <w:shd w:val="clear" w:color="auto" w:fill="FFFFFF"/>
            <w:tcMar>
              <w:top w:w="75" w:type="dxa"/>
              <w:left w:w="100" w:type="dxa"/>
              <w:bottom w:w="75" w:type="dxa"/>
              <w:right w:w="100" w:type="dxa"/>
            </w:tcMar>
            <w:vAlign w:val="center"/>
          </w:tcPr>
          <w:p w14:paraId="262D0D5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السنة الثابتة: بيان القلب الصلب</w:t>
            </w:r>
          </w:p>
        </w:tc>
        <w:tc>
          <w:tcPr>
            <w:tcW w:w="1440" w:type="dxa"/>
            <w:shd w:val="clear" w:color="auto" w:fill="FFF0F0"/>
            <w:tcMar>
              <w:top w:w="75" w:type="dxa"/>
              <w:left w:w="100" w:type="dxa"/>
              <w:bottom w:w="75" w:type="dxa"/>
              <w:right w:w="100" w:type="dxa"/>
            </w:tcMar>
            <w:vAlign w:val="center"/>
          </w:tcPr>
          <w:p w14:paraId="296621A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النص الثابت لا يُعدَّل</w:t>
            </w:r>
          </w:p>
        </w:tc>
        <w:tc>
          <w:tcPr>
            <w:tcW w:w="3960" w:type="dxa"/>
            <w:shd w:val="clear" w:color="auto" w:fill="FFFFFF"/>
            <w:tcMar>
              <w:top w:w="75" w:type="dxa"/>
              <w:left w:w="100" w:type="dxa"/>
              <w:bottom w:w="75" w:type="dxa"/>
              <w:right w:w="100" w:type="dxa"/>
            </w:tcMar>
            <w:vAlign w:val="center"/>
          </w:tcPr>
          <w:p w14:paraId="4E266D25"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إذا تعارضت تجربة مع بيان السنة، يُراجَع فهمنا للبيان لا ثبوت الحديث.</w:t>
            </w:r>
          </w:p>
        </w:tc>
      </w:tr>
      <w:tr w:rsidR="005C0A79" w:rsidRPr="00B832F2" w14:paraId="686C321C" w14:textId="77777777" w:rsidTr="00A011EA">
        <w:tc>
          <w:tcPr>
            <w:tcW w:w="1080" w:type="dxa"/>
            <w:shd w:val="clear" w:color="auto" w:fill="595959"/>
            <w:tcMar>
              <w:top w:w="75" w:type="dxa"/>
              <w:left w:w="100" w:type="dxa"/>
              <w:bottom w:w="75" w:type="dxa"/>
              <w:right w:w="100" w:type="dxa"/>
            </w:tcMar>
            <w:vAlign w:val="center"/>
          </w:tcPr>
          <w:p w14:paraId="395D6259"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م1–م2</w:t>
            </w:r>
          </w:p>
        </w:tc>
        <w:tc>
          <w:tcPr>
            <w:tcW w:w="2160" w:type="dxa"/>
            <w:shd w:val="clear" w:color="auto" w:fill="F8F8F8"/>
            <w:tcMar>
              <w:top w:w="75" w:type="dxa"/>
              <w:left w:w="100" w:type="dxa"/>
              <w:bottom w:w="75" w:type="dxa"/>
              <w:right w:w="100" w:type="dxa"/>
            </w:tcMar>
            <w:vAlign w:val="center"/>
          </w:tcPr>
          <w:p w14:paraId="4E92B3D8"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الدلالة القرآنية وبيان السنة كما نفهمهما (التفسير واللغة): الحزام الواقي الأول</w:t>
            </w:r>
          </w:p>
        </w:tc>
        <w:tc>
          <w:tcPr>
            <w:tcW w:w="1440" w:type="dxa"/>
            <w:shd w:val="clear" w:color="auto" w:fill="EBF5E0"/>
            <w:tcMar>
              <w:top w:w="75" w:type="dxa"/>
              <w:left w:w="100" w:type="dxa"/>
              <w:bottom w:w="75" w:type="dxa"/>
              <w:right w:w="100" w:type="dxa"/>
            </w:tcMar>
            <w:vAlign w:val="center"/>
          </w:tcPr>
          <w:p w14:paraId="6D0A3231"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375623"/>
                <w:sz w:val="28"/>
                <w:szCs w:val="28"/>
                <w:rtl/>
              </w:rPr>
              <w:t xml:space="preserve">قابل للمراجعة الكاملة</w:t>
            </w:r>
          </w:p>
        </w:tc>
        <w:tc>
          <w:tcPr>
            <w:tcW w:w="3960" w:type="dxa"/>
            <w:shd w:val="clear" w:color="auto" w:fill="EBF5FB"/>
            <w:tcMar>
              <w:top w:w="75" w:type="dxa"/>
              <w:left w:w="100" w:type="dxa"/>
              <w:bottom w:w="75" w:type="dxa"/>
              <w:right w:w="100" w:type="dxa"/>
            </w:tcMar>
            <w:vAlign w:val="center"/>
          </w:tcPr>
          <w:p w14:paraId="3B348201"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الخلاف بين المدارس التفسيرية الخمس (الفصل الرابع) وارد ومطلوب.</w:t>
            </w:r>
          </w:p>
        </w:tc>
      </w:tr>
      <w:tr w:rsidR="005C0A79" w:rsidRPr="00B832F2" w14:paraId="3C7FCD53" w14:textId="77777777" w:rsidTr="00A011EA">
        <w:tc>
          <w:tcPr>
            <w:tcW w:w="1080" w:type="dxa"/>
            <w:shd w:val="clear" w:color="auto" w:fill="595959"/>
            <w:tcMar>
              <w:top w:w="75" w:type="dxa"/>
              <w:left w:w="100" w:type="dxa"/>
              <w:bottom w:w="75" w:type="dxa"/>
              <w:right w:w="100" w:type="dxa"/>
            </w:tcMar>
            <w:vAlign w:val="center"/>
          </w:tcPr>
          <w:p w14:paraId="19CB3C88"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م3</w:t>
            </w:r>
          </w:p>
        </w:tc>
        <w:tc>
          <w:tcPr>
            <w:tcW w:w="2160" w:type="dxa"/>
            <w:shd w:val="clear" w:color="auto" w:fill="FFFFFF"/>
            <w:tcMar>
              <w:top w:w="75" w:type="dxa"/>
              <w:left w:w="100" w:type="dxa"/>
              <w:bottom w:w="75" w:type="dxa"/>
              <w:right w:w="100" w:type="dxa"/>
            </w:tcMar>
            <w:vAlign w:val="center"/>
          </w:tcPr>
          <w:p w14:paraId="24DDF783"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المفهوم الإنساني: الحزام الواقي الثاني</w:t>
            </w:r>
          </w:p>
        </w:tc>
        <w:tc>
          <w:tcPr>
            <w:tcW w:w="1440" w:type="dxa"/>
            <w:shd w:val="clear" w:color="auto" w:fill="FFFFFF"/>
            <w:tcMar>
              <w:top w:w="75" w:type="dxa"/>
              <w:left w:w="100" w:type="dxa"/>
              <w:bottom w:w="75" w:type="dxa"/>
              <w:right w:w="100" w:type="dxa"/>
            </w:tcMar>
            <w:vAlign w:val="center"/>
          </w:tcPr>
          <w:p w14:paraId="726D28B7"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375623"/>
                <w:sz w:val="28"/>
                <w:szCs w:val="28"/>
                <w:rtl/>
              </w:rPr>
              <w:t xml:space="preserve">قابل للتعديل</w:t>
            </w:r>
          </w:p>
        </w:tc>
        <w:tc>
          <w:tcPr>
            <w:tcW w:w="3960" w:type="dxa"/>
            <w:shd w:val="clear" w:color="auto" w:fill="FFFFFF"/>
            <w:tcMar>
              <w:top w:w="75" w:type="dxa"/>
              <w:left w:w="100" w:type="dxa"/>
              <w:bottom w:w="75" w:type="dxa"/>
              <w:right w:w="100" w:type="dxa"/>
            </w:tcMar>
            <w:vAlign w:val="center"/>
          </w:tcPr>
          <w:p w14:paraId="60BFE34C"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ترجمة المفهوم القرآني إلى لغة أكاديمية قد تكون ناقصة السياق.</w:t>
            </w:r>
          </w:p>
        </w:tc>
      </w:tr>
      <w:tr w:rsidR="005C0A79" w:rsidRPr="00B832F2" w14:paraId="65E35369" w14:textId="77777777" w:rsidTr="00A011EA">
        <w:tc>
          <w:tcPr>
            <w:tcW w:w="1080" w:type="dxa"/>
            <w:shd w:val="clear" w:color="auto" w:fill="595959"/>
            <w:tcMar>
              <w:top w:w="75" w:type="dxa"/>
              <w:left w:w="100" w:type="dxa"/>
              <w:bottom w:w="75" w:type="dxa"/>
              <w:right w:w="100" w:type="dxa"/>
            </w:tcMar>
            <w:vAlign w:val="center"/>
          </w:tcPr>
          <w:p w14:paraId="0DF4C68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م4–م5</w:t>
            </w:r>
          </w:p>
        </w:tc>
        <w:tc>
          <w:tcPr>
            <w:tcW w:w="2160" w:type="dxa"/>
            <w:shd w:val="clear" w:color="auto" w:fill="F8F8F8"/>
            <w:tcMar>
              <w:top w:w="75" w:type="dxa"/>
              <w:left w:w="100" w:type="dxa"/>
              <w:bottom w:w="75" w:type="dxa"/>
              <w:right w:w="100" w:type="dxa"/>
            </w:tcMar>
            <w:vAlign w:val="center"/>
          </w:tcPr>
          <w:p w14:paraId="027075DF"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المبدأ والفرضية الإدارية: الحزام الثالث</w:t>
            </w:r>
          </w:p>
        </w:tc>
        <w:tc>
          <w:tcPr>
            <w:tcW w:w="1440" w:type="dxa"/>
            <w:shd w:val="clear" w:color="auto" w:fill="EBF5E0"/>
            <w:tcMar>
              <w:top w:w="75" w:type="dxa"/>
              <w:left w:w="100" w:type="dxa"/>
              <w:bottom w:w="75" w:type="dxa"/>
              <w:right w:w="100" w:type="dxa"/>
            </w:tcMar>
            <w:vAlign w:val="center"/>
          </w:tcPr>
          <w:p w14:paraId="2F669D2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375623"/>
                <w:sz w:val="28"/>
                <w:szCs w:val="28"/>
                <w:rtl/>
              </w:rPr>
              <w:t xml:space="preserve">عالي القابلية للتعديل</w:t>
            </w:r>
          </w:p>
        </w:tc>
        <w:tc>
          <w:tcPr>
            <w:tcW w:w="3960" w:type="dxa"/>
            <w:shd w:val="clear" w:color="auto" w:fill="EBF5FB"/>
            <w:tcMar>
              <w:top w:w="75" w:type="dxa"/>
              <w:left w:w="100" w:type="dxa"/>
              <w:bottom w:w="75" w:type="dxa"/>
              <w:right w:w="100" w:type="dxa"/>
            </w:tcMar>
            <w:vAlign w:val="center"/>
          </w:tcPr>
          <w:p w14:paraId="0EA83419"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أكثر المستويات عرضة للخطأ، ويخضع لبوابة المقاصد.</w:t>
            </w:r>
          </w:p>
        </w:tc>
      </w:tr>
      <w:tr w:rsidR="005C0A79" w:rsidRPr="00B832F2" w14:paraId="67D4E123" w14:textId="77777777" w:rsidTr="00A011EA">
        <w:tc>
          <w:tcPr>
            <w:tcW w:w="1080" w:type="dxa"/>
            <w:shd w:val="clear" w:color="auto" w:fill="595959"/>
            <w:tcMar>
              <w:top w:w="75" w:type="dxa"/>
              <w:left w:w="100" w:type="dxa"/>
              <w:bottom w:w="75" w:type="dxa"/>
              <w:right w:w="100" w:type="dxa"/>
            </w:tcMar>
            <w:vAlign w:val="center"/>
          </w:tcPr>
          <w:p w14:paraId="5D03C30D"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م6–م7</w:t>
            </w:r>
          </w:p>
        </w:tc>
        <w:tc>
          <w:tcPr>
            <w:tcW w:w="2160" w:type="dxa"/>
            <w:shd w:val="clear" w:color="auto" w:fill="FFFFFF"/>
            <w:tcMar>
              <w:top w:w="75" w:type="dxa"/>
              <w:left w:w="100" w:type="dxa"/>
              <w:bottom w:w="75" w:type="dxa"/>
              <w:right w:w="100" w:type="dxa"/>
            </w:tcMar>
            <w:vAlign w:val="center"/>
          </w:tcPr>
          <w:p w14:paraId="745EB6BE"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النموذج والاختبار: الحزام الأخير</w:t>
            </w:r>
          </w:p>
        </w:tc>
        <w:tc>
          <w:tcPr>
            <w:tcW w:w="1440" w:type="dxa"/>
            <w:shd w:val="clear" w:color="auto" w:fill="FFFFFF"/>
            <w:tcMar>
              <w:top w:w="75" w:type="dxa"/>
              <w:left w:w="100" w:type="dxa"/>
              <w:bottom w:w="75" w:type="dxa"/>
              <w:right w:w="100" w:type="dxa"/>
            </w:tcMar>
            <w:vAlign w:val="center"/>
          </w:tcPr>
          <w:p w14:paraId="70957BE0"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375623"/>
                <w:sz w:val="28"/>
                <w:szCs w:val="28"/>
                <w:rtl/>
              </w:rPr>
              <w:t xml:space="preserve">قابل للتعديل الدائم</w:t>
            </w:r>
          </w:p>
        </w:tc>
        <w:tc>
          <w:tcPr>
            <w:tcW w:w="3960" w:type="dxa"/>
            <w:shd w:val="clear" w:color="auto" w:fill="FFFFFF"/>
            <w:tcMar>
              <w:top w:w="75" w:type="dxa"/>
              <w:left w:w="100" w:type="dxa"/>
              <w:bottom w:w="75" w:type="dxa"/>
              <w:right w:w="100" w:type="dxa"/>
            </w:tcMar>
            <w:vAlign w:val="center"/>
          </w:tcPr>
          <w:p w14:paraId="31BE2D19"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اجتهاد بشري خالص؛ وفشله حكم على البناء لا على ما سبقه.</w:t>
            </w:r>
          </w:p>
        </w:tc>
      </w:tr>
    </w:tbl>
    <w:p w14:paraId="6CCDD95F" w14:textId="77777777" w:rsidR="005C0A79" w:rsidRPr="00B832F2" w:rsidRDefault="005C0A79" w:rsidP="005C0A79">
      <w:pPr>
        <w:bidi/>
        <w:spacing w:after="6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4D1427DD" w14:textId="77777777" w:rsidTr="00A011EA">
        <w:tc>
          <w:tcPr>
            <w:tcW w:w="8640" w:type="dxa"/>
            <w:shd w:val="clear" w:color="auto" w:fill="1F3864"/>
            <w:tcMar>
              <w:top w:w="75" w:type="dxa"/>
              <w:left w:w="100" w:type="dxa"/>
              <w:bottom w:w="75" w:type="dxa"/>
              <w:right w:w="100" w:type="dxa"/>
            </w:tcMar>
            <w:vAlign w:val="center"/>
          </w:tcPr>
          <w:p w14:paraId="301913A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القاعدة النهائية التي لا استثناء لها</w:t>
            </w:r>
          </w:p>
        </w:tc>
      </w:tr>
      <w:tr w:rsidR="005C0A79" w:rsidRPr="00B832F2" w14:paraId="4E5D1B56" w14:textId="77777777" w:rsidTr="00A011EA">
        <w:tc>
          <w:tcPr>
            <w:tcW w:w="8640" w:type="dxa"/>
            <w:shd w:val="clear" w:color="auto" w:fill="EBF5FB"/>
            <w:tcMar>
              <w:top w:w="75" w:type="dxa"/>
              <w:left w:w="100" w:type="dxa"/>
              <w:bottom w:w="75" w:type="dxa"/>
              <w:right w:w="100" w:type="dxa"/>
            </w:tcMar>
            <w:vAlign w:val="center"/>
          </w:tcPr>
          <w:p w14:paraId="194A3197"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إذا تعارضت نتيجة تجريبية مع نموذج إداري مستخلَص من القرآن، تُراجَع سلسلة الاشتقاق البشري (م1–م7) ويُحدَّد موضع الخلل بدقة. ففشل التطبيق حكم على النموذج البشري، لا على القرآن الكريم ولا على السنة الثابتة.</w:t>
            </w:r>
          </w:p>
        </w:tc>
      </w:tr>
    </w:tbl>
    <w:p w14:paraId="64EE95E5" w14:textId="77777777" w:rsidR="005C0A79" w:rsidRPr="00B832F2" w:rsidRDefault="005C0A79" w:rsidP="005C0A79">
      <w:pPr>
        <w:bidi/>
        <w:spacing w:after="60"/>
        <w:rPr>
          <w:rFonts w:ascii="Sakkal Majalla" w:hAnsi="Sakkal Majalla" w:cs="Sakkal Majalla"/>
          <w:sz w:val="28"/>
          <w:szCs w:val="28"/>
        </w:rPr>
      </w:pPr>
    </w:p>
    <w:p w14:paraId="2FF9625C"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0D3F3A0B"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3.12  ثلاثة اعتراضات جذرية على المنهجية كلها</w:t>
      </w:r>
    </w:p>
    <w:p w14:paraId="4DA26A92"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ومن الأمانة أن أواجه ثلاثة اعتراضات لا تستهدف تفصيلًا بعينه، بل جوهر المنهجية:</w:t>
      </w:r>
    </w:p>
    <w:p w14:paraId="6ADF542E" w14:textId="77777777" w:rsidR="005C0A79" w:rsidRPr="00B832F2" w:rsidRDefault="005C0A79" w:rsidP="005C0A79">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الأول: التناقض الظاهري بين اليقين والاختبارية</w:t>
      </w:r>
    </w:p>
    <w:p w14:paraId="14AD4D31"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"كيف يمكن لمشروع أن يدَّعي الصرامة العلمية بينما يُسلِّم بمسلَّمة يقينية مطلقة لا يقبل مناقشتها؟"</w:t>
      </w:r>
    </w:p>
    <w:p w14:paraId="57771A9B"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ناقشتُ هذا في 3.1، وخلاصته أن كل نظام معرفي يقوم على مسلّمات لا يستطيع تبريرها من داخله. والفرق في الشفافية: هذا المشروع يعلن مسلّمته، وأطر أخرى تُخفي مسلّماتها خلف قناع الحياد.</w:t>
      </w:r>
    </w:p>
    <w:p w14:paraId="0F4482EE" w14:textId="77777777" w:rsidR="005C0A79" w:rsidRPr="00B832F2" w:rsidRDefault="005C0A79" w:rsidP="005C0A79">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الثاني: مشكلة تعدد المفسرين وغياب الحكم القاطع</w:t>
      </w:r>
    </w:p>
    <w:p w14:paraId="525F9709"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"المحكّات الثلاثة تعتمد على أحكام بشر قابلين للخطأ والتحيز — من يحكم على المُحكِّمين؟"</w:t>
      </w:r>
    </w:p>
    <w:p w14:paraId="38322569"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وهذا اعتراض تواجهه العلوم الاجتماعية كلها. والحل ليس في طلب يقين مستحيل، بل في إجراءات تقلّل التحيز: تعدد المحكّمين، والتعمية، وقياس الاتفاق بينهم بمعاملات إحصائية، كمعامل كوهين لمحكّمَين ومعامل فلايس لأكثر من اثنين. ولا أدّعي إزالة التحيز كليًا، وإنما تقليله إلى أدنى حد ممكن.</w:t>
      </w:r>
    </w:p>
    <w:p w14:paraId="76D2119F" w14:textId="77777777" w:rsidR="005C0A79" w:rsidRPr="00B832F2" w:rsidRDefault="005C0A79" w:rsidP="005C0A79">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Cohen, J. (1960). A Coefficient of Agreement for Nominal Scales. Educational and Psychological Measurement, 20(1), 37-46. | Fleiss, J. L. (1971). Measuring Nominal Scale Agreement Among Many Raters. Psychological Bulletin, 76(5), 378-382.</w:t>
      </w:r>
    </w:p>
    <w:p w14:paraId="73FAF0DA" w14:textId="77777777" w:rsidR="005C0A79" w:rsidRPr="00B832F2" w:rsidRDefault="005C0A79" w:rsidP="005C0A79">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الثالث: هل يمكن فعلاً فصل الاشتقاق عن الرغبة في نتيجة معينة؟</w:t>
      </w:r>
    </w:p>
    <w:p w14:paraId="7CF6D134"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"المؤلف يريد أن يُثبت أن الإسلام يُقدِّم بديلاً إدارياً متفوقاً — فكيف نثق أن الاشتقاق موضوعي؟"</w:t>
      </w:r>
    </w:p>
    <w:p w14:paraId="23C4BB64"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وهو أعمق الاعتراضات الثلاثة، لأنه يمسّ مشكلة «التحميل النظري للملاحظة» (Theory-Ladenness) التي طرحها Hanson (1958) وناقشها Kuhn: لا توجد ملاحظة «بريئة» في أي علم.</w:t>
      </w:r>
    </w:p>
    <w:p w14:paraId="4D55BCC6"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Hanson, N.R. (1958). Patterns of Discovery. Cambridge University Press.</w:t>
      </w:r>
    </w:p>
    <w:p w14:paraId="6D37E2C6"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والجواب الصادق الوحيد أن المشروع لا يدّعي حيادًا مستحيلًا، بل يقدّم بنية إجرائية تجعل النقد الخارجي ممكنًا وفعّالًا. فالسؤال ليس «هل المؤلف متحيّز؟»، والجواب نعم بالضرورة، بل «هل صُمّمت الإجراءات بحيث يستطيع ناقد مستقل أن يكتشف الخطأ إن وُجد؟». وهذا ما تفعله الفرضية الصفرية.</w:t>
      </w:r>
    </w:p>
    <w:p w14:paraId="1403C6E2" w14:textId="77777777" w:rsidR="005C0A79" w:rsidRPr="00B832F2" w:rsidRDefault="005C0A79" w:rsidP="005C0A79">
      <w:pPr>
        <w:bidi/>
        <w:spacing w:after="60"/>
        <w:rPr>
          <w:rFonts w:ascii="Sakkal Majalla" w:hAnsi="Sakkal Majalla" w:cs="Sakkal Majalla"/>
          <w:sz w:val="28"/>
          <w:szCs w:val="28"/>
        </w:rPr>
      </w:pPr>
    </w:p>
    <w:p w14:paraId="6FF196CD"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سابقة إسلامية: نقد الإسناد مثالًا على الفحص الناقد</w:t>
      </w:r>
    </w:p>
    <w:p w14:paraId="22333A59"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وحين يُتّهم المشروع بأنه «يستورد صرامة علمية غربية لا أصل لها في التراث الإسلامي»، يمكن أن نحيل إلى تراث إسلامي أصيل: علم نقد الحديث (الجرح والتعديل) الذي طوّره المحدّثون منذ القرن الثاني الهجري، وهو من أقدم الأنظمة المقنَّنة لفحص الأخبار ونقدها في تاريخ الفكر الإنساني، وقد سبق بوبر بأكثر من ألف عام.</w:t>
      </w:r>
    </w:p>
    <w:p w14:paraId="2252362F"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فالمحدّث حين يقيّم رواية لا يكتفي بما يؤيدها، بل يبحث عن مواضع ضعفها في كل حلقة من سندها: هل لقي الراوي شيخه؟ وهل عُرف بالصدق أم بالتدليس؟ وهذا البحث النشط عن نقاط الضعف، لا جمع الشواهد المؤيدة، قريب في روحه مما يطالب به بوبر.</w:t>
      </w:r>
    </w:p>
    <w:p w14:paraId="46F57859" w14:textId="77777777" w:rsidR="005C0A79" w:rsidRPr="00B832F2" w:rsidRDefault="005C0A79" w:rsidP="005C0A79">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ابن الصلاح (ت.643ه). مقدمة ابن الصلاح في علوم الحديث، وهي المرجع التأسيسي لمصطلحاته (الصحيح، الحسن، الضعيف، الموضوع).</w:t>
      </w:r>
    </w:p>
    <w:p w14:paraId="5216CEEA"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وأنبّه إلى حدود هذه المقارنة: فالإسناد يسأل «هل قال النبي ﷺ هذا فعلًا؟»، وهو سؤال تاريخي، أما الفرضية الصفرية فتسأل «هل هذا المفهوم الإداري قرآني الأصل؟»، وهو سؤال معرفي بنيوي. فالتشابه في الروح المنهجية، أي السعي إلى التكذيب لا التأكيد، لا في الموضوع ولا في الأدوات.</w:t>
      </w:r>
    </w:p>
    <w:p w14:paraId="500CC604" w14:textId="77777777" w:rsidR="005C0A79" w:rsidRPr="00B832F2" w:rsidRDefault="005C0A79" w:rsidP="005C0A79">
      <w:pPr>
        <w:bidi/>
        <w:spacing w:after="60"/>
        <w:rPr>
          <w:rFonts w:ascii="Sakkal Majalla" w:hAnsi="Sakkal Majalla" w:cs="Sakkal Majalla"/>
          <w:sz w:val="28"/>
          <w:szCs w:val="28"/>
        </w:rPr>
      </w:pPr>
    </w:p>
    <w:p w14:paraId="15156D95"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7219B6B5"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اعتبارات إضافية في تصميم أدوات القياس</w:t>
      </w:r>
    </w:p>
    <w:p w14:paraId="5F8325D4"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ولكي تنتقل بروتوكولات 3.9 من مخطط منهجي إلى دراسة قابلة للنشر في مجلة محكّمة، ينبغي معالجة ثلاث قضايا تقنية كثيرًا ما تُغفلها الدراسات الإسلامية المعاصرة:</w:t>
      </w:r>
    </w:p>
    <w:p w14:paraId="454F1B65" w14:textId="77777777" w:rsidR="005C0A79" w:rsidRPr="00B832F2" w:rsidRDefault="005C0A79" w:rsidP="005C0A79">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أولاً: صدق البناء (Construct Validity) للمقاييس الجديدة</w:t>
      </w:r>
    </w:p>
    <w:p w14:paraId="06DAC251"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أي مقياس جديد لقياس «درجة الإحسان» أو «قوة الأمانة المدرَكة» في سياق مؤسسي يحتاج إلى إثبات صدق بنائه: تحليل عاملي استكشافي (EFA) ثم توكيدي (CFA)، ثم اختبار الصدق التقاربي (Convergent Validity) مع مقاييس قريبة نظريًا، والصدق التمايزي (Discriminant Validity) للتأكد من أنه يقيس شيئًا غير ما تقيسه المقاييس الغربية القائمة. وهذا الأخير يشغّل محك الأصالة إحصائيًا لا وصفيًا فقط.</w:t>
      </w:r>
    </w:p>
    <w:p w14:paraId="115D61FD"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Hinkin, T. (1998). A Brief Tutorial on the Development of Measures. Organizational Research Methods, 1(1), 104-121.</w:t>
      </w:r>
    </w:p>
    <w:p w14:paraId="4684E21A" w14:textId="77777777" w:rsidR="005C0A79" w:rsidRPr="00B832F2" w:rsidRDefault="005C0A79" w:rsidP="005C0A79">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ثانياً: التكافؤ القياسي عبر السياقات الثقافية (Measurement Invariance)</w:t>
      </w:r>
    </w:p>
    <w:p w14:paraId="72E2EC50"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وإذا قارنت الدراسة بين مؤسسات في سياقات ثقافية مختلفة، وجب إثبات أن المقياس يعمل بالطريقة نفسها في كل سياق، وإلا فقد يعكس الفرق الملاحَظ تحيزًا قياسيًا (Measurement Bias) لا فرقًا حقيقيًا. ويُجرى هذا الاختبار بالنمذجة متعددة المجموعات (Multi-Group CFA)، وهو غائب عن كثير من الدراسات المقارنة في «الإدارة الإسلامية» الحالية.</w:t>
      </w:r>
    </w:p>
    <w:p w14:paraId="0690B659"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Vandenberg, R. &amp; Lance, C. (2000). A Review and Synthesis of the Measurement Invariance Literature. ORM, 3(1), 4-70.</w:t>
      </w:r>
    </w:p>
    <w:p w14:paraId="78B01C6A" w14:textId="77777777" w:rsidR="005C0A79" w:rsidRPr="00B832F2" w:rsidRDefault="005C0A79" w:rsidP="005C0A79">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ثالثاً: التسجيل المسبق للفرضيات (Pre-Registration)</w:t>
      </w:r>
    </w:p>
    <w:p w14:paraId="173F1588"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واستجابةً لأزمة «إعادة الإنتاج» (Replication Crisis) في العلوم الاجتماعية (Ioannidis, 2005)، أوصي بأن يُسجَّل كل اختبار تجريبي لمحكّات الفرضية الصفرية مسبقًا، عبر منصة OSF (Open Science Framework)، قبل جمع البيانات، مع تحديد الفرضيات ومقاييس النجاح والتحليل الإحصائي المخطط. فهذا يمنع «التنقيب في البيانات» (P-Hacking) بعد ظهور النتائج، ويضيف ضمانة لصدق ادعاء الأصالة.</w:t>
      </w:r>
    </w:p>
    <w:p w14:paraId="6A29C22B"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lastRenderedPageBreak/>
        <w:t xml:space="preserve">    Nosek, B. et al. (2018). The Preregistration Revolution. PNAS, 115(11), 2600-2606.</w:t>
      </w:r>
    </w:p>
    <w:p w14:paraId="5F0ADB90" w14:textId="77777777" w:rsidR="005C0A79" w:rsidRPr="00B832F2" w:rsidRDefault="005C0A79" w:rsidP="005C0A79">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وبهذه الاعتبارات الثلاثة تقترب بروتوكولات الفصل من تصميم بحثي يمكن عرضه على دوريات نظرية المنظمات المحكّمة، دون تنازل عن الأصالة القرآنية للمحتوى.</w:t>
      </w:r>
    </w:p>
    <w:p w14:paraId="3E960B63" w14:textId="77777777" w:rsidR="005C0A79" w:rsidRPr="00B832F2" w:rsidRDefault="005C0A79" w:rsidP="005C0A79">
      <w:pPr>
        <w:bidi/>
        <w:spacing w:after="60"/>
        <w:rPr>
          <w:rFonts w:ascii="Sakkal Majalla" w:hAnsi="Sakkal Majalla" w:cs="Sakkal Majalla"/>
          <w:sz w:val="28"/>
          <w:szCs w:val="28"/>
        </w:rPr>
      </w:pPr>
    </w:p>
    <w:p w14:paraId="1D3FBA45"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مثال رقمي: حساب معامل الاتفاق بين المحكّمين (معامل فلايس)</w:t>
      </w:r>
    </w:p>
    <w:p w14:paraId="30D9B2B9"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ولتوضيح طريقة قياس الاتفاق في محك الأصالة، أقدّم مثالًا رقميًا مبسّطًا: ثلاثة محكّمين قيّموا عشرة مفاهيم قرآنية مرشحة للبطاقات. ولأن المحكّمين ثلاثة، فالمعامل المناسب هو معامل فلايس (Fleiss' κ)، لا معامل كوهين الخاص بمحكّمَين اثنين:</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440"/>
        <w:gridCol w:w="1440"/>
        <w:gridCol w:w="1440"/>
        <w:gridCol w:w="1440"/>
        <w:gridCol w:w="2040"/>
      </w:tblGrid>
      <w:tr w:rsidR="005C0A79" w:rsidRPr="00B832F2" w14:paraId="55B8DB0C" w14:textId="77777777" w:rsidTr="00A011EA">
        <w:tc>
          <w:tcPr>
            <w:tcW w:w="1440" w:type="dxa"/>
            <w:shd w:val="clear" w:color="auto" w:fill="1F3864"/>
            <w:tcMar>
              <w:top w:w="75" w:type="dxa"/>
              <w:left w:w="100" w:type="dxa"/>
              <w:bottom w:w="75" w:type="dxa"/>
              <w:right w:w="100" w:type="dxa"/>
            </w:tcMar>
            <w:vAlign w:val="center"/>
          </w:tcPr>
          <w:p w14:paraId="2AAA2BE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المفهوم</w:t>
            </w:r>
          </w:p>
        </w:tc>
        <w:tc>
          <w:tcPr>
            <w:tcW w:w="1440" w:type="dxa"/>
            <w:shd w:val="clear" w:color="auto" w:fill="595959"/>
            <w:tcMar>
              <w:top w:w="75" w:type="dxa"/>
              <w:left w:w="100" w:type="dxa"/>
              <w:bottom w:w="75" w:type="dxa"/>
              <w:right w:w="100" w:type="dxa"/>
            </w:tcMar>
            <w:vAlign w:val="center"/>
          </w:tcPr>
          <w:p w14:paraId="5D6284A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مُحكِّم 1 (إدارة)</w:t>
            </w:r>
          </w:p>
        </w:tc>
        <w:tc>
          <w:tcPr>
            <w:tcW w:w="1440" w:type="dxa"/>
            <w:shd w:val="clear" w:color="auto" w:fill="595959"/>
            <w:tcMar>
              <w:top w:w="75" w:type="dxa"/>
              <w:left w:w="100" w:type="dxa"/>
              <w:bottom w:w="75" w:type="dxa"/>
              <w:right w:w="100" w:type="dxa"/>
            </w:tcMar>
            <w:vAlign w:val="center"/>
          </w:tcPr>
          <w:p w14:paraId="27879E5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مُحكِّم 2 (تفسير)</w:t>
            </w:r>
          </w:p>
        </w:tc>
        <w:tc>
          <w:tcPr>
            <w:tcW w:w="1440" w:type="dxa"/>
            <w:shd w:val="clear" w:color="auto" w:fill="595959"/>
            <w:tcMar>
              <w:top w:w="75" w:type="dxa"/>
              <w:left w:w="100" w:type="dxa"/>
              <w:bottom w:w="75" w:type="dxa"/>
              <w:right w:w="100" w:type="dxa"/>
            </w:tcMar>
            <w:vAlign w:val="center"/>
          </w:tcPr>
          <w:p w14:paraId="18D20E6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مُحكِّم 3 (فلسفة)</w:t>
            </w:r>
          </w:p>
        </w:tc>
        <w:tc>
          <w:tcPr>
            <w:tcW w:w="1440" w:type="dxa"/>
            <w:shd w:val="clear" w:color="auto" w:fill="1F3864"/>
            <w:tcMar>
              <w:top w:w="75" w:type="dxa"/>
              <w:left w:w="100" w:type="dxa"/>
              <w:bottom w:w="75" w:type="dxa"/>
              <w:right w:w="100" w:type="dxa"/>
            </w:tcMar>
            <w:vAlign w:val="center"/>
          </w:tcPr>
          <w:p w14:paraId="4D7F51F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الأغلبية</w:t>
            </w:r>
          </w:p>
        </w:tc>
        <w:tc>
          <w:tcPr>
            <w:tcW w:w="2040" w:type="dxa"/>
            <w:shd w:val="clear" w:color="auto" w:fill="1F3864"/>
            <w:tcMar>
              <w:top w:w="75" w:type="dxa"/>
              <w:left w:w="100" w:type="dxa"/>
              <w:bottom w:w="75" w:type="dxa"/>
              <w:right w:w="100" w:type="dxa"/>
            </w:tcMar>
            <w:vAlign w:val="center"/>
          </w:tcPr>
          <w:p w14:paraId="28796F8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اتفاق تام؟</w:t>
            </w:r>
          </w:p>
        </w:tc>
      </w:tr>
      <w:tr w:rsidR="005C0A79" w:rsidRPr="00B832F2" w14:paraId="163CA7C2" w14:textId="77777777" w:rsidTr="00A011EA">
        <w:tc>
          <w:tcPr>
            <w:tcW w:w="1440" w:type="dxa"/>
            <w:shd w:val="clear" w:color="auto" w:fill="EBF5FB"/>
            <w:tcMar>
              <w:top w:w="75" w:type="dxa"/>
              <w:left w:w="100" w:type="dxa"/>
              <w:bottom w:w="75" w:type="dxa"/>
              <w:right w:w="100" w:type="dxa"/>
            </w:tcMar>
            <w:vAlign w:val="center"/>
          </w:tcPr>
          <w:p w14:paraId="2FB8340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الأمانة</w:t>
            </w:r>
          </w:p>
        </w:tc>
        <w:tc>
          <w:tcPr>
            <w:tcW w:w="1440" w:type="dxa"/>
            <w:shd w:val="clear" w:color="auto" w:fill="F5F5F5"/>
            <w:tcMar>
              <w:top w:w="75" w:type="dxa"/>
              <w:left w:w="100" w:type="dxa"/>
              <w:bottom w:w="75" w:type="dxa"/>
              <w:right w:w="100" w:type="dxa"/>
            </w:tcMar>
            <w:vAlign w:val="center"/>
          </w:tcPr>
          <w:p w14:paraId="48AFB945"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18635AAB"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369A1A5A"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50F1CC6E"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673C7AB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5C0A79" w:rsidRPr="00B832F2" w14:paraId="1187204B" w14:textId="77777777" w:rsidTr="00A011EA">
        <w:tc>
          <w:tcPr>
            <w:tcW w:w="1440" w:type="dxa"/>
            <w:shd w:val="clear" w:color="auto" w:fill="FFFFFF"/>
            <w:tcMar>
              <w:top w:w="75" w:type="dxa"/>
              <w:left w:w="100" w:type="dxa"/>
              <w:bottom w:w="75" w:type="dxa"/>
              <w:right w:w="100" w:type="dxa"/>
            </w:tcMar>
            <w:vAlign w:val="center"/>
          </w:tcPr>
          <w:p w14:paraId="2FFC78D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الشورى</w:t>
            </w:r>
          </w:p>
        </w:tc>
        <w:tc>
          <w:tcPr>
            <w:tcW w:w="1440" w:type="dxa"/>
            <w:shd w:val="clear" w:color="auto" w:fill="FFFFFF"/>
            <w:tcMar>
              <w:top w:w="75" w:type="dxa"/>
              <w:left w:w="100" w:type="dxa"/>
              <w:bottom w:w="75" w:type="dxa"/>
              <w:right w:w="100" w:type="dxa"/>
            </w:tcMar>
            <w:vAlign w:val="center"/>
          </w:tcPr>
          <w:p w14:paraId="03B3E4BD"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275ACEF9"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61C2F5A8"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0F5707A6"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18CD281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5C0A79" w:rsidRPr="00B832F2" w14:paraId="518B2F23" w14:textId="77777777" w:rsidTr="00A011EA">
        <w:tc>
          <w:tcPr>
            <w:tcW w:w="1440" w:type="dxa"/>
            <w:shd w:val="clear" w:color="auto" w:fill="EBF5FB"/>
            <w:tcMar>
              <w:top w:w="75" w:type="dxa"/>
              <w:left w:w="100" w:type="dxa"/>
              <w:bottom w:w="75" w:type="dxa"/>
              <w:right w:w="100" w:type="dxa"/>
            </w:tcMar>
            <w:vAlign w:val="center"/>
          </w:tcPr>
          <w:p w14:paraId="07EEAA5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الإحسان</w:t>
            </w:r>
          </w:p>
        </w:tc>
        <w:tc>
          <w:tcPr>
            <w:tcW w:w="1440" w:type="dxa"/>
            <w:shd w:val="clear" w:color="auto" w:fill="F5F5F5"/>
            <w:tcMar>
              <w:top w:w="75" w:type="dxa"/>
              <w:left w:w="100" w:type="dxa"/>
              <w:bottom w:w="75" w:type="dxa"/>
              <w:right w:w="100" w:type="dxa"/>
            </w:tcMar>
            <w:vAlign w:val="center"/>
          </w:tcPr>
          <w:p w14:paraId="6A09EEA6"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1A1539BD"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3B54BC8F"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3CD29CEE"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76DB2E4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5C0A79" w:rsidRPr="00B832F2" w14:paraId="17455A8F" w14:textId="77777777" w:rsidTr="00A011EA">
        <w:tc>
          <w:tcPr>
            <w:tcW w:w="1440" w:type="dxa"/>
            <w:shd w:val="clear" w:color="auto" w:fill="FFFFFF"/>
            <w:tcMar>
              <w:top w:w="75" w:type="dxa"/>
              <w:left w:w="100" w:type="dxa"/>
              <w:bottom w:w="75" w:type="dxa"/>
              <w:right w:w="100" w:type="dxa"/>
            </w:tcMar>
            <w:vAlign w:val="center"/>
          </w:tcPr>
          <w:p w14:paraId="639C275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العدل</w:t>
            </w:r>
          </w:p>
        </w:tc>
        <w:tc>
          <w:tcPr>
            <w:tcW w:w="1440" w:type="dxa"/>
            <w:shd w:val="clear" w:color="auto" w:fill="FFFFFF"/>
            <w:tcMar>
              <w:top w:w="75" w:type="dxa"/>
              <w:left w:w="100" w:type="dxa"/>
              <w:bottom w:w="75" w:type="dxa"/>
              <w:right w:w="100" w:type="dxa"/>
            </w:tcMar>
            <w:vAlign w:val="center"/>
          </w:tcPr>
          <w:p w14:paraId="789EBF7F"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D256B7C"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FFFFF"/>
            <w:tcMar>
              <w:top w:w="75" w:type="dxa"/>
              <w:left w:w="100" w:type="dxa"/>
              <w:bottom w:w="75" w:type="dxa"/>
              <w:right w:w="100" w:type="dxa"/>
            </w:tcMar>
            <w:vAlign w:val="center"/>
          </w:tcPr>
          <w:p w14:paraId="1F997A19"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5DEDC2E8"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055B367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5C0A79" w:rsidRPr="00B832F2" w14:paraId="576DA40A" w14:textId="77777777" w:rsidTr="00A011EA">
        <w:tc>
          <w:tcPr>
            <w:tcW w:w="1440" w:type="dxa"/>
            <w:shd w:val="clear" w:color="auto" w:fill="EBF5FB"/>
            <w:tcMar>
              <w:top w:w="75" w:type="dxa"/>
              <w:left w:w="100" w:type="dxa"/>
              <w:bottom w:w="75" w:type="dxa"/>
              <w:right w:w="100" w:type="dxa"/>
            </w:tcMar>
            <w:vAlign w:val="center"/>
          </w:tcPr>
          <w:p w14:paraId="5AAFE5E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الصبر</w:t>
            </w:r>
          </w:p>
        </w:tc>
        <w:tc>
          <w:tcPr>
            <w:tcW w:w="1440" w:type="dxa"/>
            <w:shd w:val="clear" w:color="auto" w:fill="F5F5F5"/>
            <w:tcMar>
              <w:top w:w="75" w:type="dxa"/>
              <w:left w:w="100" w:type="dxa"/>
              <w:bottom w:w="75" w:type="dxa"/>
              <w:right w:w="100" w:type="dxa"/>
            </w:tcMar>
            <w:vAlign w:val="center"/>
          </w:tcPr>
          <w:p w14:paraId="2914CE5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1E3C317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0641E6D1"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294091D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لا</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2D274ACF"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5C0A79" w:rsidRPr="00B832F2" w14:paraId="0AD0AFFD" w14:textId="77777777" w:rsidTr="00A011EA">
        <w:tc>
          <w:tcPr>
            <w:tcW w:w="1440" w:type="dxa"/>
            <w:shd w:val="clear" w:color="auto" w:fill="FFFFFF"/>
            <w:tcMar>
              <w:top w:w="75" w:type="dxa"/>
              <w:left w:w="100" w:type="dxa"/>
              <w:bottom w:w="75" w:type="dxa"/>
              <w:right w:w="100" w:type="dxa"/>
            </w:tcMar>
            <w:vAlign w:val="center"/>
          </w:tcPr>
          <w:p w14:paraId="243B005B"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التوكل</w:t>
            </w:r>
          </w:p>
        </w:tc>
        <w:tc>
          <w:tcPr>
            <w:tcW w:w="1440" w:type="dxa"/>
            <w:shd w:val="clear" w:color="auto" w:fill="FFFFFF"/>
            <w:tcMar>
              <w:top w:w="75" w:type="dxa"/>
              <w:left w:w="100" w:type="dxa"/>
              <w:bottom w:w="75" w:type="dxa"/>
              <w:right w:w="100" w:type="dxa"/>
            </w:tcMar>
            <w:vAlign w:val="center"/>
          </w:tcPr>
          <w:p w14:paraId="06896C0B"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61029253"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3AB45A10"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EBF5E0"/>
            <w:tcMar>
              <w:top w:w="75" w:type="dxa"/>
              <w:left w:w="100" w:type="dxa"/>
              <w:bottom w:w="75" w:type="dxa"/>
              <w:right w:w="100" w:type="dxa"/>
            </w:tcMar>
            <w:vAlign w:val="center"/>
          </w:tcPr>
          <w:p w14:paraId="33EFDE79"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14368673"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5C0A79" w:rsidRPr="00B832F2" w14:paraId="68E72FC3" w14:textId="77777777" w:rsidTr="00A011EA">
        <w:tc>
          <w:tcPr>
            <w:tcW w:w="1440" w:type="dxa"/>
            <w:shd w:val="clear" w:color="auto" w:fill="EBF5FB"/>
            <w:tcMar>
              <w:top w:w="75" w:type="dxa"/>
              <w:left w:w="100" w:type="dxa"/>
              <w:bottom w:w="75" w:type="dxa"/>
              <w:right w:w="100" w:type="dxa"/>
            </w:tcMar>
            <w:vAlign w:val="center"/>
          </w:tcPr>
          <w:p w14:paraId="02FC37F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الحكمة</w:t>
            </w:r>
          </w:p>
        </w:tc>
        <w:tc>
          <w:tcPr>
            <w:tcW w:w="1440" w:type="dxa"/>
            <w:shd w:val="clear" w:color="auto" w:fill="F5F5F5"/>
            <w:tcMar>
              <w:top w:w="75" w:type="dxa"/>
              <w:left w:w="100" w:type="dxa"/>
              <w:bottom w:w="75" w:type="dxa"/>
              <w:right w:w="100" w:type="dxa"/>
            </w:tcMar>
            <w:vAlign w:val="center"/>
          </w:tcPr>
          <w:p w14:paraId="20FB6A9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68346890"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3D9C410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EBF5E0"/>
            <w:tcMar>
              <w:top w:w="75" w:type="dxa"/>
              <w:left w:w="100" w:type="dxa"/>
              <w:bottom w:w="75" w:type="dxa"/>
              <w:right w:w="100" w:type="dxa"/>
            </w:tcMar>
            <w:vAlign w:val="center"/>
          </w:tcPr>
          <w:p w14:paraId="2E771517"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لا</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2970D6A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5C0A79" w:rsidRPr="00B832F2" w14:paraId="2559EFBA" w14:textId="77777777" w:rsidTr="00A011EA">
        <w:tc>
          <w:tcPr>
            <w:tcW w:w="1440" w:type="dxa"/>
            <w:shd w:val="clear" w:color="auto" w:fill="FFFFFF"/>
            <w:tcMar>
              <w:top w:w="75" w:type="dxa"/>
              <w:left w:w="100" w:type="dxa"/>
              <w:bottom w:w="75" w:type="dxa"/>
              <w:right w:w="100" w:type="dxa"/>
            </w:tcMar>
            <w:vAlign w:val="center"/>
          </w:tcPr>
          <w:p w14:paraId="0820320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الرحمة</w:t>
            </w:r>
          </w:p>
        </w:tc>
        <w:tc>
          <w:tcPr>
            <w:tcW w:w="1440" w:type="dxa"/>
            <w:shd w:val="clear" w:color="auto" w:fill="FFFFFF"/>
            <w:tcMar>
              <w:top w:w="75" w:type="dxa"/>
              <w:left w:w="100" w:type="dxa"/>
              <w:bottom w:w="75" w:type="dxa"/>
              <w:right w:w="100" w:type="dxa"/>
            </w:tcMar>
            <w:vAlign w:val="center"/>
          </w:tcPr>
          <w:p w14:paraId="562CA08B"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0917D87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2D79974"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5426E3A3"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72F7BEA7"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r w:rsidR="005C0A79" w:rsidRPr="00B832F2" w14:paraId="4223CA12" w14:textId="77777777" w:rsidTr="00A011EA">
        <w:tc>
          <w:tcPr>
            <w:tcW w:w="1440" w:type="dxa"/>
            <w:shd w:val="clear" w:color="auto" w:fill="EBF5FB"/>
            <w:tcMar>
              <w:top w:w="75" w:type="dxa"/>
              <w:left w:w="100" w:type="dxa"/>
              <w:bottom w:w="75" w:type="dxa"/>
              <w:right w:w="100" w:type="dxa"/>
            </w:tcMar>
            <w:vAlign w:val="center"/>
          </w:tcPr>
          <w:p w14:paraId="064E6B25"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الاستقامة</w:t>
            </w:r>
          </w:p>
        </w:tc>
        <w:tc>
          <w:tcPr>
            <w:tcW w:w="1440" w:type="dxa"/>
            <w:shd w:val="clear" w:color="auto" w:fill="F5F5F5"/>
            <w:tcMar>
              <w:top w:w="75" w:type="dxa"/>
              <w:left w:w="100" w:type="dxa"/>
              <w:bottom w:w="75" w:type="dxa"/>
              <w:right w:w="100" w:type="dxa"/>
            </w:tcMar>
            <w:vAlign w:val="center"/>
          </w:tcPr>
          <w:p w14:paraId="0971233E"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F5F5F5"/>
            <w:tcMar>
              <w:top w:w="75" w:type="dxa"/>
              <w:left w:w="100" w:type="dxa"/>
              <w:bottom w:w="75" w:type="dxa"/>
              <w:right w:w="100" w:type="dxa"/>
            </w:tcMar>
            <w:vAlign w:val="center"/>
          </w:tcPr>
          <w:p w14:paraId="5461A8DC"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5F5F5"/>
            <w:tcMar>
              <w:top w:w="75" w:type="dxa"/>
              <w:left w:w="100" w:type="dxa"/>
              <w:bottom w:w="75" w:type="dxa"/>
              <w:right w:w="100" w:type="dxa"/>
            </w:tcMar>
            <w:vAlign w:val="center"/>
          </w:tcPr>
          <w:p w14:paraId="4197E79F"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C00000"/>
                <w:sz w:val="28"/>
                <w:szCs w:val="28"/>
                <w:rtl/>
              </w:rPr>
              <w:t>✗</w:t>
            </w:r>
          </w:p>
        </w:tc>
        <w:tc>
          <w:tcPr>
            <w:tcW w:w="1440" w:type="dxa"/>
            <w:shd w:val="clear" w:color="auto" w:fill="EBF5E0"/>
            <w:tcMar>
              <w:top w:w="75" w:type="dxa"/>
              <w:left w:w="100" w:type="dxa"/>
              <w:bottom w:w="75" w:type="dxa"/>
              <w:right w:w="100" w:type="dxa"/>
            </w:tcMar>
            <w:vAlign w:val="center"/>
          </w:tcPr>
          <w:p w14:paraId="7B9DA795"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لا</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FFF2CC"/>
            <w:tcMar>
              <w:top w:w="75" w:type="dxa"/>
              <w:left w:w="100" w:type="dxa"/>
              <w:bottom w:w="75" w:type="dxa"/>
              <w:right w:w="100" w:type="dxa"/>
            </w:tcMar>
            <w:vAlign w:val="center"/>
          </w:tcPr>
          <w:p w14:paraId="6A3303C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لا</w:t>
            </w:r>
          </w:p>
        </w:tc>
      </w:tr>
      <w:tr w:rsidR="005C0A79" w:rsidRPr="00B832F2" w14:paraId="0946180B" w14:textId="77777777" w:rsidTr="00A011EA">
        <w:tc>
          <w:tcPr>
            <w:tcW w:w="1440" w:type="dxa"/>
            <w:shd w:val="clear" w:color="auto" w:fill="FFFFFF"/>
            <w:tcMar>
              <w:top w:w="75" w:type="dxa"/>
              <w:left w:w="100" w:type="dxa"/>
              <w:bottom w:w="75" w:type="dxa"/>
              <w:right w:w="100" w:type="dxa"/>
            </w:tcMar>
            <w:vAlign w:val="center"/>
          </w:tcPr>
          <w:p w14:paraId="720BEEE6"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الأخوة</w:t>
            </w:r>
          </w:p>
        </w:tc>
        <w:tc>
          <w:tcPr>
            <w:tcW w:w="1440" w:type="dxa"/>
            <w:shd w:val="clear" w:color="auto" w:fill="FFFFFF"/>
            <w:tcMar>
              <w:top w:w="75" w:type="dxa"/>
              <w:left w:w="100" w:type="dxa"/>
              <w:bottom w:w="75" w:type="dxa"/>
              <w:right w:w="100" w:type="dxa"/>
            </w:tcMar>
            <w:vAlign w:val="center"/>
          </w:tcPr>
          <w:p w14:paraId="4ED8F001"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37C3957"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FFFFFF"/>
            <w:tcMar>
              <w:top w:w="75" w:type="dxa"/>
              <w:left w:w="100" w:type="dxa"/>
              <w:bottom w:w="75" w:type="dxa"/>
              <w:right w:w="100" w:type="dxa"/>
            </w:tcMar>
            <w:vAlign w:val="center"/>
          </w:tcPr>
          <w:p w14:paraId="7FB0BCC8"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p>
        </w:tc>
        <w:tc>
          <w:tcPr>
            <w:tcW w:w="1440" w:type="dxa"/>
            <w:shd w:val="clear" w:color="auto" w:fill="EBF5E0"/>
            <w:tcMar>
              <w:top w:w="75" w:type="dxa"/>
              <w:left w:w="100" w:type="dxa"/>
              <w:bottom w:w="75" w:type="dxa"/>
              <w:right w:w="100" w:type="dxa"/>
            </w:tcMar>
            <w:vAlign w:val="center"/>
          </w:tcPr>
          <w:p w14:paraId="3A47405D" w14:textId="77777777" w:rsidR="005C0A79" w:rsidRPr="00B832F2" w:rsidRDefault="005C0A79" w:rsidP="00A011EA">
            <w:pPr>
              <w:bidi/>
              <w:spacing w:before="50" w:after="50"/>
              <w:rPr>
                <w:rFonts w:ascii="Sakkal Majalla" w:hAnsi="Sakkal Majalla" w:cs="Sakkal Majalla"/>
                <w:sz w:val="28"/>
                <w:szCs w:val="28"/>
              </w:rPr>
            </w:pPr>
            <w:r w:rsidRPr="00B832F2">
              <w:rPr>
                <w:rFonts w:ascii="Segoe UI Symbol" w:hAnsi="Segoe UI Symbol" w:cs="Segoe UI Symbol" w:hint="cs"/>
                <w:color w:val="375623"/>
                <w:sz w:val="28"/>
                <w:szCs w:val="28"/>
                <w:rtl/>
              </w:rPr>
              <w:t>✓</w:t>
            </w:r>
            <w:r w:rsidRPr="00B832F2">
              <w:rPr>
                <w:rFonts w:ascii="Sakkal Majalla" w:hAnsi="Sakkal Majalla" w:cs="Sakkal Majalla"/>
                <w:color w:val="375623"/>
                <w:sz w:val="28"/>
                <w:szCs w:val="28"/>
                <w:rtl/>
              </w:rPr>
              <w:t xml:space="preserve"> </w:t>
            </w:r>
            <w:r w:rsidRPr="00B832F2">
              <w:rPr>
                <w:rFonts w:ascii="Sakkal Majalla" w:hAnsi="Sakkal Majalla" w:cs="Sakkal Majalla" w:hint="cs"/>
                <w:color w:val="375623"/>
                <w:sz w:val="28"/>
                <w:szCs w:val="28"/>
                <w:rtl/>
              </w:rPr>
              <w:t>يُحقق</w:t>
            </w:r>
          </w:p>
        </w:tc>
        <w:tc>
          <w:tcPr>
            <w:tcW w:w="2040" w:type="dxa"/>
            <w:shd w:val="clear" w:color="auto" w:fill="E2EFDA"/>
            <w:tcMar>
              <w:top w:w="75" w:type="dxa"/>
              <w:left w:w="100" w:type="dxa"/>
              <w:bottom w:w="75" w:type="dxa"/>
              <w:right w:w="100" w:type="dxa"/>
            </w:tcMar>
            <w:vAlign w:val="center"/>
          </w:tcPr>
          <w:p w14:paraId="5A7D056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نعم</w:t>
            </w:r>
          </w:p>
        </w:tc>
      </w:tr>
    </w:tbl>
    <w:p w14:paraId="6115119F" w14:textId="77777777" w:rsidR="005C0A79" w:rsidRPr="00B832F2" w:rsidRDefault="005C0A79" w:rsidP="005C0A79">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3.6 — بيانات افتراضية لتوضيح حساب معامل الاتفاق بين المحكّمين.</w:t>
      </w:r>
    </w:p>
    <w:p w14:paraId="0051E060"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الاتفاق الملاحَظ: في ستة مفاهيم اتفق المحكّمون الثلاثة (نسبة اتفاق المفهوم = 1)، وفي أربعة انقسموا اثنين إلى واحد (نسبة الاتفاق = 1/3). فمتوسط الاتفاق P̄ = (6 × 1 + 4 × 1/3) ÷ 10 ≈ 0.733. والاتفاق المتوقع بالمصادفة: بلغت أحكام «يحقق» 21 من 30 حكمًا (0.70)، وأحكام «لا يحقق» 9 (0.30)، فيكون Pe = 0.70² + 0.30² = 0.58. ومعامل فلايس: κ = (P̄ − Pe) ÷ (1 − Pe) = (0.733 − 0.58) ÷ 0.42 ≈ 0.36. وهذه القيمة في تصنيف Landis &amp; Koch (1977) تقع في نطاق «الاتفاق المقبول» (0.21–0.40)، أي أن أداة التقييم، وهي وصف المفهوم في البطاقة، تحتاج إلى تنقيح قبل الاعتماد عليها.</w:t>
      </w:r>
    </w:p>
    <w:p w14:paraId="60196DA8"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lastRenderedPageBreak/>
        <w:t xml:space="preserve">    Landis, J.R. &amp; Koch, G.G. (1977). The Measurement of Observer Agreement for Categorical Data. Biometrics, 33(1), 159-174.</w:t>
      </w:r>
    </w:p>
    <w:p w14:paraId="4A90BB5F" w14:textId="77777777" w:rsidR="005C0A79" w:rsidRPr="00B832F2" w:rsidRDefault="005C0A79" w:rsidP="005C0A79">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والدرس أن انخفاض معامل الاتفاق ليس سببًا لإخفاء النتيجة، بل إشارة إلى أن الأداة تحتاج مراجعة. وهذا ما يميّز القياس الإحصائي من العرض الانطباعي الذي يكتفي بقول «اتفق المحكّمون» دون أي رقم.</w:t>
      </w:r>
    </w:p>
    <w:p w14:paraId="2D70FE9C" w14:textId="77777777" w:rsidR="005C0A79" w:rsidRPr="00B832F2" w:rsidRDefault="005C0A79" w:rsidP="005C0A79">
      <w:pPr>
        <w:bidi/>
        <w:spacing w:after="60"/>
        <w:rPr>
          <w:rFonts w:ascii="Sakkal Majalla" w:hAnsi="Sakkal Majalla" w:cs="Sakkal Majalla"/>
          <w:sz w:val="28"/>
          <w:szCs w:val="28"/>
        </w:rPr>
      </w:pPr>
    </w:p>
    <w:p w14:paraId="62E46B01"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مقارنة منهجية: كيف تعامل الاقتصاد الإسلامي مع الإشكالية نفسها؟</w:t>
      </w:r>
    </w:p>
    <w:p w14:paraId="6FE9F860"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سبق حقل الاقتصاد الإسلامي إلى مواجهة إشكالية «الصرامة العلمية والأصالة الشرعية»، وفي تجربته دروس مباشرة:</w:t>
      </w:r>
    </w:p>
    <w:p w14:paraId="7DEA741B"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محمد عمر شابرا: التكامل دون أدوات اختبار صريحة</w:t>
      </w:r>
    </w:p>
    <w:p w14:paraId="26752C1E"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كتابه «Islam and the Economic Challenge» (1992) يقدّم شابرا نقدًا عميقًا للرأسمالية والاشتراكية، ويقترح بديلًا مبنيًا على مقاصد الشريعة (الفلاح في مقابل تعظيم المنفعة). وكان إسهامه في تأصيل المقاصد إطارًا تقييميًا رائدًا، لكن الكتاب لا يقدّم آلية إجرائية واضحة لاختبار ما إذا كان مفهوم اقتصادي ما إسلاميًا أصيلًا أم إعادة تدوير لمفهوم غربي، وهي الفجوة التي يحاول هذا الفصل سدّها.</w:t>
      </w:r>
    </w:p>
    <w:p w14:paraId="782A3B8F"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Chapra, M.U. (1992). Islam and the Economic Challenge. The Islamic Foundation &amp; IIIT.</w:t>
      </w:r>
    </w:p>
    <w:p w14:paraId="073BD3CA" w14:textId="77777777" w:rsidR="005C0A79" w:rsidRPr="00B832F2" w:rsidRDefault="005C0A79" w:rsidP="005C0A79">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سيد نواب حيدر النقوي: أقرب محاولة لصياغة إجرائية</w:t>
      </w:r>
    </w:p>
    <w:p w14:paraId="1D38A328"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وفي «Islam, Economics, and Society» (1994) يشتق النقوي أربعة مبادئ أخلاقية (التوحيد، والتوازن، والإرادة الحرة، والمسؤولية)، ويحاول ربطها بنماذج اقتصادية رياضية قابلة للتحليل الكمي. وهذه المحاولة أقرب إلى روح هذا الفصل، لأنها تسعى إلى جسر بين المبدأ الشرعي والنموذج القابل للاختبار.</w:t>
      </w:r>
    </w:p>
    <w:p w14:paraId="20D806E8"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Naqvi, S.N.H. (1994). Islam, Economics, and Society. Kegan Paul International.</w:t>
      </w:r>
    </w:p>
    <w:p w14:paraId="1A8DAFCD" w14:textId="77777777" w:rsidR="005C0A79" w:rsidRPr="00B832F2" w:rsidRDefault="005C0A79" w:rsidP="005C0A79">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غير أن كلتا المحاولتين وُجّه إليها نقد بغياب «محك تمييز» واضح: فكلاهما يقدّم مبادئ إسلامية متسقة داخليًا، لكن لا يحدد بدقة إجرائية التنبؤ الاقتصادي الذي يختلف فيه النموذج الإسلامي عن النظير الكينزي في موقف محدد مسبقًا. وهذا الغياب من أسباب وصف Kuran (2004) كثيرًا من «الاقتصاد الإسلامي» بأنه اقتصاد تقليدي تُضاف إليه تبريرات أخلاقية.</w:t>
      </w:r>
    </w:p>
    <w:p w14:paraId="489E03D2" w14:textId="77777777" w:rsidR="005C0A79" w:rsidRPr="00B832F2" w:rsidRDefault="005C0A79" w:rsidP="005C0A79">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Kuran, T. (2004). Islam and Mammon: The Economic Predicaments of Islamism. Princeton University Press.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5C0A79" w:rsidRPr="00B832F2" w14:paraId="7549038F" w14:textId="77777777" w:rsidTr="00A011EA">
        <w:tc>
          <w:tcPr>
            <w:tcW w:w="8640" w:type="dxa"/>
            <w:shd w:val="clear" w:color="auto" w:fill="C55A11"/>
            <w:tcMar>
              <w:top w:w="75" w:type="dxa"/>
              <w:left w:w="100" w:type="dxa"/>
              <w:bottom w:w="75" w:type="dxa"/>
              <w:right w:w="100" w:type="dxa"/>
            </w:tcMar>
            <w:vAlign w:val="center"/>
          </w:tcPr>
          <w:p w14:paraId="7105598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الدرس لهذا المشروع</w:t>
            </w:r>
          </w:p>
        </w:tc>
      </w:tr>
      <w:tr w:rsidR="005C0A79" w:rsidRPr="00B832F2" w14:paraId="49A1A6E3" w14:textId="77777777" w:rsidTr="00A011EA">
        <w:tc>
          <w:tcPr>
            <w:tcW w:w="8640" w:type="dxa"/>
            <w:shd w:val="clear" w:color="auto" w:fill="FFF5E0"/>
            <w:tcMar>
              <w:top w:w="75" w:type="dxa"/>
              <w:left w:w="100" w:type="dxa"/>
              <w:bottom w:w="75" w:type="dxa"/>
              <w:right w:w="100" w:type="dxa"/>
            </w:tcMar>
            <w:vAlign w:val="center"/>
          </w:tcPr>
          <w:p w14:paraId="0D1A6BAE"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تأصيل المبادئ، كما فعل شابرا والنقوي، شرط ضروري لكنه غير كافٍ. ومحك التمييز بصياغته الإجرائية في هذا الفصل (§3.7) وتطبيقاته الأربعة (§3.8) محاولة لسدّ حلقة يراها كثير من النقاد ناقصة في الاقتصاد الإسلامي، حتى لا تتكرر في حقل الإدارة.</w:t>
            </w:r>
          </w:p>
        </w:tc>
      </w:tr>
    </w:tbl>
    <w:p w14:paraId="598C208A" w14:textId="77777777" w:rsidR="005C0A79" w:rsidRPr="00B832F2" w:rsidRDefault="005C0A79" w:rsidP="005C0A79">
      <w:pPr>
        <w:bidi/>
        <w:spacing w:after="60"/>
        <w:rPr>
          <w:rFonts w:ascii="Sakkal Majalla" w:hAnsi="Sakkal Majalla" w:cs="Sakkal Majalla"/>
          <w:sz w:val="28"/>
          <w:szCs w:val="28"/>
        </w:rPr>
      </w:pPr>
    </w:p>
    <w:p w14:paraId="6FC9324F"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26D78379"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66F14035" w14:textId="77777777" w:rsidR="005C0A79" w:rsidRPr="00B832F2" w:rsidRDefault="005C0A79" w:rsidP="005C0A79">
      <w:pPr>
        <w:bidi/>
        <w:spacing w:after="60"/>
        <w:rPr>
          <w:rFonts w:ascii="Sakkal Majalla" w:hAnsi="Sakkal Majalla" w:cs="Sakkal Majalla"/>
          <w:sz w:val="28"/>
          <w:szCs w:val="28"/>
        </w:rPr>
      </w:pPr>
    </w:p>
    <w:p w14:paraId="50390FE3" w14:textId="77777777" w:rsidR="005C0A79" w:rsidRPr="00B832F2" w:rsidRDefault="005C0A79" w:rsidP="005C0A79">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الفصل في جمل: عنصرًا عنصرًا</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7195"/>
      </w:tblGrid>
      <w:tr w:rsidR="005C0A79" w:rsidRPr="00B832F2" w14:paraId="0FD1400D" w14:textId="77777777" w:rsidTr="00BF2B0D">
        <w:tc>
          <w:tcPr>
            <w:tcW w:w="2160" w:type="dxa"/>
            <w:shd w:val="clear" w:color="auto" w:fill="7030A0"/>
            <w:tcMar>
              <w:top w:w="75" w:type="dxa"/>
              <w:left w:w="100" w:type="dxa"/>
              <w:bottom w:w="75" w:type="dxa"/>
              <w:right w:w="100" w:type="dxa"/>
            </w:tcMar>
            <w:vAlign w:val="center"/>
          </w:tcPr>
          <w:p w14:paraId="3823611D"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العنصر</w:t>
            </w:r>
          </w:p>
        </w:tc>
        <w:tc>
          <w:tcPr>
            <w:tcW w:w="7195" w:type="dxa"/>
            <w:shd w:val="clear" w:color="auto" w:fill="7030A0"/>
            <w:tcMar>
              <w:top w:w="75" w:type="dxa"/>
              <w:left w:w="100" w:type="dxa"/>
              <w:bottom w:w="75" w:type="dxa"/>
              <w:right w:w="100" w:type="dxa"/>
            </w:tcMar>
            <w:vAlign w:val="center"/>
          </w:tcPr>
          <w:p w14:paraId="405173B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جملة التمييز المركزية</w:t>
            </w:r>
          </w:p>
        </w:tc>
      </w:tr>
      <w:tr w:rsidR="005C0A79" w:rsidRPr="00B832F2" w14:paraId="0310A77B" w14:textId="77777777" w:rsidTr="00BF2B0D">
        <w:tc>
          <w:tcPr>
            <w:tcW w:w="2160" w:type="dxa"/>
            <w:shd w:val="clear" w:color="auto" w:fill="E8D5F5"/>
            <w:tcMar>
              <w:top w:w="75" w:type="dxa"/>
              <w:left w:w="100" w:type="dxa"/>
              <w:bottom w:w="75" w:type="dxa"/>
              <w:right w:w="100" w:type="dxa"/>
            </w:tcMar>
            <w:vAlign w:val="center"/>
          </w:tcPr>
          <w:p w14:paraId="6992DCE8"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الفرضية الصفرية</w:t>
            </w:r>
          </w:p>
        </w:tc>
        <w:tc>
          <w:tcPr>
            <w:tcW w:w="7195" w:type="dxa"/>
            <w:shd w:val="clear" w:color="auto" w:fill="F8F0FF"/>
            <w:tcMar>
              <w:top w:w="75" w:type="dxa"/>
              <w:left w:w="100" w:type="dxa"/>
              <w:bottom w:w="75" w:type="dxa"/>
              <w:right w:w="100" w:type="dxa"/>
            </w:tcMar>
            <w:vAlign w:val="center"/>
          </w:tcPr>
          <w:p w14:paraId="4231943C"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ليست تصريحًا بالثقة في النجاح، بل تصريح بشروط الاعتراف بالفشل.</w:t>
            </w:r>
          </w:p>
        </w:tc>
      </w:tr>
      <w:tr w:rsidR="005C0A79" w:rsidRPr="00B832F2" w14:paraId="538A34D3" w14:textId="77777777" w:rsidTr="00BF2B0D">
        <w:tc>
          <w:tcPr>
            <w:tcW w:w="2160" w:type="dxa"/>
            <w:shd w:val="clear" w:color="auto" w:fill="FFFFFF"/>
            <w:tcMar>
              <w:top w:w="75" w:type="dxa"/>
              <w:left w:w="100" w:type="dxa"/>
              <w:bottom w:w="75" w:type="dxa"/>
              <w:right w:w="100" w:type="dxa"/>
            </w:tcMar>
            <w:vAlign w:val="center"/>
          </w:tcPr>
          <w:p w14:paraId="30F5B974"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محك الأصالة</w:t>
            </w:r>
          </w:p>
        </w:tc>
        <w:tc>
          <w:tcPr>
            <w:tcW w:w="7195" w:type="dxa"/>
            <w:shd w:val="clear" w:color="auto" w:fill="FFFFFF"/>
            <w:tcMar>
              <w:top w:w="75" w:type="dxa"/>
              <w:left w:w="100" w:type="dxa"/>
              <w:bottom w:w="75" w:type="dxa"/>
              <w:right w:w="100" w:type="dxa"/>
            </w:tcMar>
            <w:vAlign w:val="center"/>
          </w:tcPr>
          <w:p w14:paraId="5DD8719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نسأل: هل يشبه المفهوم القرآني النظير الغربي؟ بل: هل يختلف عنه في منطلقاته الوجودية والمعرفية حين يُزال الاسم الإسلامي؟</w:t>
            </w:r>
          </w:p>
        </w:tc>
      </w:tr>
      <w:tr w:rsidR="005C0A79" w:rsidRPr="00B832F2" w14:paraId="21E871E5" w14:textId="77777777" w:rsidTr="00BF2B0D">
        <w:tc>
          <w:tcPr>
            <w:tcW w:w="2160" w:type="dxa"/>
            <w:shd w:val="clear" w:color="auto" w:fill="E8D5F5"/>
            <w:tcMar>
              <w:top w:w="75" w:type="dxa"/>
              <w:left w:w="100" w:type="dxa"/>
              <w:bottom w:w="75" w:type="dxa"/>
              <w:right w:w="100" w:type="dxa"/>
            </w:tcMar>
            <w:vAlign w:val="center"/>
          </w:tcPr>
          <w:p w14:paraId="7819585E"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lastRenderedPageBreak/>
              <w:t>محك الاستقلالية</w:t>
            </w:r>
          </w:p>
        </w:tc>
        <w:tc>
          <w:tcPr>
            <w:tcW w:w="7195" w:type="dxa"/>
            <w:shd w:val="clear" w:color="auto" w:fill="F8F0FF"/>
            <w:tcMar>
              <w:top w:w="75" w:type="dxa"/>
              <w:left w:w="100" w:type="dxa"/>
              <w:bottom w:w="75" w:type="dxa"/>
              <w:right w:w="100" w:type="dxa"/>
            </w:tcMar>
            <w:vAlign w:val="center"/>
          </w:tcPr>
          <w:p w14:paraId="7F60068E"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نسأل: هل يمكن الاستشهاد بالقرآن لهذا المفهوم؟ بل: هل يصل إليه باحث بالقرآن وحده دون معرفة الأدبيات الغربية؟</w:t>
            </w:r>
          </w:p>
        </w:tc>
      </w:tr>
      <w:tr w:rsidR="005C0A79" w:rsidRPr="00B832F2" w14:paraId="6C01780A" w14:textId="77777777" w:rsidTr="00BF2B0D">
        <w:tc>
          <w:tcPr>
            <w:tcW w:w="2160" w:type="dxa"/>
            <w:shd w:val="clear" w:color="auto" w:fill="FFFFFF"/>
            <w:tcMar>
              <w:top w:w="75" w:type="dxa"/>
              <w:left w:w="100" w:type="dxa"/>
              <w:bottom w:w="75" w:type="dxa"/>
              <w:right w:w="100" w:type="dxa"/>
            </w:tcMar>
            <w:vAlign w:val="center"/>
          </w:tcPr>
          <w:p w14:paraId="6D661EDA"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محك التمييز</w:t>
            </w:r>
          </w:p>
        </w:tc>
        <w:tc>
          <w:tcPr>
            <w:tcW w:w="7195" w:type="dxa"/>
            <w:shd w:val="clear" w:color="auto" w:fill="FFFFFF"/>
            <w:tcMar>
              <w:top w:w="75" w:type="dxa"/>
              <w:left w:w="100" w:type="dxa"/>
              <w:bottom w:w="75" w:type="dxa"/>
              <w:right w:w="100" w:type="dxa"/>
            </w:tcMar>
            <w:vAlign w:val="center"/>
          </w:tcPr>
          <w:p w14:paraId="01BA8809"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نسأل: هل هذا المفهوم أخلاقي أكثر من نظيره؟ بل: هل ينتج تنبؤًا سلوكيًا مختلفًا في موقف مؤسسي محدد مسبقًا؟</w:t>
            </w:r>
          </w:p>
        </w:tc>
      </w:tr>
      <w:tr w:rsidR="005C0A79" w:rsidRPr="00B832F2" w14:paraId="5769DC6B" w14:textId="77777777" w:rsidTr="00BF2B0D">
        <w:tc>
          <w:tcPr>
            <w:tcW w:w="2160" w:type="dxa"/>
            <w:shd w:val="clear" w:color="auto" w:fill="E8D5F5"/>
            <w:tcMar>
              <w:top w:w="75" w:type="dxa"/>
              <w:left w:w="100" w:type="dxa"/>
              <w:bottom w:w="75" w:type="dxa"/>
              <w:right w:w="100" w:type="dxa"/>
            </w:tcMar>
            <w:vAlign w:val="center"/>
          </w:tcPr>
          <w:p w14:paraId="0F670F6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آلية فض التعارض</w:t>
            </w:r>
          </w:p>
        </w:tc>
        <w:tc>
          <w:tcPr>
            <w:tcW w:w="7195" w:type="dxa"/>
            <w:shd w:val="clear" w:color="auto" w:fill="F8F0FF"/>
            <w:tcMar>
              <w:top w:w="75" w:type="dxa"/>
              <w:left w:w="100" w:type="dxa"/>
              <w:bottom w:w="75" w:type="dxa"/>
              <w:right w:w="100" w:type="dxa"/>
            </w:tcMar>
            <w:vAlign w:val="center"/>
          </w:tcPr>
          <w:p w14:paraId="7FC5841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فشل التطبيق يوجّه المراجعة إلى مستويات الاشتقاق البشري (م1–م7) لا إلى النص؛ فالفشل حكم على الاجتهاد لا على الوحي.</w:t>
            </w:r>
          </w:p>
        </w:tc>
      </w:tr>
      <w:tr w:rsidR="005C0A79" w:rsidRPr="00B832F2" w14:paraId="6321C358" w14:textId="77777777" w:rsidTr="00BF2B0D">
        <w:tc>
          <w:tcPr>
            <w:tcW w:w="2160" w:type="dxa"/>
            <w:shd w:val="clear" w:color="auto" w:fill="FFFFFF"/>
            <w:tcMar>
              <w:top w:w="75" w:type="dxa"/>
              <w:left w:w="100" w:type="dxa"/>
              <w:bottom w:w="75" w:type="dxa"/>
              <w:right w:w="100" w:type="dxa"/>
            </w:tcMar>
            <w:vAlign w:val="center"/>
          </w:tcPr>
          <w:p w14:paraId="1339E232"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7030A0"/>
                <w:sz w:val="28"/>
                <w:szCs w:val="28"/>
                <w:rtl/>
              </w:rPr>
              <w:t>المواجهة النقدية</w:t>
            </w:r>
          </w:p>
        </w:tc>
        <w:tc>
          <w:tcPr>
            <w:tcW w:w="7195" w:type="dxa"/>
            <w:shd w:val="clear" w:color="auto" w:fill="FFFFFF"/>
            <w:tcMar>
              <w:top w:w="75" w:type="dxa"/>
              <w:left w:w="100" w:type="dxa"/>
              <w:bottom w:w="75" w:type="dxa"/>
              <w:right w:w="100" w:type="dxa"/>
            </w:tcMar>
            <w:vAlign w:val="center"/>
          </w:tcPr>
          <w:p w14:paraId="2EA74C2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واجهنا ثلاثة اعتراضات على المنهجية كلها، لأن المشروع الأمين يسلّم خصمه أداة نقده ولا يخفيها.</w:t>
            </w:r>
          </w:p>
        </w:tc>
      </w:tr>
    </w:tbl>
    <w:p w14:paraId="11CC073A" w14:textId="77777777" w:rsidR="005C0A79" w:rsidRPr="00B832F2" w:rsidRDefault="005C0A79" w:rsidP="005C0A79">
      <w:pPr>
        <w:pBdr>
          <w:bottom w:val="single" w:sz="6" w:space="0" w:color="D6E4F0"/>
        </w:pBdr>
        <w:bidi/>
        <w:spacing w:before="20" w:after="70"/>
        <w:rPr>
          <w:rFonts w:ascii="Sakkal Majalla" w:hAnsi="Sakkal Majalla" w:cs="Sakkal Majalla"/>
          <w:sz w:val="28"/>
          <w:szCs w:val="28"/>
        </w:rPr>
      </w:pPr>
    </w:p>
    <w:p w14:paraId="34DB6D68" w14:textId="77777777" w:rsidR="005C0A79" w:rsidRPr="00B832F2" w:rsidRDefault="005C0A79" w:rsidP="005C0A79">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3.13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5C0A79" w:rsidRPr="00B832F2" w14:paraId="098A2468" w14:textId="77777777" w:rsidTr="00A011EA">
        <w:tc>
          <w:tcPr>
            <w:tcW w:w="4320" w:type="dxa"/>
            <w:shd w:val="clear" w:color="auto" w:fill="375623"/>
            <w:tcMar>
              <w:top w:w="75" w:type="dxa"/>
              <w:left w:w="100" w:type="dxa"/>
              <w:bottom w:w="75" w:type="dxa"/>
              <w:right w:w="100" w:type="dxa"/>
            </w:tcMar>
            <w:vAlign w:val="center"/>
          </w:tcPr>
          <w:p w14:paraId="61010E50"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ما يُثبته هذا الفصل</w:t>
            </w:r>
          </w:p>
        </w:tc>
        <w:tc>
          <w:tcPr>
            <w:tcW w:w="4320" w:type="dxa"/>
            <w:shd w:val="clear" w:color="auto" w:fill="C00000"/>
            <w:tcMar>
              <w:top w:w="75" w:type="dxa"/>
              <w:left w:w="100" w:type="dxa"/>
              <w:bottom w:w="75" w:type="dxa"/>
              <w:right w:w="100" w:type="dxa"/>
            </w:tcMar>
            <w:vAlign w:val="center"/>
          </w:tcPr>
          <w:p w14:paraId="008F039C" w14:textId="77777777" w:rsidR="005C0A79" w:rsidRPr="00B832F2" w:rsidRDefault="005C0A79" w:rsidP="00A011EA">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ما لا يُثبته هذا الفصل</w:t>
            </w:r>
          </w:p>
        </w:tc>
      </w:tr>
      <w:tr w:rsidR="005C0A79" w:rsidRPr="00B832F2" w14:paraId="28CCCD3E" w14:textId="77777777" w:rsidTr="00A011EA">
        <w:tc>
          <w:tcPr>
            <w:tcW w:w="4320" w:type="dxa"/>
            <w:shd w:val="clear" w:color="auto" w:fill="EBF5E0"/>
            <w:tcMar>
              <w:top w:w="75" w:type="dxa"/>
              <w:left w:w="100" w:type="dxa"/>
              <w:bottom w:w="75" w:type="dxa"/>
              <w:right w:w="100" w:type="dxa"/>
            </w:tcMar>
            <w:vAlign w:val="center"/>
          </w:tcPr>
          <w:p w14:paraId="13A36E1F"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الفرضية الصفرية مصاغة بدقة تستند إلى بوبر ولاكاتوش معًا، ويمكن أن يشغّلها باحث مستقل.</w:t>
            </w:r>
          </w:p>
        </w:tc>
        <w:tc>
          <w:tcPr>
            <w:tcW w:w="4320" w:type="dxa"/>
            <w:shd w:val="clear" w:color="auto" w:fill="FFF0F0"/>
            <w:tcMar>
              <w:top w:w="75" w:type="dxa"/>
              <w:left w:w="100" w:type="dxa"/>
              <w:bottom w:w="75" w:type="dxa"/>
              <w:right w:w="100" w:type="dxa"/>
            </w:tcMar>
            <w:vAlign w:val="center"/>
          </w:tcPr>
          <w:p w14:paraId="7FC44D0C"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أيًّا من الاختبارات الميدانية نُفّذ فعلًا؛ فكلها بروتوكولات تنتظر التنفيذ.</w:t>
            </w:r>
          </w:p>
        </w:tc>
      </w:tr>
      <w:tr w:rsidR="005C0A79" w:rsidRPr="00B832F2" w14:paraId="7B66E923" w14:textId="77777777" w:rsidTr="00A011EA">
        <w:tc>
          <w:tcPr>
            <w:tcW w:w="4320" w:type="dxa"/>
            <w:shd w:val="clear" w:color="auto" w:fill="FFFFFF"/>
            <w:tcMar>
              <w:top w:w="75" w:type="dxa"/>
              <w:left w:w="100" w:type="dxa"/>
              <w:bottom w:w="75" w:type="dxa"/>
              <w:right w:w="100" w:type="dxa"/>
            </w:tcMar>
            <w:vAlign w:val="center"/>
          </w:tcPr>
          <w:p w14:paraId="53EA99C4"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للمحكّات الثلاثة تعريفات إجرائية وبروتوكولات اختبار قابلة للتنفيذ.</w:t>
            </w:r>
          </w:p>
        </w:tc>
        <w:tc>
          <w:tcPr>
            <w:tcW w:w="4320" w:type="dxa"/>
            <w:shd w:val="clear" w:color="auto" w:fill="FFFFFF"/>
            <w:tcMar>
              <w:top w:w="75" w:type="dxa"/>
              <w:left w:w="100" w:type="dxa"/>
              <w:bottom w:w="75" w:type="dxa"/>
              <w:right w:w="100" w:type="dxa"/>
            </w:tcMar>
            <w:vAlign w:val="center"/>
          </w:tcPr>
          <w:p w14:paraId="6A19D0A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حيادًا فلسفيًا مطلقًا؛ فهو يقرّ بتحيز المؤلف ويقدّم إجراءات تكشف الخطأ.</w:t>
            </w:r>
          </w:p>
        </w:tc>
      </w:tr>
      <w:tr w:rsidR="005C0A79" w:rsidRPr="00B832F2" w14:paraId="58296498" w14:textId="77777777" w:rsidTr="00A011EA">
        <w:tc>
          <w:tcPr>
            <w:tcW w:w="4320" w:type="dxa"/>
            <w:shd w:val="clear" w:color="auto" w:fill="EBF5E0"/>
            <w:tcMar>
              <w:top w:w="75" w:type="dxa"/>
              <w:left w:w="100" w:type="dxa"/>
              <w:bottom w:w="75" w:type="dxa"/>
              <w:right w:w="100" w:type="dxa"/>
            </w:tcMar>
            <w:vAlign w:val="center"/>
          </w:tcPr>
          <w:p w14:paraId="360AECAF"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أربعة تطبيقات بدرجات متفاوتة من القوة، تعكس التفاوت الحقيقي لا تساويًا مصطنعًا.</w:t>
            </w:r>
          </w:p>
        </w:tc>
        <w:tc>
          <w:tcPr>
            <w:tcW w:w="4320" w:type="dxa"/>
            <w:shd w:val="clear" w:color="auto" w:fill="FFF0F0"/>
            <w:tcMar>
              <w:top w:w="75" w:type="dxa"/>
              <w:left w:w="100" w:type="dxa"/>
              <w:bottom w:w="75" w:type="dxa"/>
              <w:right w:w="100" w:type="dxa"/>
            </w:tcMar>
            <w:vAlign w:val="center"/>
          </w:tcPr>
          <w:p w14:paraId="5C26D0E9"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الأمثلة الأربعة تكفي للحكم على الموسوعة كلها؛ فهي عينة توضيحية لا إحصائية.</w:t>
            </w:r>
          </w:p>
        </w:tc>
      </w:tr>
      <w:tr w:rsidR="005C0A79" w:rsidRPr="00B832F2" w14:paraId="10481D9F" w14:textId="77777777" w:rsidTr="00A011EA">
        <w:tc>
          <w:tcPr>
            <w:tcW w:w="4320" w:type="dxa"/>
            <w:shd w:val="clear" w:color="auto" w:fill="FFFFFF"/>
            <w:tcMar>
              <w:top w:w="75" w:type="dxa"/>
              <w:left w:w="100" w:type="dxa"/>
              <w:bottom w:w="75" w:type="dxa"/>
              <w:right w:w="100" w:type="dxa"/>
            </w:tcMar>
            <w:vAlign w:val="center"/>
          </w:tcPr>
          <w:p w14:paraId="4704EEE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بروتوكول الاختبار يحدد ثلاثة تصاميم وأربعة تهديدات للصلاحية وطرق ضبطها.</w:t>
            </w:r>
          </w:p>
        </w:tc>
        <w:tc>
          <w:tcPr>
            <w:tcW w:w="4320" w:type="dxa"/>
            <w:shd w:val="clear" w:color="auto" w:fill="FFFFFF"/>
            <w:tcMar>
              <w:top w:w="75" w:type="dxa"/>
              <w:left w:w="100" w:type="dxa"/>
              <w:bottom w:w="75" w:type="dxa"/>
              <w:right w:w="100" w:type="dxa"/>
            </w:tcMar>
            <w:vAlign w:val="center"/>
          </w:tcPr>
          <w:p w14:paraId="234E5CB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الاتفاق بين المحكّمين سيبلغ مستوى مرتفعًا؛ فالمثال الرقمي يبيّن أن أداة التقييم نفسها تحتاج إلى تنقيح.</w:t>
            </w:r>
          </w:p>
        </w:tc>
      </w:tr>
    </w:tbl>
    <w:p w14:paraId="39A50C44" w14:textId="77777777" w:rsidR="005C0A79" w:rsidRPr="00B832F2" w:rsidRDefault="005C0A79" w:rsidP="005C0A79">
      <w:pPr>
        <w:bidi/>
        <w:spacing w:after="60"/>
        <w:rPr>
          <w:rFonts w:ascii="Sakkal Majalla" w:hAnsi="Sakkal Majalla" w:cs="Sakkal Majalla"/>
          <w:sz w:val="28"/>
          <w:szCs w:val="28"/>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25"/>
      </w:tblGrid>
      <w:tr w:rsidR="005C0A79" w:rsidRPr="00B832F2" w14:paraId="5957A1E1" w14:textId="77777777" w:rsidTr="00BF2B0D">
        <w:tc>
          <w:tcPr>
            <w:tcW w:w="9625" w:type="dxa"/>
            <w:shd w:val="clear" w:color="auto" w:fill="7030A0"/>
            <w:tcMar>
              <w:top w:w="75" w:type="dxa"/>
              <w:left w:w="100" w:type="dxa"/>
              <w:bottom w:w="75" w:type="dxa"/>
              <w:right w:w="100" w:type="dxa"/>
            </w:tcMar>
            <w:vAlign w:val="center"/>
          </w:tcPr>
          <w:p w14:paraId="3513F2D5" w14:textId="77777777" w:rsidR="005C0A79" w:rsidRPr="00B832F2" w:rsidRDefault="005C0A79"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مرآة المدير: هل نموذجك قرآني فعلًا؟</w:t>
            </w:r>
          </w:p>
        </w:tc>
      </w:tr>
      <w:tr w:rsidR="005C0A79" w:rsidRPr="00B832F2" w14:paraId="5DDBD74E" w14:textId="77777777" w:rsidTr="00BF2B0D">
        <w:tc>
          <w:tcPr>
            <w:tcW w:w="9625" w:type="dxa"/>
            <w:shd w:val="clear" w:color="auto" w:fill="F2E8F8"/>
            <w:tcMar>
              <w:top w:w="75" w:type="dxa"/>
              <w:left w:w="100" w:type="dxa"/>
              <w:bottom w:w="75" w:type="dxa"/>
              <w:right w:w="100" w:type="dxa"/>
            </w:tcMar>
            <w:vAlign w:val="center"/>
          </w:tcPr>
          <w:p w14:paraId="11EA200A"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تمرين واحد قبل الانتقال إلى الفصل الرابع: «اختبار الاستغناء».</w:t>
            </w:r>
          </w:p>
          <w:p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اختر ممارسة إدارية واحدة في مؤسستك تسمّيها «إسلامية» أو «قرآنية»، واكتبها في سطرين: ما الذي تفعله، ولماذا.</w:t>
            </w:r>
          </w:p>
          <w:p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احذف من السطرين كل إحالة إلى القرآن والسنة، واقرأهما من جديد. هل تغيّر شيء في القرار الذي تتخذه، أو في ترتيب الأولويات، أو فيمن تحاسبه وعلى ماذا؟</w:t>
            </w:r>
          </w:p>
          <w:p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لم يتغيّر شيء، فالقرآن في هذه الممارسة زخرفة لا مصدر، بتعبير هذا الفصل. وإن تغيّر، فاكتب ما الذي تغيّر؛ فذلك أول سطر في «دليل التمييز» لممارستك.</w:t>
            </w:r>
          </w:p>
        </w:tc>
      </w:tr>
    </w:tbl>
    <w:p w14:paraId="7F9423BB" w14:textId="77777777" w:rsidR="005C0A79" w:rsidRPr="00B832F2" w:rsidRDefault="005C0A79" w:rsidP="005C0A79">
      <w:pPr>
        <w:pBdr>
          <w:bottom w:val="single" w:sz="14" w:space="0" w:color="1F3864"/>
        </w:pBdr>
        <w:bidi/>
        <w:spacing w:before="60" w:after="100"/>
        <w:rPr>
          <w:rFonts w:ascii="Sakkal Majalla" w:hAnsi="Sakkal Majalla" w:cs="Sakkal Majalla"/>
          <w:sz w:val="28"/>
          <w:szCs w:val="28"/>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25"/>
      </w:tblGrid>
      <w:tr w:rsidR="005C0A79" w:rsidRPr="00B832F2" w14:paraId="2C0FF1D2" w14:textId="77777777" w:rsidTr="00BF2B0D">
        <w:tc>
          <w:tcPr>
            <w:tcW w:w="9625" w:type="dxa"/>
            <w:shd w:val="clear" w:color="auto" w:fill="156082"/>
            <w:tcMar>
              <w:top w:w="75" w:type="dxa"/>
              <w:left w:w="100" w:type="dxa"/>
              <w:bottom w:w="75" w:type="dxa"/>
              <w:right w:w="100" w:type="dxa"/>
            </w:tcMar>
            <w:vAlign w:val="center"/>
          </w:tcPr>
          <w:p w14:paraId="6B11FC7B"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خاتمة الفصل</w:t>
            </w:r>
          </w:p>
        </w:tc>
      </w:tr>
      <w:tr w:rsidR="005C0A79" w:rsidRPr="00B832F2" w14:paraId="39B4D313" w14:textId="77777777" w:rsidTr="00BF2B0D">
        <w:tc>
          <w:tcPr>
            <w:tcW w:w="9625" w:type="dxa"/>
            <w:shd w:val="clear" w:color="auto" w:fill="EBF5FB"/>
            <w:tcMar>
              <w:top w:w="75" w:type="dxa"/>
              <w:left w:w="100" w:type="dxa"/>
              <w:bottom w:w="75" w:type="dxa"/>
              <w:right w:w="100" w:type="dxa"/>
            </w:tcMar>
            <w:vAlign w:val="center"/>
          </w:tcPr>
          <w:p w14:paraId="7ABCD7EF" w14:textId="77777777" w:rsidR="005C0A79" w:rsidRPr="00B832F2" w:rsidRDefault="005C0A79" w:rsidP="00A011EA">
            <w:pPr>
              <w:bidi/>
              <w:spacing w:before="50" w:after="50"/>
              <w:rPr>
                <w:rFonts w:ascii="Sakkal Majalla" w:hAnsi="Sakkal Majalla" w:cs="Sakkal Majalla"/>
                <w:sz w:val="28"/>
                <w:szCs w:val="28"/>
              </w:rPr>
            </w:pPr>
            <w:r>
              <w:rPr>
                <w:rFonts w:ascii="Sakkal Majalla" w:hAnsi="Sakkal Majalla" w:cs="Sakkal Majalla"/>
                <w:i/>
                <w:iCs/>
                <w:color w:val="000000"/>
                <w:sz w:val="28"/>
                <w:szCs w:val="28"/>
                <w:rtl/>
              </w:rPr>
              <w:t xml:space="preserve">لا تمنح المحكّات الثلاثة أي مفهوم شهادة نهائية، وإنما تحدد درجة الثقة التي يجوز أن نتعامل بها معه. فقد يكون المفهوم قوي الأصل ضعيف التطبيق، أو واضح الأثر غامض المصدر، أو متوافقًا مع نموذج غربي دون أن يكون مستعارًا منه. ولهذا سترافق كل نتيجة في الكتاب بطاقة تبيّن مستوى اليقين، وما أثبتناه، وما لم نثبته، ونوع الدراسة التي تحتاجها النتيجة قبل أن تتحول إلى توصية عامة. وأعترف بأن هذا أصعب فصول الباب التمهيدي وأكثرها عرضة للنقد، وهذا مقصود: فهو يضع في يد القارئ الأداة التي يستطيع بها أن يحاسب بقية الكتاب. أما الفصل الرابع فينتقل إلى التأصيل: القرآن دستورًا، والمصادر التي تشرحه، وترتيبها.</w:t>
            </w:r>
          </w:p>
        </w:tc>
      </w:tr>
    </w:tbl>
    <w:p w14:paraId="6912656E" w14:textId="77777777" w:rsidR="005C0A79" w:rsidRPr="00B832F2" w:rsidRDefault="005C0A79" w:rsidP="005C0A79">
      <w:pPr>
        <w:bidi/>
        <w:rPr>
          <w:rFonts w:ascii="Sakkal Majalla" w:hAnsi="Sakkal Majalla" w:cs="Sakkal Majalla"/>
          <w:sz w:val="28"/>
          <w:szCs w:val="28"/>
        </w:rPr>
      </w:pPr>
    </w:p>
    <w:p w14:paraId="712BC680" w14:textId="77777777" w:rsidR="005C0A79" w:rsidRPr="00B832F2" w:rsidRDefault="005C0A79" w:rsidP="005C0A79">
      <w:pPr>
        <w:shd w:val="clear" w:color="auto" w:fill="156082"/>
        <w:bidi/>
        <w:spacing w:before="150" w:after="90"/>
        <w:rPr>
          <w:rFonts w:ascii="Sakkal Majalla" w:hAnsi="Sakkal Majalla" w:cs="Sakkal Majalla"/>
          <w:sz w:val="28"/>
          <w:szCs w:val="28"/>
        </w:rPr>
      </w:pPr>
      <w:r w:rsidRPr="00B832F2">
        <w:rPr>
          <w:rFonts w:ascii="Sakkal Majalla" w:hAnsi="Sakkal Majalla" w:cs="Sakkal Majalla"/>
          <w:b/>
          <w:bCs/>
          <w:color w:val="FFFFFF"/>
          <w:sz w:val="28"/>
          <w:szCs w:val="28"/>
          <w:rtl/>
        </w:rPr>
        <w:t>3.14  قائمة المراجع المذكورة في هذا الفصل</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  </w:t>
      </w:r>
      <w:r>
        <w:rPr>
          <w:rFonts w:ascii="Sakkal Majalla" w:hAnsi="Sakkal Majalla" w:cs="Sakkal Majalla"/>
          <w:sz w:val="28"/>
          <w:szCs w:val="28"/>
          <w:rtl/>
        </w:rPr>
        <w:t xml:space="preserve">Adams, J.S. (1963). Toward an Understanding of Inequity. Journal of Abnormal and Social Psychology, 67(5), 422-436.</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  </w:t>
      </w:r>
      <w:r>
        <w:rPr>
          <w:rFonts w:ascii="Sakkal Majalla" w:hAnsi="Sakkal Majalla" w:cs="Sakkal Majalla"/>
          <w:sz w:val="28"/>
          <w:szCs w:val="28"/>
          <w:rtl/>
        </w:rPr>
        <w:t xml:space="preserve">Aguinis, H. &amp; Bradley, K. (2014). Best Practice Recommendations for Designing and Implementing Experimental Vignette Methodology. ORM, 17(4), 351-371.</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  </w:t>
      </w:r>
      <w:r>
        <w:rPr>
          <w:rFonts w:ascii="Sakkal Majalla" w:hAnsi="Sakkal Majalla" w:cs="Sakkal Majalla"/>
          <w:sz w:val="28"/>
          <w:szCs w:val="28"/>
          <w:rtl/>
        </w:rPr>
        <w:t xml:space="preserve">Chapra, M.U. (1992). Islam and the Economic Challenge. The Islamic Foundation &amp; IIIT.</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4.  </w:t>
      </w:r>
      <w:r>
        <w:rPr>
          <w:rFonts w:ascii="Sakkal Majalla" w:hAnsi="Sakkal Majalla" w:cs="Sakkal Majalla"/>
          <w:sz w:val="28"/>
          <w:szCs w:val="28"/>
          <w:rtl/>
        </w:rPr>
        <w:t xml:space="preserve">Cohen, J. (1960). A Coefficient of Agreement for Nominal Scales. Educational and Psychological Measurement, 20(1), 37-46.</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5.  </w:t>
      </w:r>
      <w:r>
        <w:rPr>
          <w:rFonts w:ascii="Sakkal Majalla" w:hAnsi="Sakkal Majalla" w:cs="Sakkal Majalla"/>
          <w:sz w:val="28"/>
          <w:szCs w:val="28"/>
          <w:rtl/>
        </w:rPr>
        <w:t xml:space="preserve">Davis, J.H., Schoorman, F.D. &amp; Donaldson, L. (1997). Toward a Stewardship Theory of Management. AMR, 22(1), 20-47.</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6.  </w:t>
      </w:r>
      <w:r>
        <w:rPr>
          <w:rFonts w:ascii="Sakkal Majalla" w:hAnsi="Sakkal Majalla" w:cs="Sakkal Majalla"/>
          <w:sz w:val="28"/>
          <w:szCs w:val="28"/>
          <w:rtl/>
        </w:rPr>
        <w:t xml:space="preserve">Deming, W.E. (1986). Out of the Crisis. MIT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7.  </w:t>
      </w:r>
      <w:r>
        <w:rPr>
          <w:rFonts w:ascii="Sakkal Majalla" w:hAnsi="Sakkal Majalla" w:cs="Sakkal Majalla"/>
          <w:sz w:val="28"/>
          <w:szCs w:val="28"/>
          <w:rtl/>
        </w:rPr>
        <w:t xml:space="preserve">Eisenhardt, K. (1989). Building Theories from Case Study Research. AMR, 14(4), 532-550.</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8.  </w:t>
      </w:r>
      <w:r>
        <w:rPr>
          <w:rFonts w:ascii="Sakkal Majalla" w:hAnsi="Sakkal Majalla" w:cs="Sakkal Majalla"/>
          <w:sz w:val="28"/>
          <w:szCs w:val="28"/>
          <w:rtl/>
        </w:rPr>
        <w:t xml:space="preserve">Ericsson, K.A. &amp; Simon, H. (1993). Protocol Analysis: Verbal Reports as Data (Rev. ed.). MIT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9.  </w:t>
      </w:r>
      <w:r>
        <w:rPr>
          <w:rFonts w:ascii="Sakkal Majalla" w:hAnsi="Sakkal Majalla" w:cs="Sakkal Majalla"/>
          <w:sz w:val="28"/>
          <w:szCs w:val="28"/>
          <w:rtl/>
        </w:rPr>
        <w:t xml:space="preserve">Fleiss, J. L. (1971). Measuring Nominal Scale Agreement Among Many Raters. Psychological Bulletin, 76(5), 378-382.</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10.  </w:t>
      </w:r>
      <w:r>
        <w:rPr>
          <w:rFonts w:ascii="Sakkal Majalla" w:hAnsi="Sakkal Majalla" w:cs="Sakkal Majalla"/>
          <w:sz w:val="28"/>
          <w:szCs w:val="28"/>
          <w:rtl/>
        </w:rPr>
        <w:t xml:space="preserve">Gadamer, H-G. (1960/2004). Truth and Method. Continuum.</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11.  </w:t>
      </w:r>
      <w:r>
        <w:rPr>
          <w:rFonts w:ascii="Sakkal Majalla" w:hAnsi="Sakkal Majalla" w:cs="Sakkal Majalla"/>
          <w:sz w:val="28"/>
          <w:szCs w:val="28"/>
          <w:rtl/>
        </w:rPr>
        <w:t xml:space="preserve">Gioia, D., Corley, K. &amp; Hamilton, A. (2013). Seeking Qualitative Rigor in Inductive Research. ORM, 16(1), 15-31.</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12.  </w:t>
      </w:r>
      <w:r>
        <w:rPr>
          <w:rFonts w:ascii="Sakkal Majalla" w:hAnsi="Sakkal Majalla" w:cs="Sakkal Majalla"/>
          <w:sz w:val="28"/>
          <w:szCs w:val="28"/>
          <w:rtl/>
        </w:rPr>
        <w:t xml:space="preserve">Hanson, N.R. (1958). Patterns of Discovery. Cambridge University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13.  </w:t>
      </w:r>
      <w:r>
        <w:rPr>
          <w:rFonts w:ascii="Sakkal Majalla" w:hAnsi="Sakkal Majalla" w:cs="Sakkal Majalla"/>
          <w:sz w:val="28"/>
          <w:szCs w:val="28"/>
          <w:rtl/>
        </w:rPr>
        <w:t xml:space="preserve">Hinkin, T. (1998). A Brief Tutorial on the Development of Measures for Use in Survey Questionnaires. ORM, 1(1), 104-121.</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14.  </w:t>
      </w:r>
      <w:r>
        <w:rPr>
          <w:rFonts w:ascii="Sakkal Majalla" w:hAnsi="Sakkal Majalla" w:cs="Sakkal Majalla"/>
          <w:sz w:val="28"/>
          <w:szCs w:val="28"/>
          <w:rtl/>
        </w:rPr>
        <w:t xml:space="preserve">Huseman, R.C., Hatfield, J.D. &amp; Miles, E.W. (1987). A New Perspective on Equity Theory. AMR, 12(2), 222-234.</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15.  </w:t>
      </w:r>
      <w:r>
        <w:rPr>
          <w:rFonts w:ascii="Sakkal Majalla" w:hAnsi="Sakkal Majalla" w:cs="Sakkal Majalla"/>
          <w:sz w:val="28"/>
          <w:szCs w:val="28"/>
          <w:rtl/>
        </w:rPr>
        <w:t xml:space="preserve">Ioannidis, J. (2005). Why Most Published Research Findings Are False. PLoS Medicine, 2(8), e124.</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16.  </w:t>
      </w:r>
      <w:r>
        <w:rPr>
          <w:rFonts w:ascii="Sakkal Majalla" w:hAnsi="Sakkal Majalla" w:cs="Sakkal Majalla"/>
          <w:sz w:val="28"/>
          <w:szCs w:val="28"/>
          <w:rtl/>
        </w:rPr>
        <w:t xml:space="preserve">Kuran, T. (2004). Islam and Mammon: The Economic Predicaments of Islamism. Princeton University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17.  </w:t>
      </w:r>
      <w:r>
        <w:rPr>
          <w:rFonts w:ascii="Sakkal Majalla" w:hAnsi="Sakkal Majalla" w:cs="Sakkal Majalla"/>
          <w:sz w:val="28"/>
          <w:szCs w:val="28"/>
          <w:rtl/>
        </w:rPr>
        <w:t xml:space="preserve">Lakatos, I. (1970). Falsification and the Methodology of Scientific Research Programmes. In Lakatos &amp; Musgrave (eds.), Criticism and the Growth of Knowledge. Cambridge UP, 91-196.</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18.  </w:t>
      </w:r>
      <w:r>
        <w:rPr>
          <w:rFonts w:ascii="Sakkal Majalla" w:hAnsi="Sakkal Majalla" w:cs="Sakkal Majalla"/>
          <w:sz w:val="28"/>
          <w:szCs w:val="28"/>
          <w:rtl/>
        </w:rPr>
        <w:t xml:space="preserve">Lakatos, I. (1978). The Methodology of Scientific Research Programmes. Cambridge University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19.  </w:t>
      </w:r>
      <w:r>
        <w:rPr>
          <w:rFonts w:ascii="Sakkal Majalla" w:hAnsi="Sakkal Majalla" w:cs="Sakkal Majalla"/>
          <w:sz w:val="28"/>
          <w:szCs w:val="28"/>
          <w:rtl/>
        </w:rPr>
        <w:t xml:space="preserve">Landis, J.R. &amp; Koch, G.G. (1977). The Measurement of Observer Agreement for Categorical Data. Biometrics, 33(1), 159-174.</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20.  </w:t>
      </w:r>
      <w:r>
        <w:rPr>
          <w:rFonts w:ascii="Sakkal Majalla" w:hAnsi="Sakkal Majalla" w:cs="Sakkal Majalla"/>
          <w:sz w:val="28"/>
          <w:szCs w:val="28"/>
          <w:rtl/>
        </w:rPr>
        <w:t xml:space="preserve">LaPiere, R. (1934). Attitudes vs. Actions. Social Forces, 13(2), 230-237.</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21.  </w:t>
      </w:r>
      <w:r>
        <w:rPr>
          <w:rFonts w:ascii="Sakkal Majalla" w:hAnsi="Sakkal Majalla" w:cs="Sakkal Majalla"/>
          <w:sz w:val="28"/>
          <w:szCs w:val="28"/>
          <w:rtl/>
        </w:rPr>
        <w:t xml:space="preserve">Naqvi, S.N.H. (1994). Islam, Economics, and Society. Kegan Paul International.</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22.  </w:t>
      </w:r>
      <w:r>
        <w:rPr>
          <w:rFonts w:ascii="Sakkal Majalla" w:hAnsi="Sakkal Majalla" w:cs="Sakkal Majalla"/>
          <w:sz w:val="28"/>
          <w:szCs w:val="28"/>
          <w:rtl/>
        </w:rPr>
        <w:t xml:space="preserve">Nickerson, R. (1998). Confirmation Bias: A Ubiquitous Phenomenon in Many Guises. Review of General Psychology, 2(2), 175-220.</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23.  </w:t>
      </w:r>
      <w:r>
        <w:rPr>
          <w:rFonts w:ascii="Sakkal Majalla" w:hAnsi="Sakkal Majalla" w:cs="Sakkal Majalla"/>
          <w:sz w:val="28"/>
          <w:szCs w:val="28"/>
          <w:rtl/>
        </w:rPr>
        <w:t xml:space="preserve">Nosek, B. et al. (2018). The Preregistration Revolution. PNAS, 115(11), 2600-2606.</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24.  </w:t>
      </w:r>
      <w:r>
        <w:rPr>
          <w:rFonts w:ascii="Sakkal Majalla" w:hAnsi="Sakkal Majalla" w:cs="Sakkal Majalla"/>
          <w:sz w:val="28"/>
          <w:szCs w:val="28"/>
          <w:rtl/>
        </w:rPr>
        <w:t xml:space="preserve">Peters, T. &amp; Waterman, R. (1982). In Search of Excellence. Harper &amp; Row.</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25.  </w:t>
      </w:r>
      <w:r>
        <w:rPr>
          <w:rFonts w:ascii="Sakkal Majalla" w:hAnsi="Sakkal Majalla" w:cs="Sakkal Majalla"/>
          <w:sz w:val="28"/>
          <w:szCs w:val="28"/>
          <w:rtl/>
        </w:rPr>
        <w:t xml:space="preserve">Popper, K. (1934/1959). The Logic of Scientific Discovery. Hutchinson &amp; Co.</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26.  </w:t>
      </w:r>
      <w:r>
        <w:rPr>
          <w:rFonts w:ascii="Sakkal Majalla" w:hAnsi="Sakkal Majalla" w:cs="Sakkal Majalla"/>
          <w:sz w:val="28"/>
          <w:szCs w:val="28"/>
          <w:rtl/>
        </w:rPr>
        <w:t xml:space="preserve">Rawls, J. (1971). A Theory of Justice. Harvard University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27.  </w:t>
      </w:r>
      <w:r>
        <w:rPr>
          <w:rFonts w:ascii="Sakkal Majalla" w:hAnsi="Sakkal Majalla" w:cs="Sakkal Majalla"/>
          <w:sz w:val="28"/>
          <w:szCs w:val="28"/>
          <w:rtl/>
        </w:rPr>
        <w:t xml:space="preserve">Shadish, W., Cook, T. &amp; Campbell, D. (2002). Experimental and Quasi-Experimental Designs. Houghton Mifflin.</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28.  </w:t>
      </w:r>
      <w:r>
        <w:rPr>
          <w:rFonts w:ascii="Sakkal Majalla" w:hAnsi="Sakkal Majalla" w:cs="Sakkal Majalla"/>
          <w:sz w:val="28"/>
          <w:szCs w:val="28"/>
          <w:rtl/>
        </w:rPr>
        <w:t xml:space="preserve">Vandenberg, R. &amp; Lance, C. (2000). Measurement Invariance Literature. ORM, 3(1), 4-70.</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29.  </w:t>
      </w:r>
      <w:r>
        <w:rPr>
          <w:rFonts w:ascii="Sakkal Majalla" w:hAnsi="Sakkal Majalla" w:cs="Sakkal Majalla"/>
          <w:sz w:val="28"/>
          <w:szCs w:val="28"/>
          <w:rtl/>
        </w:rPr>
        <w:t xml:space="preserve">Vroom, V. &amp; Yetton, P. (1973). Leadership and Decision-Making. University of Pittsburgh Press.</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30.  </w:t>
      </w:r>
      <w:r>
        <w:rPr>
          <w:rFonts w:ascii="Sakkal Majalla" w:hAnsi="Sakkal Majalla" w:cs="Sakkal Majalla"/>
          <w:sz w:val="28"/>
          <w:szCs w:val="28"/>
          <w:rtl/>
        </w:rPr>
        <w:t xml:space="preserve">Yin, R. (2018). Case Study Research and Applications (6th ed.). Sage.</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31.  </w:t>
      </w:r>
      <w:r>
        <w:rPr>
          <w:rFonts w:ascii="Sakkal Majalla" w:hAnsi="Sakkal Majalla" w:cs="Sakkal Majalla"/>
          <w:sz w:val="28"/>
          <w:szCs w:val="28"/>
          <w:rtl/>
        </w:rPr>
        <w:t xml:space="preserve">ابن الصلاح، عثمان بن عبد الرحمن (ت.643ه). مقدمة ابن الصلاح في علوم الحديث.</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32.  </w:t>
      </w:r>
      <w:r>
        <w:rPr>
          <w:rFonts w:ascii="Sakkal Majalla" w:hAnsi="Sakkal Majalla" w:cs="Sakkal Majalla"/>
          <w:sz w:val="28"/>
          <w:szCs w:val="28"/>
          <w:rtl/>
        </w:rPr>
        <w:t xml:space="preserve">ابن فارس، أحمد (ت.395ه). مقاييس اللغة.</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33.  </w:t>
      </w:r>
      <w:r>
        <w:rPr>
          <w:rFonts w:ascii="Sakkal Majalla" w:hAnsi="Sakkal Majalla" w:cs="Sakkal Majalla"/>
          <w:sz w:val="28"/>
          <w:szCs w:val="28"/>
          <w:rtl/>
        </w:rPr>
        <w:t xml:space="preserve">ابن عاشور، محمد الطاهر (ت.1393ه). التحرير والتنوير.</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34.  </w:t>
      </w:r>
      <w:r>
        <w:rPr>
          <w:rFonts w:ascii="Sakkal Majalla" w:hAnsi="Sakkal Majalla" w:cs="Sakkal Majalla"/>
          <w:sz w:val="28"/>
          <w:szCs w:val="28"/>
          <w:rtl/>
        </w:rPr>
        <w:t xml:space="preserve">الترمذي، محمد بن عيسى (ت.279ه). سنن الترمذي.</w:t>
      </w:r>
    </w:p>
    <w:p w:rsidR="005C0A79" w:rsidRPr="00B832F2" w:rsidRDefault="005C0A79" w:rsidP="00BF2B0D">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35.  </w:t>
      </w:r>
      <w:r>
        <w:rPr>
          <w:rFonts w:ascii="Sakkal Majalla" w:hAnsi="Sakkal Majalla" w:cs="Sakkal Majalla"/>
          <w:sz w:val="28"/>
          <w:szCs w:val="28"/>
          <w:rtl/>
        </w:rPr>
        <w:t xml:space="preserve">أبو داود، سليمان بن الأشعث (ت.275ه). سنن أبي داود.</w:t>
      </w:r>
    </w:p>
    <w:p w:rsidR="005C0A79" w:rsidRPr="00B832F2" w:rsidRDefault="005C0A79" w:rsidP="005C0A79">
      <w:pPr>
        <w:bidi/>
        <w:spacing w:after="42"/>
        <w:ind w:right="380"/>
        <w:rPr>
          <w:rFonts w:ascii="Sakkal Majalla" w:hAnsi="Sakkal Majalla" w:cs="Sakkal Majalla"/>
          <w:sz w:val="28"/>
          <w:szCs w:val="28"/>
        </w:rPr>
      </w:pPr>
      <w:r>
        <w:rPr>
          <w:rFonts w:ascii="Sakkal Majalla" w:hAnsi="Sakkal Majalla" w:cs="Sakkal Majalla"/>
          <w:b/>
          <w:bCs/>
          <w:color w:val="156082"/>
          <w:sz w:val="28"/>
          <w:szCs w:val="28"/>
        </w:rPr>
        <w:t xml:space="preserve">36.  </w:t>
      </w:r>
      <w:r>
        <w:rPr>
          <w:rFonts w:ascii="Sakkal Majalla" w:hAnsi="Sakkal Majalla" w:cs="Sakkal Majalla"/>
          <w:sz w:val="28"/>
          <w:szCs w:val="28"/>
          <w:rtl/>
        </w:rPr>
        <w:t xml:space="preserve">ابن ماجه، محمد بن يزيد (ت.273ه). سنن ابن ماجه.</w:t>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