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 w:before="12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8B6914"/>
          <w:sz w:val="28"/>
          <w:szCs w:val="28"/>
        </w:rPr>
        <w:t xml:space="preserve">موسوعة الإدارة القرآنية</w:t>
      </w:r>
    </w:p>
    <w:p>
      <w:pPr>
        <w:bidi/>
        <w:spacing w:after="120" w:before="12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28"/>
          <w:szCs w:val="28"/>
        </w:rPr>
        <w:t xml:space="preserve">الكتاب الثالث</w:t>
      </w:r>
    </w:p>
    <w:p>
      <w:pPr>
        <w:bidi/>
        <w:spacing w:after="120" w:before="12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28"/>
          <w:szCs w:val="28"/>
        </w:rPr>
        <w:t xml:space="preserve">الدليل العملي المرافق</w:t>
      </w:r>
    </w:p>
    <w:p>
      <w:pPr>
        <w:bidi/>
        <w:spacing w:after="120" w:before="120" w:line="34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i w:val="false"/>
          <w:iCs w:val="false"/>
          <w:color w:val="2E7D42"/>
          <w:sz w:val="28"/>
          <w:szCs w:val="28"/>
        </w:rPr>
        <w:t xml:space="preserve">م. وليد عبدالله حواله</w:t>
      </w:r>
    </w:p>
    <w:p>
      <w:pPr>
        <w:bidi/>
        <w:spacing w:after="120" w:before="120" w:line="34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i w:val="false"/>
          <w:iCs w:val="false"/>
          <w:color w:val="1A1A1A"/>
          <w:sz w:val="28"/>
          <w:szCs w:val="28"/>
        </w:rPr>
        <w:t xml:space="preserve">يضم هذا الدليل المواد التعليمية والعملية التي فُصلت عن الكتاب الثالث عند اختصاره: مخرجات التعلم والتمارين لكل فصل، وما نُقل من نماذج وأدوات مفصّلة. وهو يُستعمل مع الكتاب ولا يغني عنه.</w:t>
      </w:r>
    </w:p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الأول</w:t>
      </w:r>
    </w:p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القسم الثاني عشر: مخرجات التعلم (CLOs)</w:t>
      </w:r>
    </w:p>
    <w:tbl>
      <w:tblPr>
        <w:bidiVisual/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1000"/>
      </w:tblGrid>
      <w:tr>
        <w:tc>
          <w:tcPr>
            <w:tcW w:type="dxa" w:w="10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رقم CLO</w:t>
            </w:r>
          </w:p>
        </w:tc>
        <w:tc>
          <w:tcPr>
            <w:tcW w:type="dxa" w:w="30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مخرج التعلم</w:t>
            </w:r>
          </w:p>
        </w:tc>
        <w:tc>
          <w:tcPr>
            <w:tcW w:type="dxa" w:w="14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مستوى بلوم</w:t>
            </w:r>
          </w:p>
        </w:tc>
      </w:tr>
      <w:tr>
        <w:tc>
          <w:tcPr>
            <w:tcW w:type="dxa" w:w="1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1.1</w:t>
            </w:r>
          </w:p>
        </w:tc>
        <w:tc>
          <w:tcPr>
            <w:tcW w:type="dxa" w:w="3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يُميِّز الطالب بين معايير النجاح الغربية والقرآنية في قطاع بعينه</w:t>
            </w:r>
          </w:p>
        </w:tc>
        <w:tc>
          <w:tcPr>
            <w:tcW w:type="dxa" w:w="1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 (Bloom 4)</w:t>
            </w:r>
          </w:p>
        </w:tc>
      </w:tr>
      <w:tr>
        <w:tc>
          <w:tcPr>
            <w:tcW w:type="dxa" w:w="1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1.2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يطبّق الطالب فحص الاستعداد الأولي على مؤسسة قطاعية ويحدد فجواتها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 (Bloom 5)</w:t>
            </w:r>
          </w:p>
        </w:tc>
      </w:tr>
      <w:tr>
        <w:tc>
          <w:tcPr>
            <w:tcW w:type="dxa" w:w="1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1.3</w:t>
            </w:r>
          </w:p>
        </w:tc>
        <w:tc>
          <w:tcPr>
            <w:tcW w:type="dxa" w:w="3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يقيّم الطالب قرارات قطاعية باختبارات الفعالية والأخلاق والشرعية (الأداة الرابعة)</w:t>
            </w:r>
          </w:p>
        </w:tc>
        <w:tc>
          <w:tcPr>
            <w:tcW w:type="dxa" w:w="1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(Bloom 6)</w:t>
            </w:r>
          </w:p>
        </w:tc>
      </w:tr>
      <w:tr>
        <w:tc>
          <w:tcPr>
            <w:tcW w:type="dxa" w:w="1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1.4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يُصيغ الطالب رسالة مؤسسية قطاعية وفق العناصر الثلاثة للقطاع قرآنياً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 (Bloom 5)</w:t>
            </w:r>
          </w:p>
        </w:tc>
      </w:tr>
      <w:tr>
        <w:tc>
          <w:tcPr>
            <w:tcW w:type="dxa" w:w="1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1.5</w:t>
            </w:r>
          </w:p>
        </w:tc>
        <w:tc>
          <w:tcPr>
            <w:tcW w:type="dxa" w:w="3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يطبّق الطالب سلم الاشتقاق القطاعي على آية واحدة حتى مستوى بناء الأداة</w:t>
            </w:r>
          </w:p>
        </w:tc>
        <w:tc>
          <w:tcPr>
            <w:tcW w:type="dxa" w:w="1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(Bloom 3)</w:t>
            </w:r>
          </w:p>
        </w:tc>
      </w:tr>
    </w:tbl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الثاني</w:t>
      </w:r>
    </w:p>
    <w:p>
      <w:pPr>
        <w:bidi/>
        <w:spacing w:after="120" w:before="20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2E7D42"/>
          <w:sz w:val="30"/>
          <w:szCs w:val="30"/>
        </w:rPr>
        <w:t xml:space="preserve">مخرجات التعلم (CLOs)</w:t>
      </w:r>
    </w:p>
    <w:tbl>
      <w:tblPr>
        <w:bidiVisual/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840"/>
        <w:gridCol w:w="2500"/>
      </w:tblGrid>
      <w:tr>
        <w:tc>
          <w:tcPr>
            <w:tcW w:type="dxa" w:w="9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الرمز</w:t>
            </w:r>
          </w:p>
        </w:tc>
        <w:tc>
          <w:tcPr>
            <w:tcW w:type="dxa" w:w="584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المخرج</w:t>
            </w:r>
          </w:p>
        </w:tc>
        <w:tc>
          <w:tcPr>
            <w:tcW w:type="dxa" w:w="25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المستوى</w:t>
            </w:r>
          </w:p>
        </w:tc>
      </w:tr>
      <w:tr>
        <w:tc>
          <w:tcPr>
            <w:tcW w:type="dxa" w:w="9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</w:t>
            </w:r>
          </w:p>
        </w:tc>
        <w:tc>
          <w:tcPr>
            <w:tcW w:type="dxa" w:w="58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يشرح المبدأ القرآني لقياس النضج المؤسسي مستنداً إلى آية الحشر:١٨</w:t>
            </w:r>
          </w:p>
        </w:tc>
        <w:tc>
          <w:tcPr>
            <w:tcW w:type="dxa" w:w="25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فهم — بلوم ٢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CLO2</w:t>
            </w:r>
          </w:p>
        </w:tc>
        <w:tc>
          <w:tcPr>
            <w:tcW w:type="dxa" w:w="58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يطبّق أداة QSRM على مؤسسة قطاعية حقيقية أو افتراضية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— بلوم ٣</w:t>
            </w:r>
          </w:p>
        </w:tc>
      </w:tr>
      <w:tr>
        <w:tc>
          <w:tcPr>
            <w:tcW w:type="dxa" w:w="9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CLO3</w:t>
            </w:r>
          </w:p>
        </w:tc>
        <w:tc>
          <w:tcPr>
            <w:tcW w:type="dxa" w:w="58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يحلّل نتائج المحاور الخمسة ويحدّد أولويات التطوير</w:t>
            </w:r>
          </w:p>
        </w:tc>
        <w:tc>
          <w:tcPr>
            <w:tcW w:type="dxa" w:w="25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 — بلوم ٤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CLO4</w:t>
            </w:r>
          </w:p>
        </w:tc>
        <w:tc>
          <w:tcPr>
            <w:tcW w:type="dxa" w:w="58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يصمّم خارطة انتقال مخصَّصة بناءً على مستوى النضج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 — بلوم ٥</w:t>
            </w:r>
          </w:p>
        </w:tc>
      </w:tr>
      <w:tr>
        <w:tc>
          <w:tcPr>
            <w:tcW w:type="dxa" w:w="9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CLO5</w:t>
            </w:r>
          </w:p>
        </w:tc>
        <w:tc>
          <w:tcPr>
            <w:tcW w:type="dxa" w:w="58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يقارن بين QSRM وأدوات الجودة الدولية مع بيان الفروق الجوهرية</w:t>
            </w:r>
          </w:p>
        </w:tc>
        <w:tc>
          <w:tcPr>
            <w:tcW w:type="dxa" w:w="25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— بلوم ٦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CLO6</w:t>
            </w:r>
          </w:p>
        </w:tc>
        <w:tc>
          <w:tcPr>
            <w:tcW w:type="dxa" w:w="58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يستخرج من آية الحشر ١٨ أساس قياس النضج بتسلسل الاستنباط من الآية إلى الأداة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 — بلوم ٤</w:t>
            </w:r>
          </w:p>
        </w:tc>
      </w:tr>
      <w:tr>
        <w:tc>
          <w:tcPr>
            <w:tcW w:type="dxa" w:w="9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CLO7</w:t>
            </w:r>
          </w:p>
        </w:tc>
        <w:tc>
          <w:tcPr>
            <w:tcW w:type="dxa" w:w="58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يعدّ تقرير تشخيص مؤسسي متكاملاً وفق منهجية QSRM</w:t>
            </w:r>
          </w:p>
        </w:tc>
        <w:tc>
          <w:tcPr>
            <w:tcW w:type="dxa" w:w="25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 — بلوم ٥</w:t>
            </w:r>
          </w:p>
        </w:tc>
      </w:tr>
    </w:tbl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الثالث</w:t>
      </w:r>
    </w:p>
    <w:p>
      <w:pPr>
        <w:bidi/>
        <w:spacing w:after="120" w:before="20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2E7D42"/>
          <w:sz w:val="30"/>
          <w:szCs w:val="30"/>
        </w:rPr>
        <w:t xml:space="preserve">مخرجات التعلم (CLOs)</w:t>
      </w:r>
    </w:p>
    <w:tbl>
      <w:tblPr>
        <w:bidiVisual/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840"/>
        <w:gridCol w:w="2500"/>
      </w:tblGrid>
      <w:tr>
        <w:tc>
          <w:tcPr>
            <w:tcW w:type="dxa" w:w="9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الرمز</w:t>
            </w:r>
          </w:p>
        </w:tc>
        <w:tc>
          <w:tcPr>
            <w:tcW w:type="dxa" w:w="584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المخرج</w:t>
            </w:r>
          </w:p>
        </w:tc>
        <w:tc>
          <w:tcPr>
            <w:tcW w:type="dxa" w:w="25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المستوى</w:t>
            </w:r>
          </w:p>
        </w:tc>
      </w:tr>
      <w:tr>
        <w:tc>
          <w:tcPr>
            <w:tcW w:type="dxa" w:w="9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</w:t>
            </w:r>
          </w:p>
        </w:tc>
        <w:tc>
          <w:tcPr>
            <w:tcW w:type="dxa" w:w="58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يستنبط فلسفة التعليم القرآني من آية البقرة:٣١ بالسلّم الاشتقاقي</w:t>
            </w:r>
          </w:p>
        </w:tc>
        <w:tc>
          <w:tcPr>
            <w:tcW w:type="dxa" w:w="25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فهم / تحليل — بلوم ٢-٤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CLO2</w:t>
            </w:r>
          </w:p>
        </w:tc>
        <w:tc>
          <w:tcPr>
            <w:tcW w:type="dxa" w:w="58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يقارن بين النماذج التعليمية التاريخية الإسلامية ونظيراتها المعاصرة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— بلوم ٦</w:t>
            </w:r>
          </w:p>
        </w:tc>
      </w:tr>
      <w:tr>
        <w:tc>
          <w:tcPr>
            <w:tcW w:type="dxa" w:w="9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CLO3</w:t>
            </w:r>
          </w:p>
        </w:tc>
        <w:tc>
          <w:tcPr>
            <w:tcW w:type="dxa" w:w="58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يُشخِّص مؤسسته التعليمية بمكوّنات QMF الثمانية ومقياس QSRM</w:t>
            </w:r>
          </w:p>
        </w:tc>
        <w:tc>
          <w:tcPr>
            <w:tcW w:type="dxa" w:w="25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— بلوم ٣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CLO4</w:t>
            </w:r>
          </w:p>
        </w:tc>
        <w:tc>
          <w:tcPr>
            <w:tcW w:type="dxa" w:w="58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يُصمِّم مسار تطوير لمؤسسة تعليمية نحو النموذج القرآني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 — بلوم ٥</w:t>
            </w:r>
          </w:p>
        </w:tc>
      </w:tr>
      <w:tr>
        <w:tc>
          <w:tcPr>
            <w:tcW w:type="dxa" w:w="9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CLO5</w:t>
            </w:r>
          </w:p>
        </w:tc>
        <w:tc>
          <w:tcPr>
            <w:tcW w:type="dxa" w:w="58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يُطوِّر أدوات تقييم تقيس الاستخلاف والأمانة جنباً إلى جنب مع المعرفة</w:t>
            </w:r>
          </w:p>
        </w:tc>
        <w:tc>
          <w:tcPr>
            <w:tcW w:type="dxa" w:w="25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 — بلوم ٥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CLO6</w:t>
            </w:r>
          </w:p>
        </w:tc>
        <w:tc>
          <w:tcPr>
            <w:tcW w:type="dxa" w:w="58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يُحلِّل أسباب التحديات الست الخاصة بالقطاع التعليمي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 — بلوم ٤</w:t>
            </w:r>
          </w:p>
        </w:tc>
      </w:tr>
      <w:tr>
        <w:tc>
          <w:tcPr>
            <w:tcW w:type="dxa" w:w="9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CLO7</w:t>
            </w:r>
          </w:p>
        </w:tc>
        <w:tc>
          <w:tcPr>
            <w:tcW w:type="dxa" w:w="58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يُقيِّم أثر المؤسسة التعليمية القرآنية في قياس الاستخلاف</w:t>
            </w:r>
          </w:p>
        </w:tc>
        <w:tc>
          <w:tcPr>
            <w:tcW w:type="dxa" w:w="25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— بلوم ٦</w:t>
            </w:r>
          </w:p>
        </w:tc>
      </w:tr>
      <w:tr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CLO8</w:t>
            </w:r>
          </w:p>
        </w:tc>
        <w:tc>
          <w:tcPr>
            <w:tcW w:type="dxa" w:w="58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يُعدّ ميثاقاً مؤسسياً تعليمياً يربط الغاية بالأداء والمحاسبة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 — بلوم ٥</w:t>
            </w:r>
          </w:p>
        </w:tc>
      </w:tr>
    </w:tbl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الرابع</w:t>
      </w:r>
    </w:p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عاشرًا: مخرجات التعلم الثمانية — CLOs</w:t>
      </w:r>
    </w:p>
    <w:tbl>
      <w:tblPr>
        <w:bidiVisual/>
        <w:tblW w:type="dxa" w:w="10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00"/>
        <w:gridCol w:w="1400"/>
        <w:gridCol w:w="4040"/>
      </w:tblGrid>
      <w:tr>
        <w:tc>
          <w:tcPr>
            <w:tcW w:type="dxa" w:w="12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CLO</w:t>
            </w:r>
          </w:p>
        </w:tc>
        <w:tc>
          <w:tcPr>
            <w:tcW w:type="dxa" w:w="40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المخرج</w:t>
            </w:r>
          </w:p>
        </w:tc>
        <w:tc>
          <w:tcPr>
            <w:tcW w:type="dxa" w:w="14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مستوى بلوم</w:t>
            </w:r>
          </w:p>
        </w:tc>
        <w:tc>
          <w:tcPr>
            <w:tcW w:type="dxa" w:w="404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دليل الإتقان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4.1</w:t>
            </w:r>
          </w:p>
        </w:tc>
        <w:tc>
          <w:tcPr>
            <w:tcW w:type="dxa" w:w="4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يُعرِّف مثلث التعليم القرآني (المعلِّم + الطالب + المنهج) ويُوضِّح طبيعة العلاقة بينهم</w:t>
            </w:r>
          </w:p>
        </w:tc>
        <w:tc>
          <w:tcPr>
            <w:tcW w:type="dxa" w:w="1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تذكُّر وفهم</w:t>
            </w:r>
          </w:p>
        </w:tc>
        <w:tc>
          <w:tcPr>
            <w:tcW w:type="dxa" w:w="40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يرسم المثلث ويشرح طبيعة كل رأس ويصف علاقتها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4.2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يحلّل آية الجمعة: ٢ لغويًا ودلاليًا ويحدد موقع نتائجها من سلم الاشتقاق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</w:t>
            </w:r>
          </w:p>
        </w:tc>
        <w:tc>
          <w:tcPr>
            <w:tcW w:type="dxa" w:w="40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ورقة تحليلية للآية تربط نتائجها بمستويات السلم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4.3</w:t>
            </w:r>
          </w:p>
        </w:tc>
        <w:tc>
          <w:tcPr>
            <w:tcW w:type="dxa" w:w="4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يُميِّز بين المعلِّم كموظف والمعلِّم كمُستخلَف ويُحدِّد أثر كل نموذج على الطالب والمنهج</w:t>
            </w:r>
          </w:p>
        </w:tc>
        <w:tc>
          <w:tcPr>
            <w:tcW w:type="dxa" w:w="1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</w:t>
            </w:r>
          </w:p>
        </w:tc>
        <w:tc>
          <w:tcPr>
            <w:tcW w:type="dxa" w:w="40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دراسة حالة تقارن بين نموذجين مختلفين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4.4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يُصمِّم برنامجًا مُبسَّطًا لتطوير معلِّم باستخدام البروتوكول الخماسي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تصميم وتطبيق</w:t>
            </w:r>
          </w:p>
        </w:tc>
        <w:tc>
          <w:tcPr>
            <w:tcW w:type="dxa" w:w="40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مسودة برنامج تطوير لمعلِّم افتراضي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4.5</w:t>
            </w:r>
          </w:p>
        </w:tc>
        <w:tc>
          <w:tcPr>
            <w:tcW w:type="dxa" w:w="4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يُطبِّق المعايير الأربعة لتقييم منهج قائم ويُحدِّد ثغراته</w:t>
            </w:r>
          </w:p>
        </w:tc>
        <w:tc>
          <w:tcPr>
            <w:tcW w:type="dxa" w:w="1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وتقييم</w:t>
            </w:r>
          </w:p>
        </w:tc>
        <w:tc>
          <w:tcPr>
            <w:tcW w:type="dxa" w:w="40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تقرير تشخيصي لمنهج حقيقي أو نموذج محاكاة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4.6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يصمّم خطة استجابة لطالب ضعيف بأداة التشخيص الأكاديمي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تصميم</w:t>
            </w:r>
          </w:p>
        </w:tc>
        <w:tc>
          <w:tcPr>
            <w:tcW w:type="dxa" w:w="40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خطة مكتوبة تتضمن التشخيص والتدخّل والمتابعة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4.7</w:t>
            </w:r>
          </w:p>
        </w:tc>
        <w:tc>
          <w:tcPr>
            <w:tcW w:type="dxa" w:w="4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يُقيِّم مستوى التناسق المؤسسي في مؤسسة تعليمية باستخدام مؤشر التناسق (الأداة العاشرة)</w:t>
            </w:r>
          </w:p>
        </w:tc>
        <w:tc>
          <w:tcPr>
            <w:tcW w:type="dxa" w:w="1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نقدي</w:t>
            </w:r>
          </w:p>
        </w:tc>
        <w:tc>
          <w:tcPr>
            <w:tcW w:type="dxa" w:w="40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تقرير تناسق مؤسسي لمؤسسة معروفة أو افتراضية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4.8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يبني خارطة تحوّل مؤسسية لمؤسسة تعليمية تُريد الانتقال إلى مثلث الاستخلاف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إبداع وتصميم</w:t>
            </w:r>
          </w:p>
        </w:tc>
        <w:tc>
          <w:tcPr>
            <w:tcW w:type="dxa" w:w="40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خارطة تحوّل شاملة مع مؤشرات وجدول زمني</w:t>
            </w:r>
          </w:p>
        </w:tc>
      </w:tr>
    </w:tbl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الخامس</w:t>
      </w:r>
    </w:p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٢. مخرجات التعلم المستهدفة</w:t>
      </w:r>
    </w:p>
    <w:tbl>
      <w:tblPr>
        <w:bidiVisual/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000"/>
        <w:gridCol w:w="1600"/>
      </w:tblGrid>
      <w:tr>
        <w:tc>
          <w:tcPr>
            <w:tcW w:type="dxa" w:w="12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CLO</w:t>
            </w:r>
          </w:p>
        </w:tc>
        <w:tc>
          <w:tcPr>
            <w:tcW w:type="dxa" w:w="60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مخرج التعلم</w:t>
            </w:r>
          </w:p>
        </w:tc>
        <w:tc>
          <w:tcPr>
            <w:tcW w:type="dxa" w:w="16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مستوى بلوم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5.1</w:t>
            </w:r>
          </w:p>
        </w:tc>
        <w:tc>
          <w:tcPr>
            <w:tcW w:type="dxa" w:w="6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الأطر التقليدية لقياس التعلم في ضوء المعايير القرآنية</w:t>
            </w:r>
          </w:p>
        </w:tc>
        <w:tc>
          <w:tcPr>
            <w:tcW w:type="dxa" w:w="16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5.2</w:t>
            </w:r>
          </w:p>
        </w:tc>
        <w:tc>
          <w:tcPr>
            <w:tcW w:type="dxa" w:w="6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 الفجوة بين مخرجات القياس الحالية والمقاصد التعليمية القرآنية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5.3</w:t>
            </w:r>
          </w:p>
        </w:tc>
        <w:tc>
          <w:tcPr>
            <w:tcW w:type="dxa" w:w="6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نموذج QIMP في مؤسسة تعليمية قائمة</w:t>
            </w:r>
          </w:p>
        </w:tc>
        <w:tc>
          <w:tcPr>
            <w:tcW w:type="dxa" w:w="16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5.4</w:t>
            </w:r>
          </w:p>
        </w:tc>
        <w:tc>
          <w:tcPr>
            <w:tcW w:type="dxa" w:w="6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فهم المستويات الثلاثة للقياس: المعرفي والقيمي والحضاري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فهم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5.5</w:t>
            </w:r>
          </w:p>
        </w:tc>
        <w:tc>
          <w:tcPr>
            <w:tcW w:type="dxa" w:w="6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أدوات القياس الثماني الواردة في هذا الفصل</w:t>
            </w:r>
          </w:p>
        </w:tc>
        <w:tc>
          <w:tcPr>
            <w:tcW w:type="dxa" w:w="16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5.6</w:t>
            </w:r>
          </w:p>
        </w:tc>
        <w:tc>
          <w:tcPr>
            <w:tcW w:type="dxa" w:w="6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نماذج الاعتماد الدولية وتحديد نقاط الافتراق والالتقاء القرآني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5.7</w:t>
            </w:r>
          </w:p>
        </w:tc>
        <w:tc>
          <w:tcPr>
            <w:tcW w:type="dxa" w:w="6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 إطار قياس مؤسسي متكامل يدمج الأبعاد الثلاثة</w:t>
            </w:r>
          </w:p>
        </w:tc>
        <w:tc>
          <w:tcPr>
            <w:tcW w:type="dxa" w:w="16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5.8</w:t>
            </w:r>
          </w:p>
        </w:tc>
        <w:tc>
          <w:tcPr>
            <w:tcW w:type="dxa" w:w="6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ميثاق القياس العشري في السياق المؤسسي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</w:t>
            </w:r>
          </w:p>
        </w:tc>
      </w:tr>
    </w:tbl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السادس</w:t>
      </w:r>
    </w:p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٢. مخرجات التعلم المستهدفة</w:t>
      </w:r>
    </w:p>
    <w:tbl>
      <w:tblPr>
        <w:bidiVisual/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000"/>
        <w:gridCol w:w="1600"/>
      </w:tblGrid>
      <w:tr>
        <w:tc>
          <w:tcPr>
            <w:tcW w:type="dxa" w:w="12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CLO</w:t>
            </w:r>
          </w:p>
        </w:tc>
        <w:tc>
          <w:tcPr>
            <w:tcW w:type="dxa" w:w="60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مخرج التعلم</w:t>
            </w:r>
          </w:p>
        </w:tc>
        <w:tc>
          <w:tcPr>
            <w:tcW w:type="dxa" w:w="16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مستوى بلوم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6.1</w:t>
            </w:r>
          </w:p>
        </w:tc>
        <w:tc>
          <w:tcPr>
            <w:tcW w:type="dxa" w:w="6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تذكّر الأركان الثلاثة للمستشفى القرآني وربطها بالمصادر النصية</w:t>
            </w:r>
          </w:p>
        </w:tc>
        <w:tc>
          <w:tcPr>
            <w:tcW w:type="dxa" w:w="16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تذكر / فهم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6.2</w:t>
            </w:r>
          </w:p>
        </w:tc>
        <w:tc>
          <w:tcPr>
            <w:tcW w:type="dxa" w:w="6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 الفجوة بين معايير JCI ومعايير QIMP الصحية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6.3</w:t>
            </w:r>
          </w:p>
        </w:tc>
        <w:tc>
          <w:tcPr>
            <w:tcW w:type="dxa" w:w="6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نموذج QIMP-6 في تشخيص مؤسسة صحية قائمة</w:t>
            </w:r>
          </w:p>
        </w:tc>
        <w:tc>
          <w:tcPr>
            <w:tcW w:type="dxa" w:w="16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6.4</w:t>
            </w:r>
          </w:p>
        </w:tc>
        <w:tc>
          <w:tcPr>
            <w:tcW w:type="dxa" w:w="6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نماذج الرعاية الصحية الإسلامية التاريخية واستخلاص دروسها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6.5</w:t>
            </w:r>
          </w:p>
        </w:tc>
        <w:tc>
          <w:tcPr>
            <w:tcW w:type="dxa" w:w="6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تصميم بروتوكول خدمة مرضى يُجسّد قيم الرحمة والكرامة</w:t>
            </w:r>
          </w:p>
        </w:tc>
        <w:tc>
          <w:tcPr>
            <w:tcW w:type="dxa" w:w="16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6.6</w:t>
            </w:r>
          </w:p>
        </w:tc>
        <w:tc>
          <w:tcPr>
            <w:tcW w:type="dxa" w:w="6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الأدوات العشر لإدارة المستشفى القرآني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6.7</w:t>
            </w:r>
          </w:p>
        </w:tc>
        <w:tc>
          <w:tcPr>
            <w:tcW w:type="dxa" w:w="6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بناء لوحة قيادة مؤسسية صحية تدمج المؤشرات المادية والقيمية</w:t>
            </w:r>
          </w:p>
        </w:tc>
        <w:tc>
          <w:tcPr>
            <w:tcW w:type="dxa" w:w="16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6.8</w:t>
            </w:r>
          </w:p>
        </w:tc>
        <w:tc>
          <w:tcPr>
            <w:tcW w:type="dxa" w:w="6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نقد نماذج إدارة المستشفيات الدولية من منظور الاستخلاف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نقد</w:t>
            </w:r>
          </w:p>
        </w:tc>
      </w:tr>
    </w:tbl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السابع</w:t>
      </w:r>
    </w:p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٢. مخرجات التعلم المستهدفة</w:t>
      </w:r>
    </w:p>
    <w:tbl>
      <w:tblPr>
        <w:bidiVisual/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000"/>
        <w:gridCol w:w="1600"/>
      </w:tblGrid>
      <w:tr>
        <w:tc>
          <w:tcPr>
            <w:tcW w:type="dxa" w:w="12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الرمز</w:t>
            </w:r>
          </w:p>
        </w:tc>
        <w:tc>
          <w:tcPr>
            <w:tcW w:type="dxa" w:w="60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مخرج التعلم</w:t>
            </w:r>
          </w:p>
        </w:tc>
        <w:tc>
          <w:tcPr>
            <w:tcW w:type="dxa" w:w="16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مستوى بلوم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7.1</w:t>
            </w:r>
          </w:p>
        </w:tc>
        <w:tc>
          <w:tcPr>
            <w:tcW w:type="dxa" w:w="6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يشرح الفرق بين نماذج القرار الطبي المعاصرة وإطار القرار القرآني القائم على الشورى والحكمة والأمانة</w:t>
            </w:r>
          </w:p>
        </w:tc>
        <w:tc>
          <w:tcPr>
            <w:tcW w:type="dxa" w:w="16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التفسير — Understand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7.2</w:t>
            </w:r>
          </w:p>
        </w:tc>
        <w:tc>
          <w:tcPr>
            <w:tcW w:type="dxa" w:w="6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يحلّل مشتقات الجذر «حكم» في القرآن ويستخلص منها مبادئ للقرار المؤسسي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التحليل — Analyze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7.3</w:t>
            </w:r>
          </w:p>
        </w:tc>
        <w:tc>
          <w:tcPr>
            <w:tcW w:type="dxa" w:w="6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يُطبِّق نموذج الشورى السريرية الثلاثي في بيئات القرار الطبي الفعلية</w:t>
            </w:r>
          </w:p>
        </w:tc>
        <w:tc>
          <w:tcPr>
            <w:tcW w:type="dxa" w:w="16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التطبيق — Apply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7.4</w:t>
            </w:r>
          </w:p>
        </w:tc>
        <w:tc>
          <w:tcPr>
            <w:tcW w:type="dxa" w:w="6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يُقيِّم قرارات طبية معقدة باستخدام مصفوفة المصالح والمفاسد الإسلامية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التقويم — Evaluate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7.5</w:t>
            </w:r>
          </w:p>
        </w:tc>
        <w:tc>
          <w:tcPr>
            <w:tcW w:type="dxa" w:w="6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يصمم بروتوكول موافقة مستنيرة إسلامي متوافق مع أخلاقيات الطب ومقاصد الشريعة</w:t>
            </w:r>
          </w:p>
        </w:tc>
        <w:tc>
          <w:tcPr>
            <w:tcW w:type="dxa" w:w="16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التصميم — Create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7.6</w:t>
            </w:r>
          </w:p>
        </w:tc>
        <w:tc>
          <w:tcPr>
            <w:tcW w:type="dxa" w:w="6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يُميِّز الحالات التي يستوجب فيها القرار الطبي إحالةً للجنة الأخلاقيات وفق المعايير الإسلامية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التحليل (Analyze)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7.7</w:t>
            </w:r>
          </w:p>
        </w:tc>
        <w:tc>
          <w:tcPr>
            <w:tcW w:type="dxa" w:w="6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يُقارن تجارب القرار الطبي في تراث الطب الإسلامي بمعايير bioethics المعاصرة (Beauchamp &amp; Childress)</w:t>
            </w:r>
          </w:p>
        </w:tc>
        <w:tc>
          <w:tcPr>
            <w:tcW w:type="dxa" w:w="16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التقويم (Evaluate)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 7.8</w:t>
            </w:r>
          </w:p>
        </w:tc>
        <w:tc>
          <w:tcPr>
            <w:tcW w:type="dxa" w:w="6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يبني خطة تطوير لجنة أخلاقيات طبية مؤسسية في ضوء الإطار القرآني للإدارة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البناء — Create</w:t>
            </w:r>
          </w:p>
        </w:tc>
      </w:tr>
    </w:tbl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الثامن</w:t>
      </w:r>
    </w:p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 المستهدفة</w:t>
      </w:r>
    </w:p>
    <w:p>
      <w:pPr>
        <w:bidi/>
        <w:spacing w:after="120" w:before="120" w:line="34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i w:val="false"/>
          <w:iCs w:val="false"/>
          <w:color w:val="1A1A1A"/>
          <w:sz w:val="28"/>
          <w:szCs w:val="28"/>
        </w:rPr>
        <w:t xml:space="preserve">بعد إتمام هذا الفصل، يكون القارئ قادراً على:</w:t>
      </w:r>
    </w:p>
    <w:tbl>
      <w:tblPr>
        <w:bidiVisual/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800"/>
        <w:gridCol w:w="1800"/>
      </w:tblGrid>
      <w:tr>
        <w:tc>
          <w:tcPr>
            <w:tcW w:type="dxa" w:w="12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CLO</w:t>
            </w:r>
          </w:p>
        </w:tc>
        <w:tc>
          <w:tcPr>
            <w:tcW w:type="dxa" w:w="58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مخرج التعلم</w:t>
            </w:r>
          </w:p>
        </w:tc>
        <w:tc>
          <w:tcPr>
            <w:tcW w:type="dxa" w:w="18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مستوى بلوم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CLO8.1</w:t>
            </w:r>
          </w:p>
        </w:tc>
        <w:tc>
          <w:tcPr>
            <w:tcW w:type="dxa" w:w="5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 فلسفة الميزان القرآني وعلاقتها بمنظومات القياس الصحي الحديثة</w:t>
            </w:r>
          </w:p>
        </w:tc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التحليل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CLO8.2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استخراج مبادئ القياس من مشتقات الجذر «وزن» في القرآن وربطها بمؤشرات الأداء الصحي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الاستخراج / التطبيق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CLO8.3</w:t>
            </w:r>
          </w:p>
        </w:tc>
        <w:tc>
          <w:tcPr>
            <w:tcW w:type="dxa" w:w="5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الأركان الثلاثة لإطار QMF الصحي في تصميم منظومة قياس الأثر</w:t>
            </w:r>
          </w:p>
        </w:tc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التطبيق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CLO8.4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مقارنة معايير WHO وJCI وISO 9001 بإطار QMF الصحي على محاور محددة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المقارنة / التقييم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CLO8.5</w:t>
            </w:r>
          </w:p>
        </w:tc>
        <w:tc>
          <w:tcPr>
            <w:tcW w:type="dxa" w:w="5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الحالات الدراسية الخمس باستخدام أدوات الفصل وتحديد الفجوات</w:t>
            </w:r>
          </w:p>
        </w:tc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التقييم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CLO8.6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تصميم لوحة قياس صحية إسلامية (HDB-Q) بمؤشرات قابلة للاختبار والتحقق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التصميم / الإبداع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CLO8.7</w:t>
            </w:r>
          </w:p>
        </w:tc>
        <w:tc>
          <w:tcPr>
            <w:tcW w:type="dxa" w:w="5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الدفاع عن مبدأ المساءلة التحسينية في مواجهة الاعتراضات المؤسسية الشائعة</w:t>
            </w:r>
          </w:p>
        </w:tc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التقييم / التحليل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CLO8.8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بناء خريطة لتطبيق ميثاق القياس الصحي في اثني عشر شهرًا في مستشفى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التوليف / الإبداع</w:t>
            </w:r>
          </w:p>
        </w:tc>
      </w:tr>
    </w:tbl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التاسع</w:t>
      </w:r>
    </w:p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٢. مخرجات التعلم — CLOs الفصل التاسع</w:t>
      </w:r>
    </w:p>
    <w:tbl>
      <w:tblPr>
        <w:bidiVisual/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200"/>
        <w:gridCol w:w="1400"/>
      </w:tblGrid>
      <w:tr>
        <w:tc>
          <w:tcPr>
            <w:tcW w:type="dxa" w:w="12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رمز CLO</w:t>
            </w:r>
          </w:p>
        </w:tc>
        <w:tc>
          <w:tcPr>
            <w:tcW w:type="dxa" w:w="62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مخرج التعلم</w:t>
            </w:r>
          </w:p>
        </w:tc>
        <w:tc>
          <w:tcPr>
            <w:tcW w:type="dxa" w:w="14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مستوى بلوم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CLO9.1</w:t>
            </w:r>
          </w:p>
        </w:tc>
        <w:tc>
          <w:tcPr>
            <w:tcW w:type="dxa" w:w="6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 مفهوم الإحسان في الصنع قرآنياً وربطه بالنظريات الحديثة للجودة الإنتاجية</w:t>
            </w:r>
          </w:p>
        </w:tc>
        <w:tc>
          <w:tcPr>
            <w:tcW w:type="dxa" w:w="1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التحليل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CLO9.2</w:t>
            </w:r>
          </w:p>
        </w:tc>
        <w:tc>
          <w:tcPr>
            <w:tcW w:type="dxa" w:w="6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استخراج سبعة مفاهيم من جذر (صَنَعَ) وتطبيقها على السياقات الصناعية المعاصرة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الاستخراج / التطبيق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CLO9.3</w:t>
            </w:r>
          </w:p>
        </w:tc>
        <w:tc>
          <w:tcPr>
            <w:tcW w:type="dxa" w:w="6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أركان إطار QMF-9 الثلاثة في تصميم نموذج جودة للمؤسسة الصناعية</w:t>
            </w:r>
          </w:p>
        </w:tc>
        <w:tc>
          <w:tcPr>
            <w:tcW w:type="dxa" w:w="1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التطبيق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CLO9.4</w:t>
            </w:r>
          </w:p>
        </w:tc>
        <w:tc>
          <w:tcPr>
            <w:tcW w:type="dxa" w:w="6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مقارنة ISO 9001 وLean Six Sigma وشهادة الحلال بإطار QMF-9 على محاور منهجية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المقارنة / التقييم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CLO9.5</w:t>
            </w:r>
          </w:p>
        </w:tc>
        <w:tc>
          <w:tcPr>
            <w:tcW w:type="dxa" w:w="6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خمس حالات دراسية صناعية باستخدام أدوات الفصل وتحديد الفجوات والفرص</w:t>
            </w:r>
          </w:p>
        </w:tc>
        <w:tc>
          <w:tcPr>
            <w:tcW w:type="dxa" w:w="1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التقييم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CLO9.6</w:t>
            </w:r>
          </w:p>
        </w:tc>
        <w:tc>
          <w:tcPr>
            <w:tcW w:type="dxa" w:w="6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تصميم بروتوكول لحقوق العامل القرآني (QWR) في بيئة تصنيعية محددة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التصميم / الإبداع</w:t>
            </w:r>
          </w:p>
        </w:tc>
      </w:tr>
      <w:tr>
        <w:tc>
          <w:tcPr>
            <w:tcW w:type="dxa" w:w="1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CLO9.7</w:t>
            </w:r>
          </w:p>
        </w:tc>
        <w:tc>
          <w:tcPr>
            <w:tcW w:type="dxa" w:w="6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الدفاع عن الإحسان الإنتاجي في مواجهة ثمانية اعتراضات مؤسسية وتنافسية</w:t>
            </w:r>
          </w:p>
        </w:tc>
        <w:tc>
          <w:tcPr>
            <w:tcW w:type="dxa" w:w="1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التقييم / التحليل</w:t>
            </w:r>
          </w:p>
        </w:tc>
      </w:tr>
      <w:t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CLO9.8</w:t>
            </w:r>
          </w:p>
        </w:tc>
        <w:tc>
          <w:tcPr>
            <w:tcW w:type="dxa" w:w="6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بناء خارطة تطبيق ميثاق الإحسان الصناعي (12 شهراً) في مؤسسة إنتاجية حقيقية</w:t>
            </w:r>
          </w:p>
        </w:tc>
        <w:tc>
          <w:tcPr>
            <w:tcW w:type="dxa" w:w="1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التوليف / الإبداع</w:t>
            </w:r>
          </w:p>
        </w:tc>
      </w:tr>
    </w:tbl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العاشر</w:t>
      </w:r>
    </w:p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٢ — مخرجات التعلم (CLOs) الفصل العاشر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0"/>
        <w:gridCol w:w="2000"/>
      </w:tblGrid>
      <w:tr>
        <w:tc>
          <w:tcPr>
            <w:tcW w:type="dxa" w:w="20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رمز المخرج</w:t>
            </w:r>
          </w:p>
        </w:tc>
        <w:tc>
          <w:tcPr>
            <w:tcW w:type="dxa" w:w="50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مخرج التعلم</w:t>
            </w:r>
          </w:p>
        </w:tc>
        <w:tc>
          <w:tcPr>
            <w:tcW w:type="dxa" w:w="20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المستوى (بلوم)</w:t>
            </w:r>
          </w:p>
        </w:tc>
      </w:tr>
      <w:tr>
        <w:tc>
          <w:tcPr>
            <w:tcW w:type="dxa" w:w="2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CLO10.1</w:t>
            </w:r>
          </w:p>
        </w:tc>
        <w:tc>
          <w:tcPr>
            <w:tcW w:type="dxa" w:w="5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استرجاع الآيات القرآنية المؤسِّسة للتعامل المالي وتصنيف أنواع العقود المالية الإسلامية الأربعة الكبرى</w:t>
            </w:r>
          </w:p>
        </w:tc>
        <w:tc>
          <w:tcPr>
            <w:tcW w:type="dxa" w:w="2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تذكُّر ومعرفة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CLO10.2</w:t>
            </w:r>
          </w:p>
        </w:tc>
        <w:tc>
          <w:tcPr>
            <w:tcW w:type="dxa" w:w="5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شرح الفرق بين تحريم الربا وتحليل البيع وتوضيح المنطق القرآني في هذا التمييز بلغة مفهومة للإدارة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فهم وشرح</w:t>
            </w:r>
          </w:p>
        </w:tc>
      </w:tr>
      <w:tr>
        <w:tc>
          <w:tcPr>
            <w:tcW w:type="dxa" w:w="2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CLO10.3</w:t>
            </w:r>
          </w:p>
        </w:tc>
        <w:tc>
          <w:tcPr>
            <w:tcW w:type="dxa" w:w="5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ركائز إطار QMF-10 الخمس على منتج مالي محدد لاختبار درجة تحقيقه لمقاصد المال</w:t>
            </w:r>
          </w:p>
        </w:tc>
        <w:tc>
          <w:tcPr>
            <w:tcW w:type="dxa" w:w="2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CLO10.4</w:t>
            </w:r>
          </w:p>
        </w:tc>
        <w:tc>
          <w:tcPr>
            <w:tcW w:type="dxa" w:w="5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 هيكل المرابحة البنكية السائدة وتمييز الفارق بين المرابحة الحقيقية والمرابحة الشكلية بمعايير قابلة للقياس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</w:t>
            </w:r>
          </w:p>
        </w:tc>
      </w:tr>
      <w:tr>
        <w:tc>
          <w:tcPr>
            <w:tcW w:type="dxa" w:w="2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CLO10.5</w:t>
            </w:r>
          </w:p>
        </w:tc>
        <w:tc>
          <w:tcPr>
            <w:tcW w:type="dxa" w:w="5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مؤسسة مالية إسلامية بركائز QMF-10 الخمس وإصدار حكم إداري مسبَّب على درجة التزامها الفعلي</w:t>
            </w:r>
          </w:p>
        </w:tc>
        <w:tc>
          <w:tcPr>
            <w:tcW w:type="dxa" w:w="2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CLO10.6</w:t>
            </w:r>
          </w:p>
        </w:tc>
        <w:tc>
          <w:tcPr>
            <w:tcW w:type="dxa" w:w="5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تصميم منتج مالي جديد ينبع من مقاصد المال القرآنية ويتجاوز حدود المرابحة نحو المشاركة الحقيقية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 وابتكار</w:t>
            </w:r>
          </w:p>
        </w:tc>
      </w:tr>
      <w:tr>
        <w:tc>
          <w:tcPr>
            <w:tcW w:type="dxa" w:w="2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CLO10.7</w:t>
            </w:r>
          </w:p>
        </w:tc>
        <w:tc>
          <w:tcPr>
            <w:tcW w:type="dxa" w:w="5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توظيف أدوات القيادة الاستراتيجية وريادة الأعمال والإدارة في تقييم المؤسسات المالية الإسلامية وقرارات تطويرها</w:t>
            </w:r>
          </w:p>
        </w:tc>
        <w:tc>
          <w:tcPr>
            <w:tcW w:type="dxa" w:w="2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تكامل مع الأدوات الإدارية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CLO10.8</w:t>
            </w:r>
          </w:p>
        </w:tc>
        <w:tc>
          <w:tcPr>
            <w:tcW w:type="dxa" w:w="5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قيادة حوار علمي منضبط حول الإصلاح المالي الإسلامي مع ذكر الحجج المضادة بأمانة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قيادة وتغيير</w:t>
            </w:r>
          </w:p>
        </w:tc>
      </w:tr>
    </w:tbl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الحادي عشر</w:t>
      </w:r>
    </w:p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٢ — مخرجات التعلم (CLOs)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2200"/>
      </w:tblGrid>
      <w:tr>
        <w:tc>
          <w:tcPr>
            <w:tcW w:type="dxa" w:w="22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رمز CLO</w:t>
            </w:r>
          </w:p>
        </w:tc>
        <w:tc>
          <w:tcPr>
            <w:tcW w:type="dxa" w:w="50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مخرج التعلم</w:t>
            </w:r>
          </w:p>
        </w:tc>
        <w:tc>
          <w:tcPr>
            <w:tcW w:type="dxa" w:w="18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مستوى بلوم</w:t>
            </w:r>
          </w:p>
        </w:tc>
      </w:tr>
      <w:tr>
        <w:tc>
          <w:tcPr>
            <w:tcW w:type="dxa" w:w="2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CLO11.1</w:t>
            </w:r>
          </w:p>
        </w:tc>
        <w:tc>
          <w:tcPr>
            <w:tcW w:type="dxa" w:w="5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شرح الفرق بين الحلال والطيب والخير في السياق الاستثماري القرآني</w:t>
            </w:r>
          </w:p>
        </w:tc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تذكُّر + فهم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CLO11.2</w:t>
            </w:r>
          </w:p>
        </w:tc>
        <w:tc>
          <w:tcPr>
            <w:tcW w:type="dxa" w:w="5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تصنيف أي استثمار على سُلَّم الثلاث درجات القرآنية باستخدام معايير محددة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</w:t>
            </w:r>
          </w:p>
        </w:tc>
      </w:tr>
      <w:tr>
        <w:tc>
          <w:tcPr>
            <w:tcW w:type="dxa" w:w="2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CLO11.3</w:t>
            </w:r>
          </w:p>
        </w:tc>
        <w:tc>
          <w:tcPr>
            <w:tcW w:type="dxa" w:w="5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 مؤشرات ESG وتحديد أوجه توافقها وقصورها أمام مؤشرات الاقتصاد القرآني</w:t>
            </w:r>
          </w:p>
        </w:tc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CLO11.4</w:t>
            </w:r>
          </w:p>
        </w:tc>
        <w:tc>
          <w:tcPr>
            <w:tcW w:type="dxa" w:w="5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صياغة مؤشرات قرآنية إضافية لقياس التكافل والوقف والزكاة والتوزيع العادل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 + تركيب</w:t>
            </w:r>
          </w:p>
        </w:tc>
      </w:tr>
      <w:tr>
        <w:tc>
          <w:tcPr>
            <w:tcW w:type="dxa" w:w="2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CLO11.5</w:t>
            </w:r>
          </w:p>
        </w:tc>
        <w:tc>
          <w:tcPr>
            <w:tcW w:type="dxa" w:w="5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نموذجَي الوقف والتمويل متناهي الصغر القرآني بالمقارنة مع النماذج الغربية</w:t>
            </w:r>
          </w:p>
        </w:tc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CLO11.6</w:t>
            </w:r>
          </w:p>
        </w:tc>
        <w:tc>
          <w:tcPr>
            <w:tcW w:type="dxa" w:w="5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بناء محفظة استثمار مسؤولة وفق إطار QIE (القرآني الاستثماري القطاعي)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</w:t>
            </w:r>
          </w:p>
        </w:tc>
      </w:tr>
      <w:tr>
        <w:tc>
          <w:tcPr>
            <w:tcW w:type="dxa" w:w="22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CLO11.7</w:t>
            </w:r>
          </w:p>
        </w:tc>
        <w:tc>
          <w:tcPr>
            <w:tcW w:type="dxa" w:w="50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مقياس أثر الاستثمار القرآني (QIA-Score) على حالة فعلية</w:t>
            </w:r>
          </w:p>
        </w:tc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ميداني</w:t>
            </w:r>
          </w:p>
        </w:tc>
      </w:tr>
      <w:t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CLO11.8</w:t>
            </w:r>
          </w:p>
        </w:tc>
        <w:tc>
          <w:tcPr>
            <w:tcW w:type="dxa" w:w="5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الردّ على اعتراضات المستثمرين حول التوفيق بين المسؤولية والعائد المالي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نقد وتقييم</w:t>
            </w:r>
          </w:p>
        </w:tc>
      </w:tr>
    </w:tbl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الثاني عشر</w:t>
      </w:r>
    </w:p>
    <w:p>
      <w:pPr>
        <w:bidi/>
        <w:spacing w:after="120" w:before="20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0"/>
          <w:szCs w:val="30"/>
        </w:rPr>
        <w:t xml:space="preserve">مخرجات التعلم (CLO12)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560"/>
      </w:tblGrid>
      <w:tr>
        <w:tc>
          <w:tcPr>
            <w:tcW w:type="dxa" w:w="144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الرمز</w:t>
            </w:r>
          </w:p>
        </w:tc>
        <w:tc>
          <w:tcPr>
            <w:tcW w:type="dxa" w:w="756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مخرج التعلم</w:t>
            </w:r>
          </w:p>
        </w:tc>
      </w:tr>
      <w:tr>
        <w:tc>
          <w:tcPr>
            <w:tcW w:type="dxa" w:w="14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CLO12.1</w:t>
            </w:r>
          </w:p>
        </w:tc>
        <w:tc>
          <w:tcPr>
            <w:tcW w:type="dxa" w:w="756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 مفهوم الولاية العامة في القرآن الكريم وتمييزه عن مفاهيم السيادة والسلطة في النظريات الغربية</w:t>
            </w:r>
          </w:p>
        </w:tc>
      </w:tr>
      <w:tr>
        <w:tc>
          <w:tcPr>
            <w:tcW w:type="dxa" w:w="14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CLO12.2</w:t>
            </w:r>
          </w:p>
        </w:tc>
        <w:tc>
          <w:tcPr>
            <w:tcW w:type="dxa" w:w="7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بناء نموذج QGAM ذي الأبعاد الثمانية وتطبيقه على مؤسسة حكومية محددة</w:t>
            </w:r>
          </w:p>
        </w:tc>
      </w:tr>
      <w:tr>
        <w:tc>
          <w:tcPr>
            <w:tcW w:type="dxa" w:w="14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CLO12.3</w:t>
            </w:r>
          </w:p>
        </w:tc>
        <w:tc>
          <w:tcPr>
            <w:tcW w:type="dxa" w:w="756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تصميم آليات الشورى الحكومية على المستويين الداخلي والعام</w:t>
            </w:r>
          </w:p>
        </w:tc>
      </w:tr>
      <w:tr>
        <w:tc>
          <w:tcPr>
            <w:tcW w:type="dxa" w:w="14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CLO12.4</w:t>
            </w:r>
          </w:p>
        </w:tc>
        <w:tc>
          <w:tcPr>
            <w:tcW w:type="dxa" w:w="7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تطوير منظومة مساءلة تتجاوز مؤشرات الأداء إلى قياس الأثر الاجتماعي</w:t>
            </w:r>
          </w:p>
        </w:tc>
      </w:tr>
      <w:tr>
        <w:tc>
          <w:tcPr>
            <w:tcW w:type="dxa" w:w="14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CLO12.5</w:t>
            </w:r>
          </w:p>
        </w:tc>
        <w:tc>
          <w:tcPr>
            <w:tcW w:type="dxa" w:w="756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توظيف دروس النماذج التاريخية الإسلامية في إصلاح مؤسسات معاصرة</w:t>
            </w:r>
          </w:p>
        </w:tc>
      </w:tr>
      <w:tr>
        <w:tc>
          <w:tcPr>
            <w:tcW w:type="dxa" w:w="14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CLO12.6</w:t>
            </w:r>
          </w:p>
        </w:tc>
        <w:tc>
          <w:tcPr>
            <w:tcW w:type="dxa" w:w="7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السياسات الحكومية وفق مبدأ ولاية الضعيف واختبار مآلاتها</w:t>
            </w:r>
          </w:p>
        </w:tc>
      </w:tr>
      <w:tr>
        <w:tc>
          <w:tcPr>
            <w:tcW w:type="dxa" w:w="14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CLO12.7</w:t>
            </w:r>
          </w:p>
        </w:tc>
        <w:tc>
          <w:tcPr>
            <w:tcW w:type="dxa" w:w="756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صياغة ميثاق مؤسسي عشري يُترجم قيم الحوكمة القرآنية إلى التزامات قابلة للقياس</w:t>
            </w:r>
          </w:p>
        </w:tc>
      </w:tr>
      <w:tr>
        <w:tc>
          <w:tcPr>
            <w:tcW w:type="dxa" w:w="14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CLO12.8</w:t>
            </w:r>
          </w:p>
        </w:tc>
        <w:tc>
          <w:tcPr>
            <w:tcW w:type="dxa" w:w="7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قيادة مسار إصلاح مؤسسي اثني عشر شهرًا وفق خريطة الطريق التطبيقية</w:t>
            </w:r>
          </w:p>
        </w:tc>
      </w:tr>
    </w:tbl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الثالث عشر</w:t>
      </w:r>
    </w:p>
    <w:p>
      <w:pPr>
        <w:bidi/>
        <w:spacing w:after="120" w:before="20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0"/>
          <w:szCs w:val="30"/>
        </w:rPr>
        <w:t xml:space="preserve">مخرجات التعلم (CLO13)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560"/>
      </w:tblGrid>
      <w:tr>
        <w:tc>
          <w:tcPr>
            <w:tcW w:type="dxa" w:w="144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الرمز</w:t>
            </w:r>
          </w:p>
        </w:tc>
        <w:tc>
          <w:tcPr>
            <w:tcW w:type="dxa" w:w="756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مخرج التعلم</w:t>
            </w:r>
          </w:p>
        </w:tc>
      </w:tr>
      <w:tr>
        <w:tc>
          <w:tcPr>
            <w:tcW w:type="dxa" w:w="14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CLO13.1</w:t>
            </w:r>
          </w:p>
        </w:tc>
        <w:tc>
          <w:tcPr>
            <w:tcW w:type="dxa" w:w="756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تحديد العناصر الثابتة والمتغيِّرة في الإطار القرآني للإدارة عبر القطاعات الخمسة</w:t>
            </w:r>
          </w:p>
        </w:tc>
      </w:tr>
      <w:tr>
        <w:tc>
          <w:tcPr>
            <w:tcW w:type="dxa" w:w="14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CLO13.2</w:t>
            </w:r>
          </w:p>
        </w:tc>
        <w:tc>
          <w:tcPr>
            <w:tcW w:type="dxa" w:w="7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تطبيق مصفوفة المبادئ الثمانية × القطاعات الخمسة لتشخيص الفجوات في أي مؤسسة</w:t>
            </w:r>
          </w:p>
        </w:tc>
      </w:tr>
      <w:tr>
        <w:tc>
          <w:tcPr>
            <w:tcW w:type="dxa" w:w="14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CLO13.3</w:t>
            </w:r>
          </w:p>
        </w:tc>
        <w:tc>
          <w:tcPr>
            <w:tcW w:type="dxa" w:w="756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تمييز الثابت العقدي من المتغيِّر السياقي في قرارات الإدارة المؤسسية</w:t>
            </w:r>
          </w:p>
        </w:tc>
      </w:tr>
      <w:tr>
        <w:tc>
          <w:tcPr>
            <w:tcW w:type="dxa" w:w="14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CLO13.4</w:t>
            </w:r>
          </w:p>
        </w:tc>
        <w:tc>
          <w:tcPr>
            <w:tcW w:type="dxa" w:w="7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تصميم آليات الشورى الملائمة لخصوصية كل قطاع</w:t>
            </w:r>
          </w:p>
        </w:tc>
      </w:tr>
      <w:tr>
        <w:tc>
          <w:tcPr>
            <w:tcW w:type="dxa" w:w="14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CLO13.5</w:t>
            </w:r>
          </w:p>
        </w:tc>
        <w:tc>
          <w:tcPr>
            <w:tcW w:type="dxa" w:w="756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 الأدوار الاستراتيجية للمهارات الثماني في سياق المقارنة القطاعية</w:t>
            </w:r>
          </w:p>
        </w:tc>
      </w:tr>
      <w:tr>
        <w:tc>
          <w:tcPr>
            <w:tcW w:type="dxa" w:w="14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CLO13.6</w:t>
            </w:r>
          </w:p>
        </w:tc>
        <w:tc>
          <w:tcPr>
            <w:tcW w:type="dxa" w:w="7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رصد الفجوات البحثية وتحديد أسئلة البحث المفتوحة في الإدارة القرآنية</w:t>
            </w:r>
          </w:p>
        </w:tc>
      </w:tr>
      <w:tr>
        <w:tc>
          <w:tcPr>
            <w:tcW w:type="dxa" w:w="144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CLO13.7</w:t>
            </w:r>
          </w:p>
        </w:tc>
        <w:tc>
          <w:tcPr>
            <w:tcW w:type="dxa" w:w="756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صياغة فرضيات قابلة للاختبار حول اختلاف تطبيق QMF بين القطاعات</w:t>
            </w:r>
          </w:p>
        </w:tc>
      </w:tr>
    </w:tbl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مخرجات التعلم: الفصل الرابع عشر</w:t>
      </w:r>
    </w:p>
    <w:p>
      <w:pPr>
        <w:pBdr>
          <w:bottom w:val="single" w:color="1A5C2A" w:sz="6"/>
        </w:pBdr>
        <w:bidi/>
        <w:spacing w:after="160" w:before="280" w:line="340"/>
        <w:jc w:val="right"/>
      </w:pPr>
      <w:r>
        <w:rPr>
          <w:rFonts w:ascii="Traditional Arabic" w:cs="Traditional Arabic" w:eastAsia="Traditional Arabic" w:hAnsi="Traditional Arabic"/>
          <w:b/>
          <w:bCs/>
          <w:i w:val="false"/>
          <w:iCs w:val="false"/>
          <w:color w:val="1A5C2A"/>
          <w:sz w:val="34"/>
          <w:szCs w:val="34"/>
        </w:rPr>
        <w:t xml:space="preserve">ثانياً: المخرجات التعليمية — CLOs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400"/>
        <w:gridCol w:w="1800"/>
      </w:tblGrid>
      <w:tr>
        <w:tc>
          <w:tcPr>
            <w:tcW w:type="dxa" w:w="18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الرمز</w:t>
            </w:r>
          </w:p>
        </w:tc>
        <w:tc>
          <w:tcPr>
            <w:tcW w:type="dxa" w:w="54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المخرج التعليمي</w:t>
            </w:r>
          </w:p>
        </w:tc>
        <w:tc>
          <w:tcPr>
            <w:tcW w:type="dxa" w:w="1800"/>
            <w:shd w:fill="1A5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مستوى بلوم</w:t>
            </w:r>
          </w:p>
        </w:tc>
      </w:tr>
      <w:tr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CLO14.1</w:t>
            </w:r>
          </w:p>
        </w:tc>
        <w:tc>
          <w:tcPr>
            <w:tcW w:type="dxa" w:w="5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يُلخِّص المسيرة التراكمية للكتب الثلاثة في خريطة ذهنية متكاملة تربط النص بالنظرية بالميدان</w:t>
            </w:r>
          </w:p>
        </w:tc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تركيب</w:t>
            </w:r>
          </w:p>
        </w:tc>
      </w:tr>
      <w:t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CLO14.2</w:t>
            </w:r>
          </w:p>
        </w:tc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يُحلِّل خمس مفاجآت ميدانية لم تتنبَّأ بها النظرية ويستخرج منها توصيات للتطوير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تحليل</w:t>
            </w:r>
          </w:p>
        </w:tc>
      </w:tr>
      <w:tr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CLO14.3</w:t>
            </w:r>
          </w:p>
        </w:tc>
        <w:tc>
          <w:tcPr>
            <w:tcW w:type="dxa" w:w="5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يُقيِّم حدود QMF المكتشَفة بمعيار الأمانة العلمية دون تهوين أو مبالغة</w:t>
            </w:r>
          </w:p>
        </w:tc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تقييم</w:t>
            </w:r>
          </w:p>
        </w:tc>
      </w:tr>
      <w:t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CLO14.4</w:t>
            </w:r>
          </w:p>
        </w:tc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يُصوِّر العلاقة بين اليقيني القرآني والبيان النبوي كمصدرين متكاملين لبناء نظرية إدارية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فهم نقدي</w:t>
            </w:r>
          </w:p>
        </w:tc>
      </w:tr>
      <w:tr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CLO14.5</w:t>
            </w:r>
          </w:p>
        </w:tc>
        <w:tc>
          <w:tcPr>
            <w:tcW w:type="dxa" w:w="54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يصوغ سؤالاً بحثياً أصيلاً من بين الأسئلة الأحد عشرة المطروحة ويضع خطته المبدئية</w:t>
            </w:r>
          </w:p>
        </w:tc>
        <w:tc>
          <w:tcPr>
            <w:tcW w:type="dxa" w:w="1800"/>
            <w:shd w:fill="D6ED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إبداع</w:t>
            </w:r>
          </w:p>
        </w:tc>
      </w:tr>
      <w:t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CLO14.6</w:t>
            </w:r>
          </w:p>
        </w:tc>
        <w:tc>
          <w:tcPr>
            <w:tcW w:type="dxa" w:w="5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يرسم هيكلاً مقترحاً للكتاب الرابع مع تبرير اختياراته البنيوية بمنطق الموسوعة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center"/>
            </w:pPr>
            <w:r>
              <w:rPr>
                <w:rFonts w:ascii="Traditional Arabic" w:cs="Traditional Arabic" w:eastAsia="Traditional Arabic" w:hAnsi="Traditional Arabic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تصميم</w:t>
            </w:r>
          </w:p>
        </w:tc>
      </w:tr>
    </w:tbl>
    <w:sectPr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eastAsia="Traditional Arabic" w:hAnsi="Traditional Arabic"/>
        <w:color w:val="1A1A1A"/>
        <w:sz w:val="28"/>
        <w:szCs w:val="28"/>
      </w:rPr>
    </w:rPrDefault>
    <w:pPrDefault>
      <w:pPr>
        <w:bidi/>
        <w:jc w:val="righ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الإدارة التعليمية القرآنية — الكتاب الثالث</dc:title>
  <dc:creator>مشروع الإدارة القرآنية</dc:creator>
  <dc:description>الكتاب الثالث في سلسلة الإدارة القرآنية — خمسة فصول متكاملة</dc:description>
  <cp:lastModifiedBy>Un-named</cp:lastModifiedBy>
  <cp:revision>1</cp:revision>
  <dcterms:created xsi:type="dcterms:W3CDTF">2026-10-04T04:36:45.201Z</dcterms:created>
  <dcterms:modified xsi:type="dcterms:W3CDTF">2026-10-04T04:36:45.206Z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