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40"/>
      </w:pPr>
      <w:r>
        <w:rPr>
          <w:rFonts w:ascii="Traditional Arabic" w:cs="Traditional Arabic" w:eastAsia="Traditional Arabic" w:hAnsi="Traditional Arabic"/>
          <w:b/>
          <w:bCs/>
          <w:i w:val="false"/>
          <w:iCs w:val="false"/>
          <w:color w:val="8B6914"/>
          <w:sz w:val="28"/>
          <w:szCs w:val="28"/>
        </w:rPr>
        <w:t xml:space="preserve">موسوعة الإدارة القرآنية</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الكتاب الثالث</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الدليل العملي المرافق</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م. وليد عبدالله حواله</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في هذا الدليل مخرجات التعلم التي فُصلت عن الكتاب الثالث حين اختُصر، جدول لكل فصل. يُقرأ مع الكتاب ولا يغني عنه. لكل مخرج رمز يدل على فصله، ومستوى من تصنيف بلوم المعدّل: L1 معرفة، وL2 فهم، وL3 تطبيق، وL4 تحليل، وL5 تقويم، وL6 تركيب. والأرقام بين القوسين أقسام الكتاب التي يقوم عليها المخرج.</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الأول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1"/>
        <w:gridCol w:w="5360"/>
        <w:gridCol w:w="1787"/>
      </w:tblGrid>
      <w:tr>
        <w:tc>
          <w:tcPr>
            <w:tcW w:type="dxa" w:w="178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53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25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1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يفرّق بين معايير النجاح الغربية ومعاييره القرآنية في قطاع بعينه (1.2–1.3)</w:t>
            </w:r>
          </w:p>
        </w:tc>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1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يطبّق بطاقة الفحص الأولي للاستعداد على مؤسسة قطاعية، ويحدد فجواتها (1.6)</w:t>
            </w:r>
          </w:p>
        </w:tc>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قرارات قطاعية بسلسلة فحص القرار القطاعي (الأداة الرابعة)</w:t>
            </w:r>
          </w:p>
        </w:tc>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يصوغ رسالة مؤسسية لقطاعه على العناصر الثلاثة لتعريف القطاع قرآنيًا (1.3)</w:t>
            </w:r>
          </w:p>
        </w:tc>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1.5</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يحمل آية واحدة على سلم الاشتقاق القطاعي حتى مستوى بناء الأداة (1.8)</w:t>
            </w:r>
          </w:p>
        </w:tc>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الثاني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6098"/>
        <w:gridCol w:w="2610"/>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609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26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2.1</w:t>
            </w:r>
          </w:p>
        </w:tc>
        <w:tc>
          <w:tcPr>
            <w:tcW w:type="dxa" w:w="609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يشرح المبدأ القرآني لقياس النضج المؤسسي انطلاقًا من آية الحشر: ١٨ (2.1)</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2.2</w:t>
            </w:r>
          </w:p>
        </w:tc>
        <w:tc>
          <w:tcPr>
            <w:tcW w:type="dxa" w:w="609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يطبّق مقياس QSRM على مؤسسة قطاعية حقيقية أو افتراضية (2.3)</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2.3</w:t>
            </w:r>
          </w:p>
        </w:tc>
        <w:tc>
          <w:tcPr>
            <w:tcW w:type="dxa" w:w="609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يقرأ نتائج المحاور الخمسة، ويرتّب منها أولويات التطوير</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2.4</w:t>
            </w:r>
          </w:p>
        </w:tc>
        <w:tc>
          <w:tcPr>
            <w:tcW w:type="dxa" w:w="609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يرسم خارطة انتقال تناسب مستوى نضج المؤسسة (2.4)</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2.5</w:t>
            </w:r>
          </w:p>
        </w:tc>
        <w:tc>
          <w:tcPr>
            <w:tcW w:type="dxa" w:w="609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يوازن بين QSRM وأدوات الجودة الدولية، ويبيّن الفروق الجوهرية</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2.6</w:t>
            </w:r>
          </w:p>
        </w:tc>
        <w:tc>
          <w:tcPr>
            <w:tcW w:type="dxa" w:w="609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يتتبع الاستنباط من آية الحشر: ١٨ إلى أداة القياس خطوةً خطوة (2.2)</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2.7</w:t>
            </w:r>
          </w:p>
        </w:tc>
        <w:tc>
          <w:tcPr>
            <w:tcW w:type="dxa" w:w="609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يعدّ تقرير تشخيص مؤسسي متكاملًا بمنهجية QSRM (2.5)</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الثالث</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6098"/>
        <w:gridCol w:w="2610"/>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609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26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3.1</w:t>
            </w:r>
          </w:p>
        </w:tc>
        <w:tc>
          <w:tcPr>
            <w:tcW w:type="dxa" w:w="609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يستنبط فلسفة التعليم القرآني من آية البقرة: ٣١ عبر سلم الاشتقاق (3.1)</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وتحليل L2–L4</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3.2</w:t>
            </w:r>
          </w:p>
        </w:tc>
        <w:tc>
          <w:tcPr>
            <w:tcW w:type="dxa" w:w="609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يقارن نماذج التعليم في التاريخ الإسلامي بنظيراتها المعاصرة (3.3)</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3.3</w:t>
            </w:r>
          </w:p>
        </w:tc>
        <w:tc>
          <w:tcPr>
            <w:tcW w:type="dxa" w:w="609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يشخّص مؤسسته التعليمية بمكوّنات QMF الثمانية ومقياس QSRM (3.4)</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3.4</w:t>
            </w:r>
          </w:p>
        </w:tc>
        <w:tc>
          <w:tcPr>
            <w:tcW w:type="dxa" w:w="609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مسار تطوير ينقل مؤسسة تعليمية نحو النموذج القرآني</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3.5</w:t>
            </w:r>
          </w:p>
        </w:tc>
        <w:tc>
          <w:tcPr>
            <w:tcW w:type="dxa" w:w="609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يطوّر أدوات تقييم تقيس الاستخلاف والأمانة إلى جانب المعرفة (3.8)</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3.6</w:t>
            </w:r>
          </w:p>
        </w:tc>
        <w:tc>
          <w:tcPr>
            <w:tcW w:type="dxa" w:w="609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أسباب العثرات التي تعترض المؤسسة التعليمية (3.5)</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3.7</w:t>
            </w:r>
          </w:p>
        </w:tc>
        <w:tc>
          <w:tcPr>
            <w:tcW w:type="dxa" w:w="609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أثر المؤسسة التعليمية القرآنية بمؤشرات الاستخلاف</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3.8</w:t>
            </w:r>
          </w:p>
        </w:tc>
        <w:tc>
          <w:tcPr>
            <w:tcW w:type="dxa" w:w="609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يعدّ ميثاقًا تعليميًا يربط الغاية بالأداء والمحاسبة (3.9)</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الرابع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8"/>
        <w:gridCol w:w="3627"/>
        <w:gridCol w:w="1269"/>
        <w:gridCol w:w="3664"/>
      </w:tblGrid>
      <w:tr>
        <w:tc>
          <w:tcPr>
            <w:tcW w:type="dxa" w:w="10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362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126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366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دليل الإتقان</w:t>
            </w:r>
          </w:p>
        </w:tc>
      </w:tr>
      <w:tr>
        <w:tc>
          <w:tcPr>
            <w:tcW w:type="dxa" w:w="10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4.1</w:t>
            </w:r>
          </w:p>
        </w:tc>
        <w:tc>
          <w:tcPr>
            <w:tcW w:type="dxa" w:w="3627"/>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يعرّف مثلث التعليم القرآني (المعلّم والطالب والمنهج)، ويبيّن العلاقة بين أضلاعه</w:t>
            </w:r>
          </w:p>
        </w:tc>
        <w:tc>
          <w:tcPr>
            <w:tcW w:type="dxa" w:w="12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وفهم L1–L2</w:t>
            </w:r>
          </w:p>
        </w:tc>
        <w:tc>
          <w:tcPr>
            <w:tcW w:type="dxa" w:w="3663"/>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يرسم المثلث ويشرح كل رأس وعلاقته بغيره</w:t>
            </w:r>
          </w:p>
        </w:tc>
      </w:tr>
      <w:tr>
        <w:tc>
          <w:tcPr>
            <w:tcW w:type="dxa" w:w="1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4.2</w:t>
            </w:r>
          </w:p>
        </w:tc>
        <w:tc>
          <w:tcPr>
            <w:tcW w:type="dxa" w:w="3627"/>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آية الجمعة: ٢ لغويًا ودلاليًا، ويضع نتائجها على سلم الاشتقاق (4.2)</w:t>
            </w:r>
          </w:p>
        </w:tc>
        <w:tc>
          <w:tcPr>
            <w:tcW w:type="dxa" w:w="12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c>
          <w:tcPr>
            <w:tcW w:type="dxa" w:w="3663"/>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ورقة تحليلية تربط نتائج الآية بمستويات السلم</w:t>
            </w:r>
          </w:p>
        </w:tc>
      </w:tr>
      <w:tr>
        <w:tc>
          <w:tcPr>
            <w:tcW w:type="dxa" w:w="10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4.3</w:t>
            </w:r>
          </w:p>
        </w:tc>
        <w:tc>
          <w:tcPr>
            <w:tcW w:type="dxa" w:w="3627"/>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يميّز المعلّم موظفًا من المعلّم مستخلَفًا، ويحدد أثر كلٍّ منهما في الطالب والمنهج (4.3)</w:t>
            </w:r>
          </w:p>
        </w:tc>
        <w:tc>
          <w:tcPr>
            <w:tcW w:type="dxa" w:w="12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c>
          <w:tcPr>
            <w:tcW w:type="dxa" w:w="366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دراسة حالة تقارن بين النموذجين</w:t>
            </w:r>
          </w:p>
        </w:tc>
      </w:tr>
      <w:tr>
        <w:tc>
          <w:tcPr>
            <w:tcW w:type="dxa" w:w="1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4.4</w:t>
            </w:r>
          </w:p>
        </w:tc>
        <w:tc>
          <w:tcPr>
            <w:tcW w:type="dxa" w:w="3627"/>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برنامجًا مبسّطًا لتطوير معلّم ببروتوكول المراحل الخمس (4.4)</w:t>
            </w:r>
          </w:p>
        </w:tc>
        <w:tc>
          <w:tcPr>
            <w:tcW w:type="dxa" w:w="12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وتركيب L3–L6</w:t>
            </w:r>
          </w:p>
        </w:tc>
        <w:tc>
          <w:tcPr>
            <w:tcW w:type="dxa" w:w="366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مسودة برنامج لمعلّم افتراضي</w:t>
            </w:r>
          </w:p>
        </w:tc>
      </w:tr>
      <w:tr>
        <w:tc>
          <w:tcPr>
            <w:tcW w:type="dxa" w:w="10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4.5</w:t>
            </w:r>
          </w:p>
        </w:tc>
        <w:tc>
          <w:tcPr>
            <w:tcW w:type="dxa" w:w="3627"/>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يفحص منهجًا قائمًا بالمعايير الأربعة، ويحدد ثغراته (4.6)</w:t>
            </w:r>
          </w:p>
        </w:tc>
        <w:tc>
          <w:tcPr>
            <w:tcW w:type="dxa" w:w="12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وتقويم L3–L5</w:t>
            </w:r>
          </w:p>
        </w:tc>
        <w:tc>
          <w:tcPr>
            <w:tcW w:type="dxa" w:w="3663"/>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تقرير تشخيصي لمنهج حقيقي أو لنموذج محاكاة</w:t>
            </w:r>
          </w:p>
        </w:tc>
      </w:tr>
      <w:tr>
        <w:tc>
          <w:tcPr>
            <w:tcW w:type="dxa" w:w="1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4.6</w:t>
            </w:r>
          </w:p>
        </w:tc>
        <w:tc>
          <w:tcPr>
            <w:tcW w:type="dxa" w:w="3627"/>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يضع خطة استجابة لطالب ضعيف بأداة التشخيص الأكاديمي (الأداة الثالثة)</w:t>
            </w:r>
          </w:p>
        </w:tc>
        <w:tc>
          <w:tcPr>
            <w:tcW w:type="dxa" w:w="12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c>
          <w:tcPr>
            <w:tcW w:type="dxa" w:w="3663"/>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خطة مكتوبة: تشخيص فتدخّل فمتابعة</w:t>
            </w:r>
          </w:p>
        </w:tc>
      </w:tr>
      <w:tr>
        <w:tc>
          <w:tcPr>
            <w:tcW w:type="dxa" w:w="10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4.7</w:t>
            </w:r>
          </w:p>
        </w:tc>
        <w:tc>
          <w:tcPr>
            <w:tcW w:type="dxa" w:w="3627"/>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يقيس التناسق المؤسسي في مؤسسة تعليمية بمؤشر التناسق المؤسسي (الأداة العاشرة)</w:t>
            </w:r>
          </w:p>
        </w:tc>
        <w:tc>
          <w:tcPr>
            <w:tcW w:type="dxa" w:w="12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c>
          <w:tcPr>
            <w:tcW w:type="dxa" w:w="3663"/>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تقرير تناسق لمؤسسة معروفة أو افتراضية</w:t>
            </w:r>
          </w:p>
        </w:tc>
      </w:tr>
      <w:tr>
        <w:tc>
          <w:tcPr>
            <w:tcW w:type="dxa" w:w="1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4.8</w:t>
            </w:r>
          </w:p>
        </w:tc>
        <w:tc>
          <w:tcPr>
            <w:tcW w:type="dxa" w:w="3627"/>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يبني خارطة تحوّل لمؤسسة تعليمية تريد الانتقال إلى مثلث الاستخلاف (4.9)</w:t>
            </w:r>
          </w:p>
        </w:tc>
        <w:tc>
          <w:tcPr>
            <w:tcW w:type="dxa" w:w="12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c>
          <w:tcPr>
            <w:tcW w:type="dxa" w:w="3663"/>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خارطة شاملة بمؤشراتها وجدولها الزمني</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الخامس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6578"/>
        <w:gridCol w:w="1754"/>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65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17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5.1</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يقوّم الأطر التقليدية لقياس التعلم بالمعايير القرآنية</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5.2</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الفجوة بين ما تقيسه الأنظمة الحالية والمقاصد التعليمية القرآنية</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5.3</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يطبّق نموذج QIMP في مؤسسة تعليمية قائمة (5.2)</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5.4</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يشرح مستويات القياس الثلاثة: المعرفي والقيمي والحضاري (5.3–5.5)</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5.5</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يستعمل أدوات القياس الثماني (5.11)</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5.6</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نماذج الاعتماد الدولية، ويحدد مواضع التقائها بالمنظور القرآني وافتراقها عنه (5.8)</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5.7</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يركّب إطار قياس مؤسسيًا يجمع الأبعاد الثلاثة</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5.8</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ينزّل ميثاق القياس على واقع مؤسسته (5.12)</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السادس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6578"/>
        <w:gridCol w:w="1754"/>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65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17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6.1</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يذكر الأركان الثلاثة للمستشفى القرآني، ويصلها بمصادرها النصية (6.3)</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وفهم L1–L2</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6.2</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الفجوة بين معايير JCI ومؤشرات QIMP-6 (6.4)</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6.3</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يشخّص مؤسسة صحية قائمة بنموذج QIMP-6</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6.4</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يستخلص دروس الرعاية الصحية في التاريخ الإسلامي ويقوّمها (6.5)</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6.5</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بروتوكول خدمة للمرضى تتجسد فيه الرحمة والكرامة</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6.6</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يطبّق الأدوات العشر لإدارة المستشفى القرآني (6.9)</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6.7</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يبني لوحة قيادة صحية تجمع المؤشرات المادية والقيمية</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6.8</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ينقد نماذج إدارة المستشفيات الدولية من منظور الاستخلاف</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السابع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6578"/>
        <w:gridCol w:w="1754"/>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65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17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7.1</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يشرح الفرق بين نماذج القرار الطبي المعاصرة وإطار القرار القرآني القائم على الشورى والحكمة والأمانة</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7.2</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مشتقات الجذر «ح ك م» في القرآن، ويستخلص منها مبادئ للقرار المؤسسي (7.2)</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7.3</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يطبّق نموذج الشورى السريرية الثلاثي في بيئات القرار الطبي الفعلية (7.3)</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7.4</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قرارات طبية معقدة بمصفوفة المصالح والمفاسد (7.8)</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7.5</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بروتوكول موافقة مستنيرة يوافق أخلاقيات الطب ومقاصد الشريعة</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7.6</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يتبيّن الحالات التي توجب إحالة القرار الطبي إلى لجنة الأخلاقيات وفق المعايير الإسلامية</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7.7</w:t>
            </w:r>
          </w:p>
        </w:tc>
        <w:tc>
          <w:tcPr>
            <w:tcW w:type="dxa" w:w="6578"/>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يقارن تجارب القرار في تراث الطب الإسلامي بمبادئ أخلاقيات الطب الحيوي المعاصرة (Beauchamp &amp; Childress) (7.4–7.5)</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7.8</w:t>
            </w:r>
          </w:p>
        </w:tc>
        <w:tc>
          <w:tcPr>
            <w:tcW w:type="dxa" w:w="6578"/>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يبني خطة لتطوير لجنة أخلاقيات طبية على الإطار القرآني للإدارة</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الثامن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6359"/>
        <w:gridCol w:w="1973"/>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635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197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8.1</w:t>
            </w:r>
          </w:p>
        </w:tc>
        <w:tc>
          <w:tcPr>
            <w:tcW w:type="dxa" w:w="6359"/>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فلسفة الميزان القرآني وصلتها بمنظومات القياس الصحي الحديثة (8.1)</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8.2</w:t>
            </w:r>
          </w:p>
        </w:tc>
        <w:tc>
          <w:tcPr>
            <w:tcW w:type="dxa" w:w="6359"/>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يستخرج مبادئ القياس من مشتقات الجذر «و ز ن»، ويربطها بمؤشرات الأداء الصحي</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وتطبيق L3–L4</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8.3</w:t>
            </w:r>
          </w:p>
        </w:tc>
        <w:tc>
          <w:tcPr>
            <w:tcW w:type="dxa" w:w="6359"/>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يوظّف أركان QMF الثلاثة في القياس الصحي لتصميم منظومة لقياس الأثر (8.2)</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8.4</w:t>
            </w:r>
          </w:p>
        </w:tc>
        <w:tc>
          <w:tcPr>
            <w:tcW w:type="dxa" w:w="6359"/>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يقارن معايير WHO وJCI وISO 9001 بإطار QMF الصحي على محاور محددة (8.4)</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8.5</w:t>
            </w:r>
          </w:p>
        </w:tc>
        <w:tc>
          <w:tcPr>
            <w:tcW w:type="dxa" w:w="6359"/>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الحالات الأربع بأدوات القياس الصحي، ويحدد فجواتها (8.6)</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8.6</w:t>
            </w:r>
          </w:p>
        </w:tc>
        <w:tc>
          <w:tcPr>
            <w:tcW w:type="dxa" w:w="6359"/>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لوحة قياس صحية إسلامية (HDB-Q) بمؤشرات قابلة للاختبار والتحقق</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8.7</w:t>
            </w:r>
          </w:p>
        </w:tc>
        <w:tc>
          <w:tcPr>
            <w:tcW w:type="dxa" w:w="6359"/>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يدافع عن مبدأ المساءلة التحسينية أمام الاعتراضات المؤسسية الشائعة (8.7)</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8.8</w:t>
            </w:r>
          </w:p>
        </w:tc>
        <w:tc>
          <w:tcPr>
            <w:tcW w:type="dxa" w:w="6359"/>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يبني خطة اثني عشر شهرًا لتطبيق ميثاق المساءلة التحسينية في مستشفى (8.9)</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التاسع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6797"/>
        <w:gridCol w:w="1535"/>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679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153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9.1</w:t>
            </w:r>
          </w:p>
        </w:tc>
        <w:tc>
          <w:tcPr>
            <w:tcW w:type="dxa" w:w="6797"/>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مفهوم الإحسان في الصنع قرآنيًا، ويربطه بنظريات الجودة الإنتاجية الحديثة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9.2</w:t>
            </w:r>
          </w:p>
        </w:tc>
        <w:tc>
          <w:tcPr>
            <w:tcW w:type="dxa" w:w="6797"/>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يستخرج مفاهيم الحقل الاشتقاقي لجذر «ص ن ع»، وينزلها على السياقات الصناعية المعاصرة (9.1)</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وتطبيق L3–L4</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9.3</w:t>
            </w:r>
          </w:p>
        </w:tc>
        <w:tc>
          <w:tcPr>
            <w:tcW w:type="dxa" w:w="6797"/>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يوظّف أركان QMF-9 الثلاثة في تصميم نموذج جودة لمؤسسة صناعية (9.3)</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9.4</w:t>
            </w:r>
          </w:p>
        </w:tc>
        <w:tc>
          <w:tcPr>
            <w:tcW w:type="dxa" w:w="6797"/>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يقارن ISO 9001 وLean Six Sigma وشهادة الحلال بإطار QMF-9 على محاور منهجية (9.4)</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9.5</w:t>
            </w:r>
          </w:p>
        </w:tc>
        <w:tc>
          <w:tcPr>
            <w:tcW w:type="dxa" w:w="6797"/>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خمس حالات صناعية بأدوات QMF-9، ويحدد فجواتها وفرصها (9.6)</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9.6</w:t>
            </w:r>
          </w:p>
        </w:tc>
        <w:tc>
          <w:tcPr>
            <w:tcW w:type="dxa" w:w="6797"/>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بروتوكول حقوق العامل القرآني (QWR) لبيئة تصنيعية محددة</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9.7</w:t>
            </w:r>
          </w:p>
        </w:tc>
        <w:tc>
          <w:tcPr>
            <w:tcW w:type="dxa" w:w="6797"/>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يدافع عن الإحسان الإنتاجي أمام الاعتراضات المؤسسية والتنافسية (9.7)</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9.8</w:t>
            </w:r>
          </w:p>
        </w:tc>
        <w:tc>
          <w:tcPr>
            <w:tcW w:type="dxa" w:w="6797"/>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يرسم خارطة اثني عشر شهرًا لتطبيق ميثاق الإحسان الصناعي في مؤسسة إنتاجية حقيقية (9.9–9.10)</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العاشر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4"/>
        <w:gridCol w:w="5360"/>
        <w:gridCol w:w="2144"/>
      </w:tblGrid>
      <w:tr>
        <w:tc>
          <w:tcPr>
            <w:tcW w:type="dxa" w:w="21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53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21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10.1</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يسترجع الآيات المؤسِّسة للتعامل المالي، ويصنّف العقود المالية الإسلامية في أنواعها الكبرى الأربعة</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L1</w:t>
            </w:r>
          </w:p>
        </w:tc>
      </w:tr>
      <w:tr>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10.2</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يشرح بلغة الإدارة الفرق بين تحريم الربا وحلّ البيع، والمنطق القرآني في هذا التمييز (10.2)</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10.3</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يطبّق ركائز QMF-10 الخمس على منتج مالي محدد ليختبر تحقيقه لمقاصد المال (10.3)</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10.4</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هيكل المرابحة المصرفية السائدة، ويفرّق بين المرابحة الحقيقية والشكلية بمعايير قابلة للقياس</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10.5</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مؤسسة مالية إسلامية بركائز QMF-10 الخمس، ويصدر حكمًا إداريًا مسبّبًا على التزامها الفعلي (10.5)</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10.6</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منتجًا ماليًا جديدًا ينبع من مقاصد المال القرآنية، ويتجاوز المرابحة إلى المشاركة الحقيقية</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10.7</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يوظّف أدوات القيادة الاستراتيجية وريادة الأعمال والإدارة في تقييم المؤسسات المالية الإسلامية وقرارات تطويرها</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10.8</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يدير حوارًا علميًا منضبطًا في الإصلاح المالي الإسلامي، ويعرض الحجج المضادة بأمانة (10.9)</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الحادي عشر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5360"/>
        <w:gridCol w:w="2358"/>
      </w:tblGrid>
      <w:tr>
        <w:tc>
          <w:tcPr>
            <w:tcW w:type="dxa" w:w="235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53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11.1</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يشرح الفرق بين الحلال والطيب والخير في الاستثمار بالمنظور القرآني (11.2–11.3)</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وفهم L1–L2</w:t>
            </w:r>
          </w:p>
        </w:tc>
      </w:tr>
      <w:tr>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11.2</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يضع أي استثمار على سلّم الدرجات الثلاث بمعايير محددة (11.3)</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11.3</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مؤشرات ESG، ويبيّن ما يوافق منها مؤشرات الاقتصاد القرآني وما يقصر عنها (11.7)</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11.4</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يصوغ مؤشرات قرآنية تقيس التكافل والوقف والزكاة والتوزيع العادل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وتركيب L4–L6</w:t>
            </w:r>
          </w:p>
        </w:tc>
      </w:tr>
      <w:tr>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11.5</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نموذجَي الوقف والتمويل القرآني متناهي الصغر بالموازنة مع النماذج الغربية (11.5–11.6)</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11.6</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يبني محفظة استثمار مسؤولة على إطار QIE-11 (11.4)</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11.7</w:t>
            </w:r>
          </w:p>
        </w:tc>
        <w:tc>
          <w:tcPr>
            <w:tcW w:type="dxa" w:w="5360"/>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يطبّق مقياس أثر الاستثمار القرآني (QIA-Score) على حالة فعلية (11.10)</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r>
      <w:tr>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11.8</w:t>
            </w:r>
          </w:p>
        </w:tc>
        <w:tc>
          <w:tcPr>
            <w:tcW w:type="dxa" w:w="5360"/>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يردّ على اعتراضات المستثمرين في الجمع بين المسؤولية والعائد المالي (11.9)</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الثاني عشر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8104"/>
      </w:tblGrid>
      <w:tr>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 والمستوى</w:t>
            </w:r>
          </w:p>
        </w:tc>
        <w:tc>
          <w:tcPr>
            <w:tcW w:type="dxa" w:w="810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12.1</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c>
          <w:tcPr>
            <w:tcW w:type="dxa" w:w="8104"/>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مفهوم الولاية العامة في القرآن، ويميّزه من مفهومي السيادة والسلطة في النظريات الغربية (12.1)</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c>
          <w:tcPr>
            <w:tcW w:type="dxa" w:w="8104"/>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يبني نموذج QGAM بأبعاده الثمانية، ويطبّقه على مؤسسة حكومية محددة (12.4)</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c>
          <w:tcPr>
            <w:tcW w:type="dxa" w:w="8104"/>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آليات الشورى الحكومية على المستويين الداخلي والعام</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c>
          <w:tcPr>
            <w:tcW w:type="dxa" w:w="8104"/>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يطوّر منظومة مساءلة تتجاوز مؤشرات الأداء إلى قياس الأثر الاجتماعي</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12.5</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c>
          <w:tcPr>
            <w:tcW w:type="dxa" w:w="8104"/>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يستثمر دروس النماذج التاريخية الإسلامية في إصلاح مؤسسات معاصرة (12.3)</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12.6</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c>
          <w:tcPr>
            <w:tcW w:type="dxa" w:w="8104"/>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السياسات الحكومية بمبدأ ولاية الضعيف، ويختبر مآلاتها</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12.7</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c>
          <w:tcPr>
            <w:tcW w:type="dxa" w:w="8104"/>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يصوغ ميثاقًا مؤسسيًا من عشرة بنود (ميثاق الولاية) يترجم قيم الحوكمة القرآنية إلى التزامات قابلة للقياس (12.9)</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12.8</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c>
          <w:tcPr>
            <w:tcW w:type="dxa" w:w="8104"/>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يقود مسار إصلاح مؤسسي مدته اثنا عشر شهرًا وفق خارطة الطريق (12.9)</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الثالث عشر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8104"/>
      </w:tblGrid>
      <w:tr>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 والمستوى</w:t>
            </w:r>
          </w:p>
        </w:tc>
        <w:tc>
          <w:tcPr>
            <w:tcW w:type="dxa" w:w="810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13.1</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معرفة L1</w:t>
            </w:r>
          </w:p>
        </w:tc>
        <w:tc>
          <w:tcPr>
            <w:tcW w:type="dxa" w:w="8104"/>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يحدد ما يثبت وما يتغيّر في الإطار القرآني للإدارة عبر القطاعات الخمسة (13.2–13.3)</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13.2</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L3</w:t>
            </w:r>
          </w:p>
        </w:tc>
        <w:tc>
          <w:tcPr>
            <w:tcW w:type="dxa" w:w="8104"/>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يشخّص الفجوات في أي مؤسسة بمصفوفة المبادئ الثمانية × القطاعات الخمسة (13.4)</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13.3</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c>
          <w:tcPr>
            <w:tcW w:type="dxa" w:w="8104"/>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يفصل الثابت العقدي عن المتغيّر السياقي في قرارات الإدارة المؤسسية</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13.4</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c>
          <w:tcPr>
            <w:tcW w:type="dxa" w:w="8104"/>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يصمم آليات شورى تلائم خصوصية كل قطاع (13.7)</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13.5</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c>
          <w:tcPr>
            <w:tcW w:type="dxa" w:w="8104"/>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الأدوار الاستراتيجية للمهارات الثماني في سياق المقارنة بين القطاعات</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13.6</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c>
          <w:tcPr>
            <w:tcW w:type="dxa" w:w="8104"/>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يرصد الفجوات البحثية، ويحدد أسئلة البحث المفتوحة في الإدارة القرآنية (13.8)</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13.7</w:t>
            </w:r>
          </w:p>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c>
          <w:tcPr>
            <w:tcW w:type="dxa" w:w="8104"/>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يصوغ فرضيات قابلة للاختبار عن اختلاف تطبيق QMF من قطاع إلى قطاع</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مخرجات التعلم: الفصل الرابع عشر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5789"/>
        <w:gridCol w:w="1929"/>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578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14.1</w:t>
            </w:r>
          </w:p>
        </w:tc>
        <w:tc>
          <w:tcPr>
            <w:tcW w:type="dxa" w:w="5789"/>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يلخّص مسيرة الكتب الثلاثة في خريطة ذهنية تربط النص بالنظرية بالميدان (14.1)</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14.2</w:t>
            </w:r>
          </w:p>
        </w:tc>
        <w:tc>
          <w:tcPr>
            <w:tcW w:type="dxa" w:w="5789"/>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يحلل النتائج الخمس التي لم يتوقعها الإطار، ويستخرج منها توصيات للتطوير (14.2)</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L4</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14.3</w:t>
            </w:r>
          </w:p>
        </w:tc>
        <w:tc>
          <w:tcPr>
            <w:tcW w:type="dxa" w:w="5789"/>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يقيّم حدود QMF المكتشَفة بأمانة علمية، بلا تهوين ولا مبالغة (14.3)</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تقويم L5</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14.4</w:t>
            </w:r>
          </w:p>
        </w:tc>
        <w:tc>
          <w:tcPr>
            <w:tcW w:type="dxa" w:w="5789"/>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يصف العلاقة بين اليقيني القرآني والبيان النبوي مصدرين متكاملين لبناء نظرية إدارية (14.6)</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فهم L2</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14.5</w:t>
            </w:r>
          </w:p>
        </w:tc>
        <w:tc>
          <w:tcPr>
            <w:tcW w:type="dxa" w:w="5789"/>
            <w:shd w:fill="D6EDD9"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يصوغ سؤالًا بحثيًا أصيلًا من الأسئلة الأحد عشر المطروحة، ويضع خطته الأولى (14.4)</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CLO 14.6</w:t>
            </w:r>
          </w:p>
        </w:tc>
        <w:tc>
          <w:tcPr>
            <w:tcW w:type="dxa" w:w="5789"/>
            <w:shd w:fill="FFFFFF" w:val="clear"/>
            <w:tcMar>
              <w:top w:type="dxa" w:w="80"/>
              <w:left w:type="dxa" w:w="120"/>
              <w:bottom w:type="dxa" w:w="80"/>
              <w:right w:type="dxa" w:w="120"/>
            </w:tcMar>
          </w:tcPr>
          <w:p>
            <w:pPr>
              <w:bidi/>
            </w:pPr>
            <w:r>
              <w:rPr>
                <w:rFonts w:ascii="Traditional Arabic" w:cs="Traditional Arabic" w:eastAsia="Traditional Arabic" w:hAnsi="Traditional Arabic"/>
                <w:b w:val="false"/>
                <w:bCs w:val="false"/>
                <w:i w:val="false"/>
                <w:iCs w:val="false"/>
                <w:color w:val="1A1A1A"/>
                <w:sz w:val="24"/>
                <w:szCs w:val="24"/>
              </w:rPr>
              <w:t xml:space="preserve">يرسم هيكلًا مقترحًا للكتاب الرابع، ويسوّغ اختياراته البنيوية بمنطق الموسوعة (14.6)</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تركيب L6</w:t>
            </w:r>
          </w:p>
        </w:tc>
      </w:tr>
    </w:tbl>
    <w:sectPr>
      <w:pgSz w:w="12240" w:h="15840"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A1A1A"/>
        <w:sz w:val="28"/>
        <w:szCs w:val="28"/>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الإدارة التعليمية القرآنية — الكتاب الثالث</dc:title>
  <dc:creator>مشروع الإدارة القرآنية</dc:creator>
  <dc:description>الكتاب الثالث في سلسلة الإدارة القرآنية — خمسة فصول متكاملة</dc:description>
  <cp:lastModifiedBy>Un-named</cp:lastModifiedBy>
  <cp:revision>1</cp:revision>
  <dcterms:created xsi:type="dcterms:W3CDTF">2026-10-04T04:36:45.201Z</dcterms:created>
  <dcterms:modified xsi:type="dcterms:W3CDTF">2026-10-04T04:36:45.206Z</dcterms:modified>
</cp:coreProperties>
</file>

<file path=docProps/custom.xml><?xml version="1.0" encoding="utf-8"?>
<Properties xmlns="http://schemas.openxmlformats.org/officeDocument/2006/custom-properties" xmlns:vt="http://schemas.openxmlformats.org/officeDocument/2006/docPropsVTypes"/>
</file>