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E619E" w14:textId="77777777" w:rsidR="00B149ED" w:rsidRPr="00A60245" w:rsidRDefault="00B149ED" w:rsidP="00B149ED">
      <w:pPr>
        <w:shd w:val="clear" w:color="auto" w:fill="1F3864"/>
        <w:bidi/>
        <w:rPr>
          <w:rFonts w:ascii="Sakkal Majalla" w:hAnsi="Sakkal Majalla" w:cs="Sakkal Majalla"/>
          <w:sz w:val="28"/>
          <w:szCs w:val="28"/>
        </w:rPr>
      </w:pPr>
      <w:r w:rsidRPr="00A60245">
        <w:rPr>
          <w:rFonts w:ascii="Sakkal Majalla" w:hAnsi="Sakkal Majalla" w:cs="Sakkal Majalla"/>
          <w:b/>
          <w:bCs/>
          <w:color w:val="FFFFFF"/>
          <w:sz w:val="28"/>
          <w:szCs w:val="28"/>
          <w:rtl/>
        </w:rPr>
        <w:lastRenderedPageBreak/>
        <w:t>الفصل الرابع</w:t>
      </w:r>
    </w:p>
    <w:p w14:paraId="2863C643" w14:textId="77777777" w:rsidR="00B149ED" w:rsidRPr="00A60245" w:rsidRDefault="00B149ED" w:rsidP="00B149ED">
      <w:pPr>
        <w:shd w:val="clear" w:color="auto" w:fill="156082"/>
        <w:bidi/>
        <w:rPr>
          <w:rFonts w:ascii="Sakkal Majalla" w:hAnsi="Sakkal Majalla" w:cs="Sakkal Majalla"/>
          <w:sz w:val="28"/>
          <w:szCs w:val="28"/>
        </w:rPr>
      </w:pPr>
      <w:r w:rsidRPr="00A60245">
        <w:rPr>
          <w:rFonts w:ascii="Sakkal Majalla" w:hAnsi="Sakkal Majalla" w:cs="Sakkal Majalla"/>
          <w:b/>
          <w:bCs/>
          <w:color w:val="FFFFFF"/>
          <w:sz w:val="28"/>
          <w:szCs w:val="28"/>
          <w:rtl/>
        </w:rPr>
        <w:t>القرآن دستورًا والمصادر الشارحة</w:t>
      </w:r>
    </w:p>
    <w:p w14:paraId="16B9C658" w14:textId="77777777" w:rsidR="00B149ED" w:rsidRPr="00A60245" w:rsidRDefault="00B149ED" w:rsidP="00B149ED">
      <w:pPr>
        <w:shd w:val="clear" w:color="auto" w:fill="2E74B5"/>
        <w:bidi/>
        <w:spacing w:after="18"/>
        <w:rPr>
          <w:rFonts w:ascii="Sakkal Majalla" w:hAnsi="Sakkal Majalla" w:cs="Sakkal Majalla"/>
          <w:sz w:val="28"/>
          <w:szCs w:val="28"/>
        </w:rPr>
      </w:pPr>
      <w:r w:rsidRPr="00A60245">
        <w:rPr>
          <w:rFonts w:ascii="Sakkal Majalla" w:hAnsi="Sakkal Majalla" w:cs="Sakkal Majalla"/>
          <w:color w:val="FFFFFF"/>
          <w:sz w:val="28"/>
          <w:szCs w:val="28"/>
          <w:rtl/>
        </w:rPr>
        <w:t>هرم المرجعية الكامل</w:t>
      </w:r>
    </w:p>
    <w:p w14:paraId="6FFAD4D0" w14:textId="77777777" w:rsidR="00B149ED" w:rsidRPr="00A60245" w:rsidRDefault="00B149ED" w:rsidP="00B149ED">
      <w:pPr>
        <w:bidi/>
        <w:spacing w:after="55"/>
        <w:rPr>
          <w:rFonts w:ascii="Sakkal Majalla" w:hAnsi="Sakkal Majalla" w:cs="Sakkal Majalla"/>
          <w:sz w:val="28"/>
          <w:szCs w:val="28"/>
        </w:rPr>
      </w:pPr>
    </w:p>
    <w:p w14:paraId="04C32E45" w14:textId="77777777" w:rsidR="00B149ED" w:rsidRPr="00A60245" w:rsidRDefault="00B149ED" w:rsidP="00B149ED">
      <w:pPr>
        <w:shd w:val="clear" w:color="auto" w:fill="F5F0FF"/>
        <w:bidi/>
        <w:spacing w:before="10"/>
        <w:rPr>
          <w:rFonts w:ascii="Sakkal Majalla" w:hAnsi="Sakkal Majalla" w:cs="Sakkal Majalla"/>
          <w:sz w:val="28"/>
          <w:szCs w:val="28"/>
        </w:rPr>
      </w:pPr>
      <w:r w:rsidRPr="00A60245">
        <w:rPr>
          <w:rFonts w:ascii="Sakkal Majalla" w:hAnsi="Sakkal Majalla" w:cs="Sakkal Majalla"/>
          <w:b/>
          <w:bCs/>
          <w:color w:val="1F3864"/>
          <w:sz w:val="28"/>
          <w:szCs w:val="28"/>
          <w:rtl/>
        </w:rPr>
        <w:t>﴿وَأَنزَلْنَا إِلَيْكَ الذِّكْرَ لِتُبَيِّنَ لِلنَّاسِ مَا نُزِّلَ إِلَيْهِمْ﴾</w:t>
      </w:r>
    </w:p>
    <w:p w14:paraId="4ED2C689" w14:textId="77777777" w:rsidR="00B149ED" w:rsidRPr="00A60245" w:rsidRDefault="00B149ED" w:rsidP="00B149ED">
      <w:pPr>
        <w:bidi/>
        <w:spacing w:after="18"/>
        <w:rPr>
          <w:rFonts w:ascii="Sakkal Majalla" w:hAnsi="Sakkal Majalla" w:cs="Sakkal Majalla"/>
          <w:sz w:val="28"/>
          <w:szCs w:val="28"/>
        </w:rPr>
      </w:pPr>
      <w:r w:rsidRPr="00A60245">
        <w:rPr>
          <w:rFonts w:ascii="Sakkal Majalla" w:hAnsi="Sakkal Majalla" w:cs="Sakkal Majalla"/>
          <w:color w:val="595959"/>
          <w:sz w:val="28"/>
          <w:szCs w:val="28"/>
          <w:rtl/>
        </w:rPr>
        <w:t>النحل : 44</w:t>
      </w:r>
    </w:p>
    <w:p w14:paraId="07175BD3" w14:textId="77777777" w:rsidR="00B149ED" w:rsidRPr="00A60245" w:rsidRDefault="00B149ED" w:rsidP="00B149ED">
      <w:pPr>
        <w:pBdr>
          <w:bottom w:val="single" w:sz="14" w:space="0" w:color="1F3864"/>
        </w:pBdr>
        <w:bidi/>
        <w:spacing w:before="50" w:after="90"/>
        <w:rPr>
          <w:rFonts w:ascii="Sakkal Majalla" w:hAnsi="Sakkal Majalla" w:cs="Sakkal Majalla"/>
          <w:sz w:val="28"/>
          <w:szCs w:val="28"/>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5"/>
      </w:tblGrid>
      <w:tr w:rsidR="00B149ED" w:rsidRPr="00A60245" w14:paraId="36FEBAB3" w14:textId="77777777" w:rsidTr="00A011EA">
        <w:tc>
          <w:tcPr>
            <w:tcW w:w="9355" w:type="dxa"/>
            <w:shd w:val="clear" w:color="auto" w:fill="2E74B5"/>
            <w:tcMar>
              <w:top w:w="72" w:type="dxa"/>
              <w:left w:w="100" w:type="dxa"/>
              <w:bottom w:w="72" w:type="dxa"/>
              <w:right w:w="100" w:type="dxa"/>
            </w:tcMar>
            <w:vAlign w:val="center"/>
          </w:tcPr>
          <w:p w14:paraId="4521A689" w14:textId="77777777" w:rsidR="00B149ED" w:rsidRPr="00A60245" w:rsidRDefault="00B149ED" w:rsidP="00A011EA">
            <w:pPr>
              <w:bidi/>
              <w:spacing w:before="48" w:after="48"/>
              <w:rPr>
                <w:rFonts w:ascii="Sakkal Majalla" w:hAnsi="Sakkal Majalla" w:cs="Sakkal Majalla"/>
                <w:sz w:val="28"/>
                <w:szCs w:val="28"/>
              </w:rPr>
            </w:pPr>
            <w:r>
              <w:rPr>
                <w:rFonts w:ascii="Segoe UI Emoji" w:hAnsi="Segoe UI Emoji" w:cs="Segoe UI Emoji" w:hint="cs"/>
                <w:b/>
                <w:bCs/>
                <w:color w:val="FFFFFF"/>
                <w:sz w:val="28"/>
                <w:szCs w:val="28"/>
                <w:rtl/>
              </w:rPr>
              <w:t xml:space="preserve">حين يصبح المصدر حكمًا على نفسه</w:t>
            </w:r>
          </w:p>
        </w:tc>
      </w:tr>
      <w:tr w:rsidR="00B149ED" w:rsidRPr="00A60245" w14:paraId="5D8BD22D" w14:textId="77777777" w:rsidTr="00A011EA">
        <w:tc>
          <w:tcPr>
            <w:tcW w:w="9355" w:type="dxa"/>
            <w:shd w:val="clear" w:color="auto" w:fill="EBF5FB"/>
            <w:tcMar>
              <w:top w:w="72" w:type="dxa"/>
              <w:left w:w="100" w:type="dxa"/>
              <w:bottom w:w="72" w:type="dxa"/>
              <w:right w:w="100" w:type="dxa"/>
            </w:tcMar>
            <w:vAlign w:val="center"/>
          </w:tcPr>
          <w:p w14:paraId="654D3234"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في برنامج لتطوير الإدارة الوقفية، سألتُ مجموعة من المديرين عن أهم مبدأ يحكم قرارات مؤسساتهم، فأجابوا بصوت واحد: «الشورى». ثم سألتهم: «استشهدوا بمصدر دقيق لفهمكم للشورى». فتفرّقت الإجابات: أحدهم استشهد بحديث لم يجد له تخريجًا حين بحث عنه لاحقًا، وثانٍ قرأ آية من سياق مختلف، سياق الأسرة لا المؤسسة، وثالث اعتمد على كتاب معاصر مشهور، تبيّن أنه نفسه يعتمد على تلخيص عابر لا على تفسير أصيل. كان كل منهم واثقًا من استشهاده، لكن حين واجه أحدهم استشهادًا مختلفًا من زميله، لم يكن لدى أحد أداة تحسم الخلاف.  </w:t>
            </w:r>
            <w:r>
              <w:rPr>
                <w:rFonts w:hint="cs"/>
                <w:color w:val="000000"/>
                <w:sz w:val="28"/>
                <w:szCs w:val="28"/>
                <w:rtl/>
              </w:rPr>
              <w:t xml:space="preserve">─────────────────────────────────────────────────────</w:t>
            </w:r>
            <w:r>
              <w:rPr>
                <w:rFonts w:ascii="Sakkal Majalla" w:hAnsi="Sakkal Majalla" w:cs="Sakkal Majalla"/>
                <w:color w:val="000000"/>
                <w:sz w:val="28"/>
                <w:szCs w:val="28"/>
                <w:rtl/>
              </w:rPr>
              <w:t xml:space="preserve"> لا يهمّني في هذا الفصل من كان منهم محقًّا، وإنما أن أبني الأداة التي يُرجع إليها عند الخلاف: هرم المصادر بمستوياته الستة، ومعايير وزن كل منها.</w:t>
            </w:r>
          </w:p>
        </w:tc>
      </w:tr>
    </w:tbl>
    <w:p w14:paraId="580AE7A8"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5"/>
      </w:tblGrid>
      <w:tr w:rsidR="00B149ED" w:rsidRPr="00A60245" w14:paraId="2D6C0557" w14:textId="77777777" w:rsidTr="00A011EA">
        <w:tc>
          <w:tcPr>
            <w:tcW w:w="9355" w:type="dxa"/>
            <w:shd w:val="clear" w:color="auto" w:fill="156082"/>
            <w:tcMar>
              <w:top w:w="72" w:type="dxa"/>
              <w:left w:w="100" w:type="dxa"/>
              <w:bottom w:w="72" w:type="dxa"/>
              <w:right w:w="100" w:type="dxa"/>
            </w:tcMar>
            <w:vAlign w:val="center"/>
          </w:tcPr>
          <w:p w14:paraId="2341C695" w14:textId="77777777" w:rsidR="00B149ED" w:rsidRPr="00A60245" w:rsidRDefault="00B149ED" w:rsidP="00A011EA">
            <w:pPr>
              <w:bidi/>
              <w:spacing w:before="48" w:after="48"/>
              <w:rPr>
                <w:rFonts w:ascii="Sakkal Majalla" w:hAnsi="Sakkal Majalla" w:cs="Sakkal Majalla"/>
                <w:sz w:val="28"/>
                <w:szCs w:val="28"/>
              </w:rPr>
            </w:pPr>
            <w:r>
              <w:rPr>
                <w:rFonts w:ascii="Segoe UI Emoji" w:hAnsi="Segoe UI Emoji" w:cs="Segoe UI Emoji" w:hint="cs"/>
                <w:b/>
                <w:bCs/>
                <w:color w:val="FFFFFF"/>
                <w:sz w:val="28"/>
                <w:szCs w:val="28"/>
                <w:rtl/>
              </w:rPr>
              <w:t xml:space="preserve">في هذا الفصل</w:t>
            </w:r>
          </w:p>
        </w:tc>
      </w:tr>
      <w:tr w:rsidR="00B149ED" w:rsidRPr="00A60245" w14:paraId="6F53AF9C" w14:textId="77777777" w:rsidTr="00A011EA">
        <w:tc>
          <w:tcPr>
            <w:tcW w:w="9355" w:type="dxa"/>
            <w:shd w:val="clear" w:color="auto" w:fill="EBF5E0"/>
            <w:tcMar>
              <w:top w:w="72" w:type="dxa"/>
              <w:left w:w="100" w:type="dxa"/>
              <w:bottom w:w="72" w:type="dxa"/>
              <w:right w:w="100" w:type="dxa"/>
            </w:tcMar>
            <w:vAlign w:val="center"/>
          </w:tcPr>
          <w:p w14:paraId="2415B1D3"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يسأل الفصل: لماذا نقدّم مصدرًا على آخر حين نشتق مفهومًا إداريًا من القرآن، وما المعيار الدقيق لهذا التقديم؟ وجوابه أن يؤسس فلسفيًا لهرم مصادر الاستدلال (القرآن، ثم السنة، ثم اللغة، ثم التفسير، ثم السيرة)، ويصنّف خمس مدارس تفسيرية بمعايير صريحة، ثم يطبّق الهرم كاملًا على مفهومَي العدل والإحسان حتى يصل إلى المبدأ الإداري. ويخرج القارئ منه بهرم المصادر السداسي، وتراتبية مصادر السيرة، وأربعة مصادر لغوية لكلٍّ منها وظيفته، وضمانات تمنع الانتقاء المغرض. وأهميته للمدير أنه حين يستشهد بمصدر ديني لتسويغ قرار مؤسسي، يجد هنا ما يبيّن له هل استشهاده في موضعه أم لا.</w:t>
            </w:r>
          </w:p>
        </w:tc>
      </w:tr>
    </w:tbl>
    <w:p w14:paraId="7884EA35" w14:textId="77777777" w:rsidR="00B149ED" w:rsidRPr="00A60245" w:rsidRDefault="00B149ED" w:rsidP="00B149ED">
      <w:pPr>
        <w:bidi/>
        <w:spacing w:after="55"/>
        <w:rPr>
          <w:rFonts w:ascii="Sakkal Majalla" w:hAnsi="Sakkal Majalla" w:cs="Sakkal Majalla"/>
          <w:sz w:val="28"/>
          <w:szCs w:val="28"/>
        </w:rPr>
      </w:pPr>
    </w:p>
    <w:p w14:paraId="1E19DAE2"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p w14:paraId="60EECBAB" w14:textId="77777777" w:rsidR="00B149ED" w:rsidRPr="00A60245" w:rsidRDefault="00B149ED" w:rsidP="00B149ED">
      <w:pPr>
        <w:shd w:val="clear" w:color="auto" w:fill="D6E4F0"/>
        <w:bidi/>
        <w:spacing w:before="110" w:after="60"/>
        <w:rPr>
          <w:rFonts w:ascii="Sakkal Majalla" w:hAnsi="Sakkal Majalla" w:cs="Sakkal Majalla"/>
          <w:sz w:val="28"/>
          <w:szCs w:val="28"/>
        </w:rPr>
      </w:pPr>
      <w:r w:rsidRPr="00A60245">
        <w:rPr>
          <w:rFonts w:ascii="Sakkal Majalla" w:hAnsi="Sakkal Majalla" w:cs="Sakkal Majalla"/>
          <w:b/>
          <w:bCs/>
          <w:color w:val="1F3864"/>
          <w:sz w:val="28"/>
          <w:szCs w:val="28"/>
          <w:rtl/>
        </w:rPr>
        <w:t>مخرجات التعلم المتوقعة من هذا الفصل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1080"/>
        <w:gridCol w:w="5400"/>
        <w:gridCol w:w="1080"/>
      </w:tblGrid>
      <w:tr w:rsidR="00B149ED" w:rsidRPr="00A60245" w14:paraId="7FC3EEEA" w14:textId="77777777" w:rsidTr="00A011EA">
        <w:tc>
          <w:tcPr>
            <w:tcW w:w="1080" w:type="dxa"/>
            <w:shd w:val="clear" w:color="auto" w:fill="1F3864"/>
            <w:tcMar>
              <w:top w:w="72" w:type="dxa"/>
              <w:left w:w="100" w:type="dxa"/>
              <w:bottom w:w="72" w:type="dxa"/>
              <w:right w:w="100" w:type="dxa"/>
            </w:tcMar>
            <w:vAlign w:val="center"/>
          </w:tcPr>
          <w:p w14:paraId="44084878"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CLO</w:t>
            </w:r>
          </w:p>
        </w:tc>
        <w:tc>
          <w:tcPr>
            <w:tcW w:w="1080" w:type="dxa"/>
            <w:shd w:val="clear" w:color="auto" w:fill="1F3864"/>
            <w:tcMar>
              <w:top w:w="72" w:type="dxa"/>
              <w:left w:w="100" w:type="dxa"/>
              <w:bottom w:w="72" w:type="dxa"/>
              <w:right w:w="100" w:type="dxa"/>
            </w:tcMar>
            <w:vAlign w:val="center"/>
          </w:tcPr>
          <w:p w14:paraId="0CD10C4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الفعل</w:t>
            </w:r>
          </w:p>
        </w:tc>
        <w:tc>
          <w:tcPr>
            <w:tcW w:w="5400" w:type="dxa"/>
            <w:shd w:val="clear" w:color="auto" w:fill="1F3864"/>
            <w:tcMar>
              <w:top w:w="72" w:type="dxa"/>
              <w:left w:w="100" w:type="dxa"/>
              <w:bottom w:w="72" w:type="dxa"/>
              <w:right w:w="100" w:type="dxa"/>
            </w:tcMar>
            <w:vAlign w:val="center"/>
          </w:tcPr>
          <w:p w14:paraId="4AD08364"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المحتوى</w:t>
            </w:r>
          </w:p>
        </w:tc>
        <w:tc>
          <w:tcPr>
            <w:tcW w:w="1080" w:type="dxa"/>
            <w:shd w:val="clear" w:color="auto" w:fill="1F3864"/>
            <w:tcMar>
              <w:top w:w="72" w:type="dxa"/>
              <w:left w:w="100" w:type="dxa"/>
              <w:bottom w:w="72" w:type="dxa"/>
              <w:right w:w="100" w:type="dxa"/>
            </w:tcMar>
            <w:vAlign w:val="center"/>
          </w:tcPr>
          <w:p w14:paraId="3C4D6261"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المستوى</w:t>
            </w:r>
          </w:p>
        </w:tc>
      </w:tr>
      <w:tr w:rsidR="00B149ED" w:rsidRPr="00A60245" w14:paraId="3B0CDB68" w14:textId="77777777" w:rsidTr="00A011EA">
        <w:tc>
          <w:tcPr>
            <w:tcW w:w="1080" w:type="dxa"/>
            <w:shd w:val="clear" w:color="auto" w:fill="EBF5FB"/>
            <w:tcMar>
              <w:top w:w="72" w:type="dxa"/>
              <w:left w:w="100" w:type="dxa"/>
              <w:bottom w:w="72" w:type="dxa"/>
              <w:right w:w="100" w:type="dxa"/>
            </w:tcMar>
            <w:vAlign w:val="center"/>
          </w:tcPr>
          <w:p w14:paraId="1AB17262"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lastRenderedPageBreak/>
              <w:t>4.1</w:t>
            </w:r>
          </w:p>
        </w:tc>
        <w:tc>
          <w:tcPr>
            <w:tcW w:w="1080" w:type="dxa"/>
            <w:shd w:val="clear" w:color="auto" w:fill="EBF5FB"/>
            <w:tcMar>
              <w:top w:w="72" w:type="dxa"/>
              <w:left w:w="100" w:type="dxa"/>
              <w:bottom w:w="72" w:type="dxa"/>
              <w:right w:w="100" w:type="dxa"/>
            </w:tcMar>
            <w:vAlign w:val="center"/>
          </w:tcPr>
          <w:p w14:paraId="247DD852"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يُناقش</w:t>
            </w:r>
          </w:p>
        </w:tc>
        <w:tc>
          <w:tcPr>
            <w:tcW w:w="5400" w:type="dxa"/>
            <w:shd w:val="clear" w:color="auto" w:fill="F8F8F8"/>
            <w:tcMar>
              <w:top w:w="72" w:type="dxa"/>
              <w:left w:w="100" w:type="dxa"/>
              <w:bottom w:w="72" w:type="dxa"/>
              <w:right w:w="100" w:type="dxa"/>
            </w:tcMar>
            <w:vAlign w:val="center"/>
          </w:tcPr>
          <w:p w14:paraId="0AE0768B"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نظرية السلطة المعرفية (Epistemic Authority) ويُطبقها على العلاقة بين القرآن ومصادر الاستدلال الأخرى</w:t>
            </w:r>
          </w:p>
        </w:tc>
        <w:tc>
          <w:tcPr>
            <w:tcW w:w="1080" w:type="dxa"/>
            <w:shd w:val="clear" w:color="auto" w:fill="FFF2CC"/>
            <w:tcMar>
              <w:top w:w="72" w:type="dxa"/>
              <w:left w:w="100" w:type="dxa"/>
              <w:bottom w:w="72" w:type="dxa"/>
              <w:right w:w="100" w:type="dxa"/>
            </w:tcMar>
            <w:vAlign w:val="center"/>
          </w:tcPr>
          <w:p w14:paraId="6030612D"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تحليل L4</w:t>
            </w:r>
          </w:p>
        </w:tc>
      </w:tr>
      <w:tr w:rsidR="00B149ED" w:rsidRPr="00A60245" w14:paraId="0497238D" w14:textId="77777777" w:rsidTr="00A011EA">
        <w:tc>
          <w:tcPr>
            <w:tcW w:w="1080" w:type="dxa"/>
            <w:shd w:val="clear" w:color="auto" w:fill="FFFFFF"/>
            <w:tcMar>
              <w:top w:w="72" w:type="dxa"/>
              <w:left w:w="100" w:type="dxa"/>
              <w:bottom w:w="72" w:type="dxa"/>
              <w:right w:w="100" w:type="dxa"/>
            </w:tcMar>
            <w:vAlign w:val="center"/>
          </w:tcPr>
          <w:p w14:paraId="7749F95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4.2</w:t>
            </w:r>
          </w:p>
        </w:tc>
        <w:tc>
          <w:tcPr>
            <w:tcW w:w="1080" w:type="dxa"/>
            <w:shd w:val="clear" w:color="auto" w:fill="FFFFFF"/>
            <w:tcMar>
              <w:top w:w="72" w:type="dxa"/>
              <w:left w:w="100" w:type="dxa"/>
              <w:bottom w:w="72" w:type="dxa"/>
              <w:right w:w="100" w:type="dxa"/>
            </w:tcMar>
            <w:vAlign w:val="center"/>
          </w:tcPr>
          <w:p w14:paraId="6BF0B47C"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يُحدِّد</w:t>
            </w:r>
          </w:p>
        </w:tc>
        <w:tc>
          <w:tcPr>
            <w:tcW w:w="5400" w:type="dxa"/>
            <w:shd w:val="clear" w:color="auto" w:fill="FFFFFF"/>
            <w:tcMar>
              <w:top w:w="72" w:type="dxa"/>
              <w:left w:w="100" w:type="dxa"/>
              <w:bottom w:w="72" w:type="dxa"/>
              <w:right w:w="100" w:type="dxa"/>
            </w:tcMar>
            <w:vAlign w:val="center"/>
          </w:tcPr>
          <w:p w14:paraId="0C48E65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الأساس الأصولي لكون السنة بيانًا لا منشأً، مستندًا إلى الشافعي وابن القيم</w:t>
            </w:r>
          </w:p>
        </w:tc>
        <w:tc>
          <w:tcPr>
            <w:tcW w:w="1080" w:type="dxa"/>
            <w:shd w:val="clear" w:color="auto" w:fill="FFFFFF"/>
            <w:tcMar>
              <w:top w:w="72" w:type="dxa"/>
              <w:left w:w="100" w:type="dxa"/>
              <w:bottom w:w="72" w:type="dxa"/>
              <w:right w:w="100" w:type="dxa"/>
            </w:tcMar>
            <w:vAlign w:val="center"/>
          </w:tcPr>
          <w:p w14:paraId="63BA7E9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معرفة L1</w:t>
            </w:r>
          </w:p>
        </w:tc>
      </w:tr>
      <w:tr w:rsidR="00B149ED" w:rsidRPr="00A60245" w14:paraId="587DE730" w14:textId="77777777" w:rsidTr="00A011EA">
        <w:tc>
          <w:tcPr>
            <w:tcW w:w="1080" w:type="dxa"/>
            <w:shd w:val="clear" w:color="auto" w:fill="EBF5FB"/>
            <w:tcMar>
              <w:top w:w="72" w:type="dxa"/>
              <w:left w:w="100" w:type="dxa"/>
              <w:bottom w:w="72" w:type="dxa"/>
              <w:right w:w="100" w:type="dxa"/>
            </w:tcMar>
            <w:vAlign w:val="center"/>
          </w:tcPr>
          <w:p w14:paraId="353B90A5"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4.3</w:t>
            </w:r>
          </w:p>
        </w:tc>
        <w:tc>
          <w:tcPr>
            <w:tcW w:w="1080" w:type="dxa"/>
            <w:shd w:val="clear" w:color="auto" w:fill="EBF5FB"/>
            <w:tcMar>
              <w:top w:w="72" w:type="dxa"/>
              <w:left w:w="100" w:type="dxa"/>
              <w:bottom w:w="72" w:type="dxa"/>
              <w:right w:w="100" w:type="dxa"/>
            </w:tcMar>
            <w:vAlign w:val="center"/>
          </w:tcPr>
          <w:p w14:paraId="4928DB2A"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يُقيِّم</w:t>
            </w:r>
          </w:p>
        </w:tc>
        <w:tc>
          <w:tcPr>
            <w:tcW w:w="5400" w:type="dxa"/>
            <w:shd w:val="clear" w:color="auto" w:fill="F8F8F8"/>
            <w:tcMar>
              <w:top w:w="72" w:type="dxa"/>
              <w:left w:w="100" w:type="dxa"/>
              <w:bottom w:w="72" w:type="dxa"/>
              <w:right w:w="100" w:type="dxa"/>
            </w:tcMar>
            <w:vAlign w:val="center"/>
          </w:tcPr>
          <w:p w14:paraId="3F6CB03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خمس مدارس تفسيرية بمعايير اختيار صريحة، ويُحلل مواطن اتفاقها واختلافها</w:t>
            </w:r>
          </w:p>
        </w:tc>
        <w:tc>
          <w:tcPr>
            <w:tcW w:w="1080" w:type="dxa"/>
            <w:shd w:val="clear" w:color="auto" w:fill="FFF2CC"/>
            <w:tcMar>
              <w:top w:w="72" w:type="dxa"/>
              <w:left w:w="100" w:type="dxa"/>
              <w:bottom w:w="72" w:type="dxa"/>
              <w:right w:w="100" w:type="dxa"/>
            </w:tcMar>
            <w:vAlign w:val="center"/>
          </w:tcPr>
          <w:p w14:paraId="47B07B7B"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تقويم L5</w:t>
            </w:r>
          </w:p>
        </w:tc>
      </w:tr>
      <w:tr w:rsidR="00B149ED" w:rsidRPr="00A60245" w14:paraId="5605F47F" w14:textId="77777777" w:rsidTr="00A011EA">
        <w:tc>
          <w:tcPr>
            <w:tcW w:w="1080" w:type="dxa"/>
            <w:shd w:val="clear" w:color="auto" w:fill="FFFFFF"/>
            <w:tcMar>
              <w:top w:w="72" w:type="dxa"/>
              <w:left w:w="100" w:type="dxa"/>
              <w:bottom w:w="72" w:type="dxa"/>
              <w:right w:w="100" w:type="dxa"/>
            </w:tcMar>
            <w:vAlign w:val="center"/>
          </w:tcPr>
          <w:p w14:paraId="711AFD8B"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4.4</w:t>
            </w:r>
          </w:p>
        </w:tc>
        <w:tc>
          <w:tcPr>
            <w:tcW w:w="1080" w:type="dxa"/>
            <w:shd w:val="clear" w:color="auto" w:fill="FFFFFF"/>
            <w:tcMar>
              <w:top w:w="72" w:type="dxa"/>
              <w:left w:w="100" w:type="dxa"/>
              <w:bottom w:w="72" w:type="dxa"/>
              <w:right w:w="100" w:type="dxa"/>
            </w:tcMar>
            <w:vAlign w:val="center"/>
          </w:tcPr>
          <w:p w14:paraId="337DA6EC"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يُميِّز</w:t>
            </w:r>
          </w:p>
        </w:tc>
        <w:tc>
          <w:tcPr>
            <w:tcW w:w="5400" w:type="dxa"/>
            <w:shd w:val="clear" w:color="auto" w:fill="FFFFFF"/>
            <w:tcMar>
              <w:top w:w="72" w:type="dxa"/>
              <w:left w:w="100" w:type="dxa"/>
              <w:bottom w:w="72" w:type="dxa"/>
              <w:right w:w="100" w:type="dxa"/>
            </w:tcMar>
            <w:vAlign w:val="center"/>
          </w:tcPr>
          <w:p w14:paraId="7679751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درجات الاستفادة من مصادر خارج المدرسة السنية (الطباطبائي) بضوابط منهجية دقيقة</w:t>
            </w:r>
          </w:p>
        </w:tc>
        <w:tc>
          <w:tcPr>
            <w:tcW w:w="1080" w:type="dxa"/>
            <w:shd w:val="clear" w:color="auto" w:fill="FFFFFF"/>
            <w:tcMar>
              <w:top w:w="72" w:type="dxa"/>
              <w:left w:w="100" w:type="dxa"/>
              <w:bottom w:w="72" w:type="dxa"/>
              <w:right w:w="100" w:type="dxa"/>
            </w:tcMar>
            <w:vAlign w:val="center"/>
          </w:tcPr>
          <w:p w14:paraId="2C8DC687"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تحليل L4</w:t>
            </w:r>
          </w:p>
        </w:tc>
      </w:tr>
      <w:tr w:rsidR="00B149ED" w:rsidRPr="00A60245" w14:paraId="75F46A31" w14:textId="77777777" w:rsidTr="00A011EA">
        <w:tc>
          <w:tcPr>
            <w:tcW w:w="1080" w:type="dxa"/>
            <w:shd w:val="clear" w:color="auto" w:fill="EBF5FB"/>
            <w:tcMar>
              <w:top w:w="72" w:type="dxa"/>
              <w:left w:w="100" w:type="dxa"/>
              <w:bottom w:w="72" w:type="dxa"/>
              <w:right w:w="100" w:type="dxa"/>
            </w:tcMar>
            <w:vAlign w:val="center"/>
          </w:tcPr>
          <w:p w14:paraId="3D81829B"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4.5</w:t>
            </w:r>
          </w:p>
        </w:tc>
        <w:tc>
          <w:tcPr>
            <w:tcW w:w="1080" w:type="dxa"/>
            <w:shd w:val="clear" w:color="auto" w:fill="EBF5FB"/>
            <w:tcMar>
              <w:top w:w="72" w:type="dxa"/>
              <w:left w:w="100" w:type="dxa"/>
              <w:bottom w:w="72" w:type="dxa"/>
              <w:right w:w="100" w:type="dxa"/>
            </w:tcMar>
            <w:vAlign w:val="center"/>
          </w:tcPr>
          <w:p w14:paraId="2C7C3F50"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يُرتِّب</w:t>
            </w:r>
          </w:p>
        </w:tc>
        <w:tc>
          <w:tcPr>
            <w:tcW w:w="5400" w:type="dxa"/>
            <w:shd w:val="clear" w:color="auto" w:fill="F8F8F8"/>
            <w:tcMar>
              <w:top w:w="72" w:type="dxa"/>
              <w:left w:w="100" w:type="dxa"/>
              <w:bottom w:w="72" w:type="dxa"/>
              <w:right w:w="100" w:type="dxa"/>
            </w:tcMar>
            <w:vAlign w:val="center"/>
          </w:tcPr>
          <w:p w14:paraId="3595B31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مصادر السيرة النبوية وفق تراتبية الثبوت التاريخي لا الشهرة الأدبية</w:t>
            </w:r>
          </w:p>
        </w:tc>
        <w:tc>
          <w:tcPr>
            <w:tcW w:w="1080" w:type="dxa"/>
            <w:shd w:val="clear" w:color="auto" w:fill="FFF2CC"/>
            <w:tcMar>
              <w:top w:w="72" w:type="dxa"/>
              <w:left w:w="100" w:type="dxa"/>
              <w:bottom w:w="72" w:type="dxa"/>
              <w:right w:w="100" w:type="dxa"/>
            </w:tcMar>
            <w:vAlign w:val="center"/>
          </w:tcPr>
          <w:p w14:paraId="4B04105C"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تطبيق L3</w:t>
            </w:r>
          </w:p>
        </w:tc>
      </w:tr>
      <w:tr w:rsidR="00B149ED" w:rsidRPr="00A60245" w14:paraId="3AD08E8E" w14:textId="77777777" w:rsidTr="00A011EA">
        <w:tc>
          <w:tcPr>
            <w:tcW w:w="1080" w:type="dxa"/>
            <w:shd w:val="clear" w:color="auto" w:fill="FFFFFF"/>
            <w:tcMar>
              <w:top w:w="72" w:type="dxa"/>
              <w:left w:w="100" w:type="dxa"/>
              <w:bottom w:w="72" w:type="dxa"/>
              <w:right w:w="100" w:type="dxa"/>
            </w:tcMar>
            <w:vAlign w:val="center"/>
          </w:tcPr>
          <w:p w14:paraId="3C9AD2A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4.6</w:t>
            </w:r>
          </w:p>
        </w:tc>
        <w:tc>
          <w:tcPr>
            <w:tcW w:w="1080" w:type="dxa"/>
            <w:shd w:val="clear" w:color="auto" w:fill="FFFFFF"/>
            <w:tcMar>
              <w:top w:w="72" w:type="dxa"/>
              <w:left w:w="100" w:type="dxa"/>
              <w:bottom w:w="72" w:type="dxa"/>
              <w:right w:w="100" w:type="dxa"/>
            </w:tcMar>
            <w:vAlign w:val="center"/>
          </w:tcPr>
          <w:p w14:paraId="1A9076C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يُطبِّق</w:t>
            </w:r>
          </w:p>
        </w:tc>
        <w:tc>
          <w:tcPr>
            <w:tcW w:w="5400" w:type="dxa"/>
            <w:shd w:val="clear" w:color="auto" w:fill="FFFFFF"/>
            <w:tcMar>
              <w:top w:w="72" w:type="dxa"/>
              <w:left w:w="100" w:type="dxa"/>
              <w:bottom w:w="72" w:type="dxa"/>
              <w:right w:w="100" w:type="dxa"/>
            </w:tcMar>
            <w:vAlign w:val="center"/>
          </w:tcPr>
          <w:p w14:paraId="3329CB3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هرم المصادر الكامل على مفهوم قرآني واحد من الدلالة إلى النموذج الإداري</w:t>
            </w:r>
          </w:p>
        </w:tc>
        <w:tc>
          <w:tcPr>
            <w:tcW w:w="1080" w:type="dxa"/>
            <w:shd w:val="clear" w:color="auto" w:fill="FFFFFF"/>
            <w:tcMar>
              <w:top w:w="72" w:type="dxa"/>
              <w:left w:w="100" w:type="dxa"/>
              <w:bottom w:w="72" w:type="dxa"/>
              <w:right w:w="100" w:type="dxa"/>
            </w:tcMar>
            <w:vAlign w:val="center"/>
          </w:tcPr>
          <w:p w14:paraId="6566FBA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تركيب L6</w:t>
            </w:r>
          </w:p>
        </w:tc>
      </w:tr>
      <w:tr w:rsidR="00B149ED" w:rsidRPr="00A60245" w14:paraId="2D2EFE60" w14:textId="77777777" w:rsidTr="00A011EA">
        <w:tc>
          <w:tcPr>
            <w:tcW w:w="1080" w:type="dxa"/>
            <w:shd w:val="clear" w:color="auto" w:fill="EBF5FB"/>
            <w:tcMar>
              <w:top w:w="72" w:type="dxa"/>
              <w:left w:w="100" w:type="dxa"/>
              <w:bottom w:w="72" w:type="dxa"/>
              <w:right w:w="100" w:type="dxa"/>
            </w:tcMar>
            <w:vAlign w:val="center"/>
          </w:tcPr>
          <w:p w14:paraId="6DF9BE77"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4.7</w:t>
            </w:r>
          </w:p>
        </w:tc>
        <w:tc>
          <w:tcPr>
            <w:tcW w:w="1080" w:type="dxa"/>
            <w:shd w:val="clear" w:color="auto" w:fill="EBF5FB"/>
            <w:tcMar>
              <w:top w:w="72" w:type="dxa"/>
              <w:left w:w="100" w:type="dxa"/>
              <w:bottom w:w="72" w:type="dxa"/>
              <w:right w:w="100" w:type="dxa"/>
            </w:tcMar>
            <w:vAlign w:val="center"/>
          </w:tcPr>
          <w:p w14:paraId="210CD61D"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يُقارن</w:t>
            </w:r>
          </w:p>
        </w:tc>
        <w:tc>
          <w:tcPr>
            <w:tcW w:w="5400" w:type="dxa"/>
            <w:shd w:val="clear" w:color="auto" w:fill="F8F8F8"/>
            <w:tcMar>
              <w:top w:w="72" w:type="dxa"/>
              <w:left w:w="100" w:type="dxa"/>
              <w:bottom w:w="72" w:type="dxa"/>
              <w:right w:w="100" w:type="dxa"/>
            </w:tcMar>
            <w:vAlign w:val="center"/>
          </w:tcPr>
          <w:p w14:paraId="047EEC2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نظرية السلطة المعرفية الإسلامية بنظريات الشهادة والخبرة في الإبستيمولوجيا الغربية المعاصرة</w:t>
            </w:r>
          </w:p>
        </w:tc>
        <w:tc>
          <w:tcPr>
            <w:tcW w:w="1080" w:type="dxa"/>
            <w:shd w:val="clear" w:color="auto" w:fill="FFF2CC"/>
            <w:tcMar>
              <w:top w:w="72" w:type="dxa"/>
              <w:left w:w="100" w:type="dxa"/>
              <w:bottom w:w="72" w:type="dxa"/>
              <w:right w:w="100" w:type="dxa"/>
            </w:tcMar>
            <w:vAlign w:val="center"/>
          </w:tcPr>
          <w:p w14:paraId="14376BCB"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تقويم L5</w:t>
            </w:r>
          </w:p>
        </w:tc>
      </w:tr>
      <w:tr w:rsidR="00B149ED" w:rsidRPr="00A60245" w14:paraId="77601B7A" w14:textId="77777777" w:rsidTr="00A011EA">
        <w:tc>
          <w:tcPr>
            <w:tcW w:w="1080" w:type="dxa"/>
            <w:shd w:val="clear" w:color="auto" w:fill="FFFFFF"/>
            <w:tcMar>
              <w:top w:w="72" w:type="dxa"/>
              <w:left w:w="100" w:type="dxa"/>
              <w:bottom w:w="72" w:type="dxa"/>
              <w:right w:w="100" w:type="dxa"/>
            </w:tcMar>
            <w:vAlign w:val="center"/>
          </w:tcPr>
          <w:p w14:paraId="7EE1621E"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4.8</w:t>
            </w:r>
          </w:p>
        </w:tc>
        <w:tc>
          <w:tcPr>
            <w:tcW w:w="1080" w:type="dxa"/>
            <w:shd w:val="clear" w:color="auto" w:fill="FFFFFF"/>
            <w:tcMar>
              <w:top w:w="72" w:type="dxa"/>
              <w:left w:w="100" w:type="dxa"/>
              <w:bottom w:w="72" w:type="dxa"/>
              <w:right w:w="100" w:type="dxa"/>
            </w:tcMar>
            <w:vAlign w:val="center"/>
          </w:tcPr>
          <w:p w14:paraId="277E106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يُقارن</w:t>
            </w:r>
          </w:p>
        </w:tc>
        <w:tc>
          <w:tcPr>
            <w:tcW w:w="5400" w:type="dxa"/>
            <w:shd w:val="clear" w:color="auto" w:fill="FFFFFF"/>
            <w:tcMar>
              <w:top w:w="72" w:type="dxa"/>
              <w:left w:w="100" w:type="dxa"/>
              <w:bottom w:w="72" w:type="dxa"/>
              <w:right w:w="100" w:type="dxa"/>
            </w:tcMar>
            <w:vAlign w:val="center"/>
          </w:tcPr>
          <w:p w14:paraId="2A485B32"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نموذج هذا الفصل بأنظمة سلطة تفسيرية في تقاليد دينية أخرى (اليهودية، الكاثوليكية، البروتستانتية)</w:t>
            </w:r>
          </w:p>
        </w:tc>
        <w:tc>
          <w:tcPr>
            <w:tcW w:w="1080" w:type="dxa"/>
            <w:shd w:val="clear" w:color="auto" w:fill="FFFFFF"/>
            <w:tcMar>
              <w:top w:w="72" w:type="dxa"/>
              <w:left w:w="100" w:type="dxa"/>
              <w:bottom w:w="72" w:type="dxa"/>
              <w:right w:w="100" w:type="dxa"/>
            </w:tcMar>
            <w:vAlign w:val="center"/>
          </w:tcPr>
          <w:p w14:paraId="34DF58D8"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تقويم L5</w:t>
            </w:r>
          </w:p>
        </w:tc>
      </w:tr>
    </w:tbl>
    <w:p w14:paraId="3D0AFC53" w14:textId="77777777" w:rsidR="00B149ED" w:rsidRPr="00A60245" w:rsidRDefault="00B149ED" w:rsidP="00B149ED">
      <w:pPr>
        <w:pBdr>
          <w:bottom w:val="single" w:sz="14" w:space="0" w:color="1F3864"/>
        </w:pBdr>
        <w:bidi/>
        <w:spacing w:before="50" w:after="90"/>
        <w:rPr>
          <w:rFonts w:ascii="Sakkal Majalla" w:hAnsi="Sakkal Majalla" w:cs="Sakkal Majalla"/>
          <w:sz w:val="28"/>
          <w:szCs w:val="28"/>
        </w:rPr>
      </w:pPr>
    </w:p>
    <w:p w14:paraId="697ED04B" w14:textId="77777777" w:rsidR="00B149ED" w:rsidRPr="00A60245" w:rsidRDefault="00B149ED" w:rsidP="00B149ED">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 xml:space="preserve">4.1  لماذا يكون ترتيب المصادر مسألة فلسفية قبل أن يكون تنظيمية</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15"/>
      </w:tblGrid>
      <w:tr w:rsidR="00B149ED" w:rsidRPr="00A60245" w14:paraId="4A880A27" w14:textId="77777777" w:rsidTr="00A011EA">
        <w:tc>
          <w:tcPr>
            <w:tcW w:w="9715" w:type="dxa"/>
            <w:shd w:val="clear" w:color="auto" w:fill="C55A11"/>
            <w:tcMar>
              <w:top w:w="72" w:type="dxa"/>
              <w:left w:w="100" w:type="dxa"/>
              <w:bottom w:w="72" w:type="dxa"/>
              <w:right w:w="100" w:type="dxa"/>
            </w:tcMar>
            <w:vAlign w:val="center"/>
          </w:tcPr>
          <w:p w14:paraId="3001A79D" w14:textId="77777777" w:rsidR="00B149ED" w:rsidRPr="00A60245" w:rsidRDefault="00B149ED" w:rsidP="00A011EA">
            <w:pPr>
              <w:bidi/>
              <w:spacing w:before="48" w:after="48"/>
              <w:rPr>
                <w:rFonts w:ascii="Sakkal Majalla" w:hAnsi="Sakkal Majalla" w:cs="Sakkal Majalla"/>
                <w:sz w:val="28"/>
                <w:szCs w:val="28"/>
              </w:rPr>
            </w:pPr>
            <w:r>
              <w:rPr>
                <w:rFonts w:ascii="Segoe UI Emoji" w:hAnsi="Segoe UI Emoji" w:cs="Segoe UI Emoji" w:hint="cs"/>
                <w:b/>
                <w:bCs/>
                <w:color w:val="FFFFFF"/>
                <w:sz w:val="28"/>
                <w:szCs w:val="28"/>
                <w:rtl/>
              </w:rPr>
              <w:t xml:space="preserve">ما معنى «السلطة المعرفية» (Epistemic Authority)؟</w:t>
            </w:r>
          </w:p>
        </w:tc>
      </w:tr>
      <w:tr w:rsidR="00B149ED" w:rsidRPr="00A60245" w14:paraId="1F36BC44" w14:textId="77777777" w:rsidTr="00A011EA">
        <w:tc>
          <w:tcPr>
            <w:tcW w:w="9715" w:type="dxa"/>
            <w:shd w:val="clear" w:color="auto" w:fill="FFF5E0"/>
            <w:tcMar>
              <w:top w:w="72" w:type="dxa"/>
              <w:left w:w="100" w:type="dxa"/>
              <w:bottom w:w="72" w:type="dxa"/>
              <w:right w:w="100" w:type="dxa"/>
            </w:tcMar>
            <w:vAlign w:val="center"/>
          </w:tcPr>
          <w:p w14:paraId="5FFA4505"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السلطة المعرفية جواب عن سؤال: متى يحق لمصدر أن يقيّد حكمي، ولو خالف ما أعتقده أنا مباشرة؟ مثال ذلك في الإدارة: تعتقد أن القرار (س) صحيح، ويقول الخبير المالي العكس. فمتى تتبع الخبير رغم قناعتك؟ وبأي معيار؟ هذا ما تدرسه نظرية السلطة المعرفية، وهذا الفصل يطبّقها على أسئلة من نوع: متى نقدّم ابن كثير على ابن عاشور؟ ومتى نفعل العكس؟</w:t>
            </w:r>
          </w:p>
        </w:tc>
      </w:tr>
    </w:tbl>
    <w:p w14:paraId="11E14251" w14:textId="77777777" w:rsidR="00B149ED" w:rsidRPr="00A60245" w:rsidRDefault="00B149ED" w:rsidP="00B149ED">
      <w:pPr>
        <w:bidi/>
        <w:spacing w:after="55"/>
        <w:rPr>
          <w:rFonts w:ascii="Sakkal Majalla" w:hAnsi="Sakkal Majalla" w:cs="Sakkal Majalla"/>
          <w:sz w:val="28"/>
          <w:szCs w:val="28"/>
        </w:rPr>
      </w:pPr>
    </w:p>
    <w:p w14:paraId="09B9C717"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قد يبدو ترتيب مصادر الاستدلال مسألة تنظيمية، قائمة أولويات يضعها الباحث لتنظيم عمله. لكنه في الحقيقة تطبيق لما تسميه الإبستيمولوجيا المعاصرة «نظرية السلطة المعرفية» (Epistemic Authority Theory)، وهي الحقل الذي يسأل: متى يحق لمصدر معرفي أن يقيّد حكمنا الخاص؟</w:t>
      </w:r>
    </w:p>
    <w:p w14:paraId="37177088" w14:textId="77777777" w:rsidR="00B149ED" w:rsidRPr="00A60245" w:rsidRDefault="00B149ED" w:rsidP="00B149ED">
      <w:pPr>
        <w:bidi/>
        <w:spacing w:after="70"/>
        <w:ind w:right="260"/>
        <w:rPr>
          <w:rFonts w:ascii="Sakkal Majalla" w:hAnsi="Sakkal Majalla" w:cs="Sakkal Majalla"/>
          <w:sz w:val="28"/>
          <w:szCs w:val="28"/>
        </w:rPr>
      </w:pPr>
      <w:r w:rsidRPr="00A60245">
        <w:rPr>
          <w:rFonts w:ascii="Sakkal Majalla" w:hAnsi="Sakkal Majalla" w:cs="Sakkal Majalla"/>
          <w:i/>
          <w:iCs/>
          <w:color w:val="595959"/>
          <w:sz w:val="28"/>
          <w:szCs w:val="28"/>
        </w:rPr>
        <w:lastRenderedPageBreak/>
        <w:t xml:space="preserve">    Zagzebski, L. (2012). Epistemic Authority: A Theory of Trust, Authority, and Autonomy in Belief. Oxford University Press.</w:t>
      </w:r>
    </w:p>
    <w:p w14:paraId="1944ED92"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وتفرّق زغزيبسكي بين نوعين من الأسباب لقبول حكم الآخر: أسباب «الشخص الأول» (First-Person Reasons)، حين أستطيع التحقق بنفسي، وأسباب «الشخص الثالث» (Third-Person Reasons)، حين أثق بحكم غيري لأنه أهل للثقة دون أن أتحقق من كل تفصيل. والسلطة المعرفية الحقيقية تنشأ حين يكون هذا النوع الثاني من الثقة عقلانيًا.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B149ED" w:rsidRPr="00A60245" w14:paraId="282696F3" w14:textId="77777777" w:rsidTr="00A011EA">
        <w:tc>
          <w:tcPr>
            <w:tcW w:w="8640" w:type="dxa"/>
            <w:shd w:val="clear" w:color="auto" w:fill="1F3864"/>
            <w:tcMar>
              <w:top w:w="72" w:type="dxa"/>
              <w:left w:w="100" w:type="dxa"/>
              <w:bottom w:w="72" w:type="dxa"/>
              <w:right w:w="100" w:type="dxa"/>
            </w:tcMar>
            <w:vAlign w:val="center"/>
          </w:tcPr>
          <w:p w14:paraId="045ABD8E"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t xml:space="preserve">القاعدة الفلسفية التي يقوم عليها الفصل</w:t>
            </w:r>
          </w:p>
        </w:tc>
      </w:tr>
      <w:tr w:rsidR="00B149ED" w:rsidRPr="00A60245" w14:paraId="3918CA92" w14:textId="77777777" w:rsidTr="00A011EA">
        <w:tc>
          <w:tcPr>
            <w:tcW w:w="8640" w:type="dxa"/>
            <w:shd w:val="clear" w:color="auto" w:fill="EBF5FB"/>
            <w:tcMar>
              <w:top w:w="72" w:type="dxa"/>
              <w:left w:w="100" w:type="dxa"/>
              <w:bottom w:w="72" w:type="dxa"/>
              <w:right w:w="100" w:type="dxa"/>
            </w:tcMar>
            <w:vAlign w:val="center"/>
          </w:tcPr>
          <w:p w14:paraId="6B79C21D"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هرم المصادر ليس تفضيلًا تعسفيًا، بل تطبيق لتفاوت أنواع السلطة المعرفية. فللقرآن سلطة يقينية (Type-1 Authority) خارج نطاق الشهادة البشرية، ولما دونه سلطة مشتقة متدرجة (Type-2 Authority) تُقاس بالخبرة والأمانة والمنهج.</w:t>
            </w:r>
          </w:p>
        </w:tc>
      </w:tr>
    </w:tbl>
    <w:p w14:paraId="07201C95" w14:textId="77777777" w:rsidR="00B149ED" w:rsidRPr="00A60245" w:rsidRDefault="00B149ED" w:rsidP="00B149ED">
      <w:pPr>
        <w:bidi/>
        <w:spacing w:after="55"/>
        <w:rPr>
          <w:rFonts w:ascii="Sakkal Majalla" w:hAnsi="Sakkal Majalla" w:cs="Sakkal Majalla"/>
          <w:sz w:val="28"/>
          <w:szCs w:val="28"/>
        </w:rPr>
      </w:pPr>
    </w:p>
    <w:p w14:paraId="75F535ED" w14:textId="77777777" w:rsidR="00B149ED" w:rsidRPr="00A60245" w:rsidRDefault="00B149ED" w:rsidP="00B149ED">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تاريخ مبدأ الترتيب في علم أصول التفسير</w:t>
      </w:r>
    </w:p>
    <w:p w14:paraId="5B22AEF8"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ولم يُخترع مبدأ ترتيب مصادر التفسير في هذا الكتاب، فهو امتداد لتقليد علمي إسلامي طويل:</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7645"/>
      </w:tblGrid>
      <w:tr w:rsidR="00B149ED" w:rsidRPr="00A60245" w14:paraId="19E74B93" w14:textId="77777777" w:rsidTr="00A011EA">
        <w:tc>
          <w:tcPr>
            <w:tcW w:w="2160" w:type="dxa"/>
            <w:shd w:val="clear" w:color="auto" w:fill="1F3864"/>
            <w:tcMar>
              <w:top w:w="72" w:type="dxa"/>
              <w:left w:w="100" w:type="dxa"/>
              <w:bottom w:w="72" w:type="dxa"/>
              <w:right w:w="100" w:type="dxa"/>
            </w:tcMar>
            <w:vAlign w:val="center"/>
          </w:tcPr>
          <w:p w14:paraId="5C9F5342"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العالِم والعمل</w:t>
            </w:r>
          </w:p>
        </w:tc>
        <w:tc>
          <w:tcPr>
            <w:tcW w:w="7645" w:type="dxa"/>
            <w:shd w:val="clear" w:color="auto" w:fill="1F3864"/>
            <w:tcMar>
              <w:top w:w="72" w:type="dxa"/>
              <w:left w:w="100" w:type="dxa"/>
              <w:bottom w:w="72" w:type="dxa"/>
              <w:right w:w="100" w:type="dxa"/>
            </w:tcMar>
            <w:vAlign w:val="center"/>
          </w:tcPr>
          <w:p w14:paraId="6749EBC8"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الإسهام في مبدأ التراتبية</w:t>
            </w:r>
          </w:p>
        </w:tc>
      </w:tr>
      <w:tr w:rsidR="00B149ED" w:rsidRPr="00A60245" w14:paraId="31C671A5" w14:textId="77777777" w:rsidTr="00A011EA">
        <w:tc>
          <w:tcPr>
            <w:tcW w:w="2160" w:type="dxa"/>
            <w:shd w:val="clear" w:color="auto" w:fill="EBF5FB"/>
            <w:tcMar>
              <w:top w:w="72" w:type="dxa"/>
              <w:left w:w="100" w:type="dxa"/>
              <w:bottom w:w="72" w:type="dxa"/>
              <w:right w:w="100" w:type="dxa"/>
            </w:tcMar>
            <w:vAlign w:val="center"/>
          </w:tcPr>
          <w:p w14:paraId="594AF9CD"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الطبري (ت.310ه) جامع البيان</w:t>
            </w:r>
          </w:p>
        </w:tc>
        <w:tc>
          <w:tcPr>
            <w:tcW w:w="7645" w:type="dxa"/>
            <w:shd w:val="clear" w:color="auto" w:fill="F5FAFF"/>
            <w:tcMar>
              <w:top w:w="72" w:type="dxa"/>
              <w:left w:w="100" w:type="dxa"/>
              <w:bottom w:w="72" w:type="dxa"/>
              <w:right w:w="100" w:type="dxa"/>
            </w:tcMar>
            <w:vAlign w:val="center"/>
          </w:tcPr>
          <w:p w14:paraId="2C5E1E8A"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من أوائل من قعّدوا صراحةً لطبقات التفسير: القرآن بالقرآن، ثم بالسنة، ثم بأقوال الصحابة، ثم التابعين، ثم اللغة المنضبطة. وعليه يقوم كثير مما بُني في هذا الفصل.</w:t>
            </w:r>
          </w:p>
        </w:tc>
      </w:tr>
      <w:tr w:rsidR="00B149ED" w:rsidRPr="00A60245" w14:paraId="46CE4366" w14:textId="77777777" w:rsidTr="00A011EA">
        <w:tc>
          <w:tcPr>
            <w:tcW w:w="2160" w:type="dxa"/>
            <w:shd w:val="clear" w:color="auto" w:fill="FFFFFF"/>
            <w:tcMar>
              <w:top w:w="72" w:type="dxa"/>
              <w:left w:w="100" w:type="dxa"/>
              <w:bottom w:w="72" w:type="dxa"/>
              <w:right w:w="100" w:type="dxa"/>
            </w:tcMar>
            <w:vAlign w:val="center"/>
          </w:tcPr>
          <w:p w14:paraId="250294CB"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ابن تيمية (ت.728ه) مقدمة في أصول التفسير</w:t>
            </w:r>
          </w:p>
        </w:tc>
        <w:tc>
          <w:tcPr>
            <w:tcW w:w="7645" w:type="dxa"/>
            <w:shd w:val="clear" w:color="auto" w:fill="FFFFFF"/>
            <w:tcMar>
              <w:top w:w="72" w:type="dxa"/>
              <w:left w:w="100" w:type="dxa"/>
              <w:bottom w:w="72" w:type="dxa"/>
              <w:right w:w="100" w:type="dxa"/>
            </w:tcMar>
            <w:vAlign w:val="center"/>
          </w:tcPr>
          <w:p w14:paraId="6F12FF05"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طوّر الترتيب بصياغة أكثر تنظيمًا، وميّز بين إجماع الصحابة وآرائهم المتفرقة. و«طرق التفسير» عنده هي الأصل التاريخي المباشر لهرم هذا الفصل.</w:t>
            </w:r>
          </w:p>
        </w:tc>
      </w:tr>
      <w:tr w:rsidR="00B149ED" w:rsidRPr="00A60245" w14:paraId="4D2A4705" w14:textId="77777777" w:rsidTr="00A011EA">
        <w:tc>
          <w:tcPr>
            <w:tcW w:w="2160" w:type="dxa"/>
            <w:shd w:val="clear" w:color="auto" w:fill="EBF5FB"/>
            <w:tcMar>
              <w:top w:w="72" w:type="dxa"/>
              <w:left w:w="100" w:type="dxa"/>
              <w:bottom w:w="72" w:type="dxa"/>
              <w:right w:w="100" w:type="dxa"/>
            </w:tcMar>
            <w:vAlign w:val="center"/>
          </w:tcPr>
          <w:p w14:paraId="71FC7F2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الزركشي والسيوطي (ق.8-9ه)</w:t>
            </w:r>
          </w:p>
        </w:tc>
        <w:tc>
          <w:tcPr>
            <w:tcW w:w="7645" w:type="dxa"/>
            <w:shd w:val="clear" w:color="auto" w:fill="F5FAFF"/>
            <w:tcMar>
              <w:top w:w="72" w:type="dxa"/>
              <w:left w:w="100" w:type="dxa"/>
              <w:bottom w:w="72" w:type="dxa"/>
              <w:right w:w="100" w:type="dxa"/>
            </w:tcMar>
            <w:vAlign w:val="center"/>
          </w:tcPr>
          <w:p w14:paraId="7EA64ECF"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دوّنا «علوم القرآن» حقلًا مستقلًا بقواعده: شروط المفسّر المقبول، ومراتب الاختلاف في التفسير، وضوابط قبول الإسرائيليات.</w:t>
            </w:r>
          </w:p>
        </w:tc>
      </w:tr>
      <w:tr w:rsidR="00B149ED" w:rsidRPr="00A60245" w14:paraId="067FAF5B" w14:textId="77777777" w:rsidTr="00A011EA">
        <w:tc>
          <w:tcPr>
            <w:tcW w:w="2160" w:type="dxa"/>
            <w:shd w:val="clear" w:color="auto" w:fill="FFFFFF"/>
            <w:tcMar>
              <w:top w:w="72" w:type="dxa"/>
              <w:left w:w="100" w:type="dxa"/>
              <w:bottom w:w="72" w:type="dxa"/>
              <w:right w:w="100" w:type="dxa"/>
            </w:tcMar>
            <w:vAlign w:val="center"/>
          </w:tcPr>
          <w:p w14:paraId="69F37357"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هذا الكتاب (معاصر)</w:t>
            </w:r>
          </w:p>
        </w:tc>
        <w:tc>
          <w:tcPr>
            <w:tcW w:w="7645" w:type="dxa"/>
            <w:shd w:val="clear" w:color="auto" w:fill="FFFFFF"/>
            <w:tcMar>
              <w:top w:w="72" w:type="dxa"/>
              <w:left w:w="100" w:type="dxa"/>
              <w:bottom w:w="72" w:type="dxa"/>
              <w:right w:w="100" w:type="dxa"/>
            </w:tcMar>
            <w:vAlign w:val="center"/>
          </w:tcPr>
          <w:p w14:paraId="3B9CB95B"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يأخذ التراتبية الأساسية من الطبري وابن تيمية، ويضيف تصنيف المدارس الخمس، ويعرضها بلغة فلسفية معاصرة (نظرية السلطة المعرفية) تيسّر الحوار مع القارئ الأكاديمي.</w:t>
            </w:r>
          </w:p>
        </w:tc>
      </w:tr>
    </w:tbl>
    <w:p w14:paraId="6B76DA9F" w14:textId="77777777" w:rsidR="00B149ED" w:rsidRPr="00A60245" w:rsidRDefault="00B149ED" w:rsidP="00B149ED">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فهرم المصادر امتداد للتراث لا قطيعة معه: يأخذ منه التراتبية الأساسية، ويضيف إليها تصنيف المدارس ولغة فلسفية معاصرة.</w:t>
      </w:r>
    </w:p>
    <w:p w14:paraId="49ADF82D" w14:textId="77777777" w:rsidR="00B149ED" w:rsidRPr="00A60245" w:rsidRDefault="00B149ED" w:rsidP="00B149ED">
      <w:pPr>
        <w:bidi/>
        <w:spacing w:after="55"/>
        <w:rPr>
          <w:rFonts w:ascii="Sakkal Majalla" w:hAnsi="Sakkal Majalla" w:cs="Sakkal Majalla"/>
          <w:sz w:val="28"/>
          <w:szCs w:val="28"/>
        </w:rPr>
      </w:pPr>
    </w:p>
    <w:p w14:paraId="3216BE46" w14:textId="77777777" w:rsidR="00B149ED" w:rsidRPr="00A60245" w:rsidRDefault="00B149ED" w:rsidP="00B149ED">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مثال: كيف يُحسم الخلاف حين تختلف المدارس فعلًا؟</w:t>
      </w:r>
    </w:p>
    <w:p w14:paraId="2D8E5ACC"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واختلف المفسرون في حكم الأمر بالشورى وعلّته في ﴿وَشَاوِرْهُمْ فِي الْأَمْرِ﴾ (آل عمران:159). فالطبري، وهو من عمد التفسير الأثري وإن لم يكن ممثل المدرسة في هذا الكتاب، ينقل أقوالًا في علّة الأمر: تطييب نفوس الصحابة، والاستعانة برأيهم فيما لم ينزل فيه وحي، وتعليم الأمة أن تتشاور من بعده. والقرطبي (المدرسة الفقهية) يعدّ الشورى من قواعد الشريعة، وينقل عن ابن عطية أن من لا يستشير أهل العلم والدين فعزله واجب. وابن عاشور (المدرسة اللغوية) يستدل بصيغة الأمر على الوجوب، مقيَّدًا بوجوب الفعل لا بلزوم النتيجة.</w:t>
      </w:r>
    </w:p>
    <w:p w14:paraId="493E1601"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وهذه طريقة الحسم التي يتبعها الكتاب في مثل هذا الخلاف:</w:t>
      </w:r>
    </w:p>
    <w:p w14:paraId="6DDF12A8" w14:textId="77777777" w:rsidR="00B149ED" w:rsidRPr="00A60245" w:rsidRDefault="00B149ED" w:rsidP="00B149ED">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xml:space="preserve">◆  تحديد نوع الخلاف: هل هو خلاف في الرواية (نصوص متعارضة) أم في الاستنباط (نص واحد وتأويلات مختلفة)؟ والخلاف هنا استنباطي.</w:t>
      </w:r>
    </w:p>
    <w:p w14:paraId="21DB9F42" w14:textId="77777777" w:rsidR="00B149ED" w:rsidRPr="00A60245" w:rsidRDefault="00B149ED" w:rsidP="00B149ED">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xml:space="preserve">◆  الترجيح بما اجتمعت عليه أقوى المدارس في هذا الجانب: ويُرجَّح هنا وجوب المشاورة فعلًا لا لزوم نتيجتها، لموافقته صيغة الأمر، ولما نقله القرطبي من عدّها من قواعد الشريعة، ولأن أقوال الطبري في علّة الأمر لا تنفي وجوبه.</w:t>
      </w:r>
    </w:p>
    <w:p w14:paraId="017973EF" w14:textId="77777777" w:rsidR="00B149ED" w:rsidRPr="00A60245" w:rsidRDefault="00B149ED" w:rsidP="00B149ED">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xml:space="preserve">◆  توثيق الخلاف لا إخفاؤه: تسجّل بطاقة الهوية المعرفية لمفهوم الشورى هذا الخلاف صراحة، بدل ادعاء إجماع لا وجود له.</w:t>
      </w:r>
    </w:p>
    <w:p w14:paraId="2B6139D8" w14:textId="77777777" w:rsidR="00B149ED" w:rsidRPr="00A60245" w:rsidRDefault="00B149ED" w:rsidP="00B149ED">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xml:space="preserve">◆  بيان أثر الخلاف في الاشتقاق الإداري: فوجوب الفعل ينتج مبدأً غير الذي ينتجه الاستحباب المحض، ويُذكر هذا الأثر في حقل «الاختلاف التفسيري وأثره» من البطاقة.</w:t>
      </w:r>
    </w:p>
    <w:p w14:paraId="4BF4D8C7" w14:textId="77777777" w:rsidR="00B149ED" w:rsidRPr="00A60245" w:rsidRDefault="00B149ED" w:rsidP="00B149ED">
      <w:pPr>
        <w:shd w:val="clear" w:color="auto" w:fill="FFF2CC"/>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والدرس أن التكامل بين المدارس لا يعني أن الخلاف يُحسم دائمًا بسهولة؛ فقد ينتهي إلى ترجيح معلَّل، وقد يبقى موثَّقًا بلا حسم. والأمانة أن نفرّق بين الحالتين.</w:t>
      </w:r>
    </w:p>
    <w:p w14:paraId="0B2D3050" w14:textId="77777777" w:rsidR="00B149ED" w:rsidRPr="00A60245" w:rsidRDefault="00B149ED" w:rsidP="00B149ED">
      <w:pPr>
        <w:bidi/>
        <w:spacing w:after="55"/>
        <w:rPr>
          <w:rFonts w:ascii="Sakkal Majalla" w:hAnsi="Sakkal Majalla" w:cs="Sakkal Majalla"/>
          <w:sz w:val="28"/>
          <w:szCs w:val="28"/>
        </w:rPr>
      </w:pPr>
    </w:p>
    <w:p w14:paraId="5FA318F8"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p w14:paraId="0F01CCDF" w14:textId="77777777" w:rsidR="00B149ED" w:rsidRPr="00A60245" w:rsidRDefault="00B149ED" w:rsidP="00B149ED">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 xml:space="preserve">4.2  السنة بيانًا لا منشأً: التأصيل من علم أصول الفقه</w:t>
      </w:r>
    </w:p>
    <w:p w14:paraId="531D3444"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ذكر الفصل الأول أن القرآن منشأ الأفكار، وأن السنة بيان لا منشأ مستقل. وليس هذا اختراعًا منهجيًا، بل تطبيق لما أرساه علم أصول الفقه منذ نشأته:</w:t>
      </w:r>
    </w:p>
    <w:p w14:paraId="226B09D1" w14:textId="77777777" w:rsidR="00B149ED" w:rsidRPr="00A60245" w:rsidRDefault="00B149ED" w:rsidP="00B149ED">
      <w:pPr>
        <w:bidi/>
        <w:spacing w:before="70" w:after="38"/>
        <w:rPr>
          <w:rFonts w:ascii="Sakkal Majalla" w:hAnsi="Sakkal Majalla" w:cs="Sakkal Majalla"/>
          <w:sz w:val="28"/>
          <w:szCs w:val="28"/>
        </w:rPr>
      </w:pPr>
      <w:r>
        <w:rPr>
          <w:rFonts w:ascii="Sakkal Majalla" w:hAnsi="Sakkal Majalla" w:cs="Sakkal Majalla"/>
          <w:b/>
          <w:bCs/>
          <w:color w:val="156082"/>
          <w:sz w:val="28"/>
          <w:szCs w:val="28"/>
          <w:rtl/>
        </w:rPr>
        <w:t xml:space="preserve">الشافعي في «الرسالة»: التأسيس الأول</w:t>
      </w:r>
    </w:p>
    <w:p w14:paraId="7F646D17"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يُعدّ الإمام الشافعي (ت.204ه) أول من قعّد منهجيًا لمنزلة السنة من القرآن في «الرسالة»، أول مصنَّف مستقل في أصول الفقه. ويقسّم بيان السنة للقرآن إلى: تفصيل لمجمل، وتخصيص لعام، وإنشاء حكم سكت عنه القرآن.</w:t>
      </w:r>
    </w:p>
    <w:p w14:paraId="4ABA0736" w14:textId="77777777" w:rsidR="00B149ED" w:rsidRPr="00A60245" w:rsidRDefault="00B149ED" w:rsidP="00B149ED">
      <w:pPr>
        <w:bidi/>
        <w:spacing w:after="70"/>
        <w:ind w:right="260"/>
        <w:rPr>
          <w:rFonts w:ascii="Sakkal Majalla" w:hAnsi="Sakkal Majalla" w:cs="Sakkal Majalla"/>
          <w:sz w:val="28"/>
          <w:szCs w:val="28"/>
        </w:rPr>
      </w:pPr>
      <w:r w:rsidRPr="00A60245">
        <w:rPr>
          <w:rFonts w:ascii="Sakkal Majalla" w:hAnsi="Sakkal Majalla" w:cs="Sakkal Majalla"/>
          <w:i/>
          <w:iCs/>
          <w:color w:val="595959"/>
          <w:sz w:val="28"/>
          <w:szCs w:val="28"/>
        </w:rPr>
        <w:t xml:space="preserve">    الشافعي، محمد بن إدريس (ت.204ه). الرسالة. تحقيق أحمد شاكر، مكتبة الحلبي، القاهرة، 1940. الفصل الخاص بـ"بيان السنة للكتاب."</w:t>
      </w:r>
    </w:p>
    <w:p w14:paraId="5DB38632" w14:textId="77777777" w:rsidR="00B149ED" w:rsidRPr="00A60245" w:rsidRDefault="00B149ED" w:rsidP="00B149ED">
      <w:pPr>
        <w:bidi/>
        <w:spacing w:before="70" w:after="38"/>
        <w:rPr>
          <w:rFonts w:ascii="Sakkal Majalla" w:hAnsi="Sakkal Majalla" w:cs="Sakkal Majalla"/>
          <w:sz w:val="28"/>
          <w:szCs w:val="28"/>
        </w:rPr>
      </w:pPr>
      <w:r>
        <w:rPr>
          <w:rFonts w:ascii="Sakkal Majalla" w:hAnsi="Sakkal Majalla" w:cs="Sakkal Majalla"/>
          <w:b/>
          <w:bCs/>
          <w:color w:val="156082"/>
          <w:sz w:val="28"/>
          <w:szCs w:val="28"/>
          <w:rtl/>
        </w:rPr>
        <w:t xml:space="preserve">ابن القيم في «إعلام الموقعين»: تقسيم أدق</w:t>
      </w:r>
    </w:p>
    <w:p w14:paraId="4B30155D"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ويطوّر ابن القيم (ت.751ه) هذا التأصيل بتقسيم أدق: فالسنة إما مؤكِّدة لما في القرآن (بيان تأكيدي)، أو مفسّرة لمجمله (بيان تفسيري، وهو الأكثر)، أو منشئة حكمًا سكت عنه القرآن دون أن تخالف أصلًا قرآنيًا (بيان إنشائي مقيّد).</w:t>
      </w:r>
    </w:p>
    <w:p w14:paraId="0EB06B87" w14:textId="77777777" w:rsidR="00B149ED" w:rsidRPr="00A60245" w:rsidRDefault="00B149ED" w:rsidP="00B149ED">
      <w:pPr>
        <w:bidi/>
        <w:spacing w:after="70"/>
        <w:ind w:right="260"/>
        <w:rPr>
          <w:rFonts w:ascii="Sakkal Majalla" w:hAnsi="Sakkal Majalla" w:cs="Sakkal Majalla"/>
          <w:sz w:val="28"/>
          <w:szCs w:val="28"/>
        </w:rPr>
      </w:pPr>
      <w:r w:rsidRPr="00A60245">
        <w:rPr>
          <w:rFonts w:ascii="Sakkal Majalla" w:hAnsi="Sakkal Majalla" w:cs="Sakkal Majalla"/>
          <w:i/>
          <w:iCs/>
          <w:color w:val="595959"/>
          <w:sz w:val="28"/>
          <w:szCs w:val="28"/>
        </w:rPr>
        <w:t xml:space="preserve">    ابن القيم، محمد بن أبي بكر (ت.751ه). إعلام الموقعين. تحقيق طه عبد الرؤوف سعد، دار الجيل، بيروت. الجزء الثاني، مبحث "أقسام بيان السنة للقرآن."</w:t>
      </w:r>
    </w:p>
    <w:p w14:paraId="2119CC3F" w14:textId="77777777" w:rsidR="00B149ED" w:rsidRPr="00A60245" w:rsidRDefault="00B149ED" w:rsidP="00B149ED">
      <w:pPr>
        <w:bidi/>
        <w:spacing w:before="70" w:after="38"/>
        <w:rPr>
          <w:rFonts w:ascii="Sakkal Majalla" w:hAnsi="Sakkal Majalla" w:cs="Sakkal Majalla"/>
          <w:sz w:val="28"/>
          <w:szCs w:val="28"/>
        </w:rPr>
      </w:pPr>
      <w:r>
        <w:rPr>
          <w:rFonts w:ascii="Sakkal Majalla" w:hAnsi="Sakkal Majalla" w:cs="Sakkal Majalla"/>
          <w:b/>
          <w:bCs/>
          <w:color w:val="156082"/>
          <w:sz w:val="28"/>
          <w:szCs w:val="28"/>
          <w:rtl/>
        </w:rPr>
        <w:t xml:space="preserve">لماذا يقتصر هذا الكتاب على النوعين الأول والثاني</w:t>
      </w:r>
    </w:p>
    <w:p w14:paraId="75BD5B2F"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يأخذ هذا الكتاب من تقسيم ابن القيم النوعين الأول والثاني (التأكيد والتفسير)، ويتحفّظ عمدًا عن الثالث (الإنشاء المقيّد) مصدرًا مستقلًا. ولا أفعل ذلك لأن النوع الثالث غير معتبر أصوليًا، بل لأن غاية الكتاب أضيق: أن يكون لكل مفهوم إداري أصل قرآني مباشر. وهذا تشدد منهجي فوق ما يشترطه علم الأصول، يخدم الفرضية الصفرية بجعل «الأصالة القرآنية» أصعب تحقيقًا لا أسهل. ويدخل تفصيل المجمل وتخصيص العام عند الشافعي في البيان التفسيري نفسه. أما التصنيف الذي ذكره الفصل الأول (تفسيري، وتطبيقي، ونطاقي) فيصف طريقة البيان داخل هذين النوعين، ولا يضيف نوعًا ثالثًا.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B149ED" w:rsidRPr="00A60245" w14:paraId="0CCBD3C1" w14:textId="77777777" w:rsidTr="00A011EA">
        <w:tc>
          <w:tcPr>
            <w:tcW w:w="8640" w:type="dxa"/>
            <w:shd w:val="clear" w:color="auto" w:fill="156082"/>
            <w:tcMar>
              <w:top w:w="72" w:type="dxa"/>
              <w:left w:w="100" w:type="dxa"/>
              <w:bottom w:w="72" w:type="dxa"/>
              <w:right w:w="100" w:type="dxa"/>
            </w:tcMar>
            <w:vAlign w:val="center"/>
          </w:tcPr>
          <w:p w14:paraId="7C601328"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t xml:space="preserve">خلاصة أصولية</w:t>
            </w:r>
          </w:p>
        </w:tc>
      </w:tr>
      <w:tr w:rsidR="00B149ED" w:rsidRPr="00A60245" w14:paraId="1BCB5399" w14:textId="77777777" w:rsidTr="00A011EA">
        <w:tc>
          <w:tcPr>
            <w:tcW w:w="8640" w:type="dxa"/>
            <w:shd w:val="clear" w:color="auto" w:fill="EBF5FB"/>
            <w:tcMar>
              <w:top w:w="72" w:type="dxa"/>
              <w:left w:w="100" w:type="dxa"/>
              <w:bottom w:w="72" w:type="dxa"/>
              <w:right w:w="100" w:type="dxa"/>
            </w:tcMar>
            <w:vAlign w:val="center"/>
          </w:tcPr>
          <w:p w14:paraId="02874E16"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حين يقول هذا الكتاب «السنة بيان لا منشأ»، فهو يستعمل «البيان» بمعناه الأصولي عند الشافعي وابن القيم (التفصيل والتفسير والتأكيد)، ويتحفّظ عمدًا، بتشدد أعلى مما تقتضيه الأصول، عن البيان الإنشائي المقيّد مصدرًا مستقلًا للمفاهيم.</w:t>
            </w:r>
          </w:p>
        </w:tc>
      </w:tr>
    </w:tbl>
    <w:p w:rsidR="00B149ED" w:rsidRPr="00A60245" w:rsidRDefault="00B149ED" w:rsidP="00B149ED">
      <w:pPr>
        <w:bidi/>
        <w:spacing w:after="55"/>
        <w:rPr>
          <w:rFonts w:ascii="Sakkal Majalla" w:hAnsi="Sakkal Majalla" w:cs="Sakkal Majalla"/>
          <w:sz w:val="28"/>
          <w:szCs w:val="28"/>
        </w:rPr>
      </w:pPr>
    </w:p>
    <w:p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وتؤدي السنة في هذا الكتاب وظيفة البيان والتطبيق والتجسيد، ولا تُستعمل غطاءً يضيف شرعية شكلية إلى مفهوم سبق بناؤه. فحين نستشهد بحديث، قولًا كان أو فعلًا أو تقريرًا، نوضح نوع علاقته بالآية أو بالمفهوم: هل يفسّر مجملًا، أم يخصّص معنى عامًا، أم يقدّم نموذجًا سلوكيًا، أم يضيء سياقًا تاريخيًا؟ فالحديث لا يؤدي الوظيفة نفسها في كل موضع. ثم إن صحة الحديث لا تعني تلقائيًا أن الانتقال منه إلى إجراء إداري تمّ بصورة صحيحة؛ فذلك الانتقال نفسه يحتاج إلى شرح واختبار.</w:t>
      </w:r>
    </w:p>
    <w:p w14:paraId="6252D180" w14:textId="77777777" w:rsidR="00B149ED" w:rsidRPr="00A60245" w:rsidRDefault="00B149ED" w:rsidP="00B149ED">
      <w:pPr>
        <w:bidi/>
        <w:spacing w:after="55"/>
        <w:rPr>
          <w:rFonts w:ascii="Sakkal Majalla" w:hAnsi="Sakkal Majalla" w:cs="Sakkal Majalla"/>
          <w:sz w:val="28"/>
          <w:szCs w:val="28"/>
        </w:rPr>
      </w:pPr>
    </w:p>
    <w:p w14:paraId="1E3BFFD5"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p w14:paraId="7ED24A2B" w14:textId="77777777" w:rsidR="00B149ED" w:rsidRPr="00A60245" w:rsidRDefault="00B149ED" w:rsidP="00B149ED">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 xml:space="preserve">4.3  خمس مدارس تفسيرية: معايير الاختيار والتحليل النقدي</w:t>
      </w:r>
    </w:p>
    <w:p w14:paraId="647451E0"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لا يكفي أن نذكر «خمس مدارس تفسيرية»؛ ينبغي أن نبيّن لماذا هذه الخمس، وما معيار اختيار ممثل كل مدرسة، وما حدود سلطته. ومعايير الاختيار أربعة:</w:t>
      </w:r>
    </w:p>
    <w:p w14:paraId="5D75DAC3" w14:textId="77777777" w:rsidR="00B149ED" w:rsidRPr="00A60245" w:rsidRDefault="00B149ED" w:rsidP="00B149ED">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xml:space="preserve">◆  التمثيل المنهجي: أن يكون العالِم صاحب منهج تفسيري متكامل، لا ناقلًا فقط.</w:t>
      </w:r>
    </w:p>
    <w:p w14:paraId="0D564342" w14:textId="77777777" w:rsidR="00B149ED" w:rsidRPr="00A60245" w:rsidRDefault="00B149ED" w:rsidP="00B149ED">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xml:space="preserve">◆  الاعتراف العلمي الواسع: أن يحظى تفسيره بقبول ممتد عبر القرون، لا بشهرة عابرة.</w:t>
      </w:r>
    </w:p>
    <w:p w14:paraId="415EFB57" w14:textId="77777777" w:rsidR="00B149ED" w:rsidRPr="00A60245" w:rsidRDefault="00B149ED" w:rsidP="00B149ED">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xml:space="preserve">◆  الاكتمال: أن يغطي التفسير القرآن كاملًا لا أجزاء متفرقة منه.</w:t>
      </w:r>
    </w:p>
    <w:p w14:paraId="73DD1391" w14:textId="77777777" w:rsidR="00B149ED" w:rsidRPr="00A60245" w:rsidRDefault="00B149ED" w:rsidP="00B149ED">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xml:space="preserve">◆  إتاحة النص: أن يكون التفسير محقَّقًا ومطبوعًا طباعة موثوقة.</w:t>
      </w:r>
    </w:p>
    <w:p w14:paraId="03448F26" w14:textId="77777777" w:rsidR="00B149ED" w:rsidRPr="00A60245" w:rsidRDefault="00B149ED" w:rsidP="00B149ED">
      <w:pPr>
        <w:bidi/>
        <w:spacing w:after="55"/>
        <w:rPr>
          <w:rFonts w:ascii="Sakkal Majalla" w:hAnsi="Sakkal Majalla" w:cs="Sakkal Majalla"/>
          <w:sz w:val="28"/>
          <w:szCs w:val="28"/>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2160"/>
        <w:gridCol w:w="1800"/>
        <w:gridCol w:w="2965"/>
      </w:tblGrid>
      <w:tr w:rsidR="00B149ED" w:rsidRPr="00A60245" w14:paraId="34E5C1F7" w14:textId="77777777" w:rsidTr="00A011EA">
        <w:tc>
          <w:tcPr>
            <w:tcW w:w="360" w:type="dxa"/>
            <w:shd w:val="clear" w:color="auto" w:fill="1F3864"/>
            <w:tcMar>
              <w:top w:w="72" w:type="dxa"/>
              <w:left w:w="100" w:type="dxa"/>
              <w:bottom w:w="72" w:type="dxa"/>
              <w:right w:w="100" w:type="dxa"/>
            </w:tcMar>
            <w:vAlign w:val="center"/>
          </w:tcPr>
          <w:p w14:paraId="783466D0"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w:t>
            </w:r>
          </w:p>
        </w:tc>
        <w:tc>
          <w:tcPr>
            <w:tcW w:w="2160" w:type="dxa"/>
            <w:shd w:val="clear" w:color="auto" w:fill="1F3864"/>
            <w:tcMar>
              <w:top w:w="72" w:type="dxa"/>
              <w:left w:w="100" w:type="dxa"/>
              <w:bottom w:w="72" w:type="dxa"/>
              <w:right w:w="100" w:type="dxa"/>
            </w:tcMar>
            <w:vAlign w:val="center"/>
          </w:tcPr>
          <w:p w14:paraId="0D593AB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المدرسة والممثل</w:t>
            </w:r>
          </w:p>
        </w:tc>
        <w:tc>
          <w:tcPr>
            <w:tcW w:w="2160" w:type="dxa"/>
            <w:shd w:val="clear" w:color="auto" w:fill="1F3864"/>
            <w:tcMar>
              <w:top w:w="72" w:type="dxa"/>
              <w:left w:w="100" w:type="dxa"/>
              <w:bottom w:w="72" w:type="dxa"/>
              <w:right w:w="100" w:type="dxa"/>
            </w:tcMar>
            <w:vAlign w:val="center"/>
          </w:tcPr>
          <w:p w14:paraId="332F5B4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المنهج المميِّز</w:t>
            </w:r>
          </w:p>
        </w:tc>
        <w:tc>
          <w:tcPr>
            <w:tcW w:w="1800" w:type="dxa"/>
            <w:shd w:val="clear" w:color="auto" w:fill="1F3864"/>
            <w:tcMar>
              <w:top w:w="72" w:type="dxa"/>
              <w:left w:w="100" w:type="dxa"/>
              <w:bottom w:w="72" w:type="dxa"/>
              <w:right w:w="100" w:type="dxa"/>
            </w:tcMar>
            <w:vAlign w:val="center"/>
          </w:tcPr>
          <w:p w14:paraId="3ACD548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نقاط القوة لهذا الكتاب</w:t>
            </w:r>
          </w:p>
        </w:tc>
        <w:tc>
          <w:tcPr>
            <w:tcW w:w="2965" w:type="dxa"/>
            <w:shd w:val="clear" w:color="auto" w:fill="1F3864"/>
            <w:tcMar>
              <w:top w:w="72" w:type="dxa"/>
              <w:left w:w="100" w:type="dxa"/>
              <w:bottom w:w="72" w:type="dxa"/>
              <w:right w:w="100" w:type="dxa"/>
            </w:tcMar>
            <w:vAlign w:val="center"/>
          </w:tcPr>
          <w:p w14:paraId="722FF56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الحدود والتحفظات</w:t>
            </w:r>
          </w:p>
        </w:tc>
      </w:tr>
      <w:tr w:rsidR="00B149ED" w:rsidRPr="00A60245" w14:paraId="19173037" w14:textId="77777777" w:rsidTr="00A011EA">
        <w:tc>
          <w:tcPr>
            <w:tcW w:w="360" w:type="dxa"/>
            <w:shd w:val="clear" w:color="auto" w:fill="EBF5FB"/>
            <w:tcMar>
              <w:top w:w="72" w:type="dxa"/>
              <w:left w:w="100" w:type="dxa"/>
              <w:bottom w:w="72" w:type="dxa"/>
              <w:right w:w="100" w:type="dxa"/>
            </w:tcMar>
            <w:vAlign w:val="center"/>
          </w:tcPr>
          <w:p w14:paraId="6D4EE2E4"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١</w:t>
            </w:r>
          </w:p>
        </w:tc>
        <w:tc>
          <w:tcPr>
            <w:tcW w:w="2160" w:type="dxa"/>
            <w:shd w:val="clear" w:color="auto" w:fill="F8F8F8"/>
            <w:tcMar>
              <w:top w:w="72" w:type="dxa"/>
              <w:left w:w="100" w:type="dxa"/>
              <w:bottom w:w="72" w:type="dxa"/>
              <w:right w:w="100" w:type="dxa"/>
            </w:tcMar>
            <w:vAlign w:val="center"/>
          </w:tcPr>
          <w:p w14:paraId="06632D95"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الأثرية ابن كثير (ت.774ه) تفسير القرآن العظيم</w:t>
            </w:r>
          </w:p>
        </w:tc>
        <w:tc>
          <w:tcPr>
            <w:tcW w:w="2160" w:type="dxa"/>
            <w:shd w:val="clear" w:color="auto" w:fill="F8F8F8"/>
            <w:tcMar>
              <w:top w:w="72" w:type="dxa"/>
              <w:left w:w="100" w:type="dxa"/>
              <w:bottom w:w="72" w:type="dxa"/>
              <w:right w:w="100" w:type="dxa"/>
            </w:tcMar>
            <w:vAlign w:val="center"/>
          </w:tcPr>
          <w:p w14:paraId="25D85E35"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تفسير القرآن بالقرآن أولاً، ثم بالسنة، ثم بأقوال الصحابة والتابعين. يُقدِّم النقل على العقل عند التعارض.</w:t>
            </w:r>
          </w:p>
        </w:tc>
        <w:tc>
          <w:tcPr>
            <w:tcW w:w="1800" w:type="dxa"/>
            <w:shd w:val="clear" w:color="auto" w:fill="EBF5E0"/>
            <w:tcMar>
              <w:top w:w="72" w:type="dxa"/>
              <w:left w:w="100" w:type="dxa"/>
              <w:bottom w:w="72" w:type="dxa"/>
              <w:right w:w="100" w:type="dxa"/>
            </w:tcMar>
            <w:vAlign w:val="center"/>
          </w:tcPr>
          <w:p w14:paraId="78A2F01E"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أعلى درجة من الضبط في نسبة الأقوال ومصادرها — يمنع الانزلاق للرأي المحض.</w:t>
            </w:r>
          </w:p>
        </w:tc>
        <w:tc>
          <w:tcPr>
            <w:tcW w:w="2965" w:type="dxa"/>
            <w:shd w:val="clear" w:color="auto" w:fill="FFF5F5"/>
            <w:tcMar>
              <w:top w:w="72" w:type="dxa"/>
              <w:left w:w="100" w:type="dxa"/>
              <w:bottom w:w="72" w:type="dxa"/>
              <w:right w:w="100" w:type="dxa"/>
            </w:tcMar>
            <w:vAlign w:val="center"/>
          </w:tcPr>
          <w:p w14:paraId="1DE2991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00000"/>
                <w:sz w:val="28"/>
                <w:szCs w:val="28"/>
                <w:rtl/>
              </w:rPr>
              <w:t>قد يُهمل أحياناً الدلالات اللغوية الدقيقة لصالح النقل المباشر — يُستكمَل بالمدرسة اللغوية.</w:t>
            </w:r>
          </w:p>
        </w:tc>
      </w:tr>
      <w:tr w:rsidR="00B149ED" w:rsidRPr="00A60245" w14:paraId="3FA5D061" w14:textId="77777777" w:rsidTr="00A011EA">
        <w:tc>
          <w:tcPr>
            <w:tcW w:w="360" w:type="dxa"/>
            <w:shd w:val="clear" w:color="auto" w:fill="FFF2CC"/>
            <w:tcMar>
              <w:top w:w="72" w:type="dxa"/>
              <w:left w:w="100" w:type="dxa"/>
              <w:bottom w:w="72" w:type="dxa"/>
              <w:right w:w="100" w:type="dxa"/>
            </w:tcMar>
            <w:vAlign w:val="center"/>
          </w:tcPr>
          <w:p w14:paraId="29A17E4E"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٢</w:t>
            </w:r>
          </w:p>
        </w:tc>
        <w:tc>
          <w:tcPr>
            <w:tcW w:w="2160" w:type="dxa"/>
            <w:shd w:val="clear" w:color="auto" w:fill="FFFFFF"/>
            <w:tcMar>
              <w:top w:w="72" w:type="dxa"/>
              <w:left w:w="100" w:type="dxa"/>
              <w:bottom w:w="72" w:type="dxa"/>
              <w:right w:w="100" w:type="dxa"/>
            </w:tcMar>
            <w:vAlign w:val="center"/>
          </w:tcPr>
          <w:p w14:paraId="3377456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اللغوية والبيانية ابن عاشور (ت.1393ه) التحرير والتنوير</w:t>
            </w:r>
          </w:p>
        </w:tc>
        <w:tc>
          <w:tcPr>
            <w:tcW w:w="2160" w:type="dxa"/>
            <w:shd w:val="clear" w:color="auto" w:fill="FFFFFF"/>
            <w:tcMar>
              <w:top w:w="72" w:type="dxa"/>
              <w:left w:w="100" w:type="dxa"/>
              <w:bottom w:w="72" w:type="dxa"/>
              <w:right w:w="100" w:type="dxa"/>
            </w:tcMar>
            <w:vAlign w:val="center"/>
          </w:tcPr>
          <w:p w14:paraId="01ADB2A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تحليل لغوي ومقاصدي عميق يربط الدلالة اللفظية بالمقصد الكلي للسورة — امتداد لمنهج الزمخشري مُهذَّباً من اعتزاله.</w:t>
            </w:r>
          </w:p>
        </w:tc>
        <w:tc>
          <w:tcPr>
            <w:tcW w:w="1800" w:type="dxa"/>
            <w:shd w:val="clear" w:color="auto" w:fill="FFFFFF"/>
            <w:tcMar>
              <w:top w:w="72" w:type="dxa"/>
              <w:left w:w="100" w:type="dxa"/>
              <w:bottom w:w="72" w:type="dxa"/>
              <w:right w:w="100" w:type="dxa"/>
            </w:tcMar>
            <w:vAlign w:val="center"/>
          </w:tcPr>
          <w:p w14:paraId="7FAB28F2"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أدق تحليل نحوي وصرفي وبلاغي متاح في التفسير الحديث.</w:t>
            </w:r>
          </w:p>
        </w:tc>
        <w:tc>
          <w:tcPr>
            <w:tcW w:w="2965" w:type="dxa"/>
            <w:shd w:val="clear" w:color="auto" w:fill="FFFFFF"/>
            <w:tcMar>
              <w:top w:w="72" w:type="dxa"/>
              <w:left w:w="100" w:type="dxa"/>
              <w:bottom w:w="72" w:type="dxa"/>
              <w:right w:w="100" w:type="dxa"/>
            </w:tcMar>
            <w:vAlign w:val="center"/>
          </w:tcPr>
          <w:p w14:paraId="644ED748"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00000"/>
                <w:sz w:val="28"/>
                <w:szCs w:val="28"/>
                <w:rtl/>
              </w:rPr>
              <w:t>تأثره بالفلسفة المقاصدية يستوجب تمييز ما هو استنباط من النص عما هو إسقاط مقاصدي لاحق.</w:t>
            </w:r>
          </w:p>
        </w:tc>
      </w:tr>
      <w:tr w:rsidR="00B149ED" w:rsidRPr="00A60245" w14:paraId="077DE2DB" w14:textId="77777777" w:rsidTr="00A011EA">
        <w:tc>
          <w:tcPr>
            <w:tcW w:w="360" w:type="dxa"/>
            <w:shd w:val="clear" w:color="auto" w:fill="EBF5E0"/>
            <w:tcMar>
              <w:top w:w="72" w:type="dxa"/>
              <w:left w:w="100" w:type="dxa"/>
              <w:bottom w:w="72" w:type="dxa"/>
              <w:right w:w="100" w:type="dxa"/>
            </w:tcMar>
            <w:vAlign w:val="center"/>
          </w:tcPr>
          <w:p w14:paraId="5737F04E"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٣</w:t>
            </w:r>
          </w:p>
        </w:tc>
        <w:tc>
          <w:tcPr>
            <w:tcW w:w="2160" w:type="dxa"/>
            <w:shd w:val="clear" w:color="auto" w:fill="F8F8F8"/>
            <w:tcMar>
              <w:top w:w="72" w:type="dxa"/>
              <w:left w:w="100" w:type="dxa"/>
              <w:bottom w:w="72" w:type="dxa"/>
              <w:right w:w="100" w:type="dxa"/>
            </w:tcMar>
            <w:vAlign w:val="center"/>
          </w:tcPr>
          <w:p w14:paraId="180ABCBA"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الفقهية القرطبي (ت.671ه) الجامع لأحكام القرآن</w:t>
            </w:r>
          </w:p>
        </w:tc>
        <w:tc>
          <w:tcPr>
            <w:tcW w:w="2160" w:type="dxa"/>
            <w:shd w:val="clear" w:color="auto" w:fill="F8F8F8"/>
            <w:tcMar>
              <w:top w:w="72" w:type="dxa"/>
              <w:left w:w="100" w:type="dxa"/>
              <w:bottom w:w="72" w:type="dxa"/>
              <w:right w:w="100" w:type="dxa"/>
            </w:tcMar>
            <w:vAlign w:val="center"/>
          </w:tcPr>
          <w:p w14:paraId="6EF6DD9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 xml:space="preserve">استخراج الأحكام الفقهية من الآيات مع استعراض خلاف المذاهب الأربعة </w:t>
            </w:r>
            <w:r w:rsidRPr="00A60245">
              <w:rPr>
                <w:rFonts w:ascii="Sakkal Majalla" w:hAnsi="Sakkal Majalla" w:cs="Sakkal Majalla"/>
                <w:color w:val="000000"/>
                <w:sz w:val="28"/>
                <w:szCs w:val="28"/>
                <w:rtl/>
              </w:rPr>
              <w:lastRenderedPageBreak/>
              <w:t>وترجيح القرطبي الخاص (مالكي الأصل).</w:t>
            </w:r>
          </w:p>
        </w:tc>
        <w:tc>
          <w:tcPr>
            <w:tcW w:w="1800" w:type="dxa"/>
            <w:shd w:val="clear" w:color="auto" w:fill="EBF5E0"/>
            <w:tcMar>
              <w:top w:w="72" w:type="dxa"/>
              <w:left w:w="100" w:type="dxa"/>
              <w:bottom w:w="72" w:type="dxa"/>
              <w:right w:w="100" w:type="dxa"/>
            </w:tcMar>
            <w:vAlign w:val="center"/>
          </w:tcPr>
          <w:p w14:paraId="0FA1037E"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lastRenderedPageBreak/>
              <w:t xml:space="preserve">لا نظير له في ربط النص بالتطبيق العملي المُحدَّد — يخدم مباشرةً هدف </w:t>
            </w:r>
            <w:r w:rsidRPr="00A60245">
              <w:rPr>
                <w:rFonts w:ascii="Sakkal Majalla" w:hAnsi="Sakkal Majalla" w:cs="Sakkal Majalla"/>
                <w:color w:val="000000"/>
                <w:sz w:val="28"/>
                <w:szCs w:val="28"/>
                <w:rtl/>
              </w:rPr>
              <w:lastRenderedPageBreak/>
              <w:t>اشتقاق مبادئ إدارية تطبيقية.</w:t>
            </w:r>
          </w:p>
        </w:tc>
        <w:tc>
          <w:tcPr>
            <w:tcW w:w="2965" w:type="dxa"/>
            <w:shd w:val="clear" w:color="auto" w:fill="FFF5F5"/>
            <w:tcMar>
              <w:top w:w="72" w:type="dxa"/>
              <w:left w:w="100" w:type="dxa"/>
              <w:bottom w:w="72" w:type="dxa"/>
              <w:right w:w="100" w:type="dxa"/>
            </w:tcMar>
            <w:vAlign w:val="center"/>
          </w:tcPr>
          <w:p w14:paraId="2F0FAD7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00000"/>
                <w:sz w:val="28"/>
                <w:szCs w:val="28"/>
                <w:rtl/>
              </w:rPr>
              <w:lastRenderedPageBreak/>
              <w:t>الأحكام الفقهية أحياناً مقيَّدة بسياق تاريخي تشريعي يحتاج تمييزاً عن المبدأ الكلي.</w:t>
            </w:r>
          </w:p>
        </w:tc>
      </w:tr>
      <w:tr w:rsidR="00B149ED" w:rsidRPr="00A60245" w14:paraId="1D619D2B" w14:textId="77777777" w:rsidTr="00A011EA">
        <w:tc>
          <w:tcPr>
            <w:tcW w:w="360" w:type="dxa"/>
            <w:shd w:val="clear" w:color="auto" w:fill="F2E8F8"/>
            <w:tcMar>
              <w:top w:w="72" w:type="dxa"/>
              <w:left w:w="100" w:type="dxa"/>
              <w:bottom w:w="72" w:type="dxa"/>
              <w:right w:w="100" w:type="dxa"/>
            </w:tcMar>
            <w:vAlign w:val="center"/>
          </w:tcPr>
          <w:p w14:paraId="0374A961"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٤</w:t>
            </w:r>
          </w:p>
        </w:tc>
        <w:tc>
          <w:tcPr>
            <w:tcW w:w="2160" w:type="dxa"/>
            <w:shd w:val="clear" w:color="auto" w:fill="FFFFFF"/>
            <w:tcMar>
              <w:top w:w="72" w:type="dxa"/>
              <w:left w:w="100" w:type="dxa"/>
              <w:bottom w:w="72" w:type="dxa"/>
              <w:right w:w="100" w:type="dxa"/>
            </w:tcMar>
            <w:vAlign w:val="center"/>
          </w:tcPr>
          <w:p w14:paraId="2D929C1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الكلامية الرازي (ت.606ه) مفاتيح الغيب</w:t>
            </w:r>
          </w:p>
        </w:tc>
        <w:tc>
          <w:tcPr>
            <w:tcW w:w="2160" w:type="dxa"/>
            <w:shd w:val="clear" w:color="auto" w:fill="FFFFFF"/>
            <w:tcMar>
              <w:top w:w="72" w:type="dxa"/>
              <w:left w:w="100" w:type="dxa"/>
              <w:bottom w:w="72" w:type="dxa"/>
              <w:right w:w="100" w:type="dxa"/>
            </w:tcMar>
            <w:vAlign w:val="center"/>
          </w:tcPr>
          <w:p w14:paraId="6C7B24D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تفسير موسوعي يستقصي الإشكالات العقدية والفلسفية والعلمية في كل آية — أشمل تفسير في مناقشة الاعتراضات.</w:t>
            </w:r>
          </w:p>
        </w:tc>
        <w:tc>
          <w:tcPr>
            <w:tcW w:w="1800" w:type="dxa"/>
            <w:shd w:val="clear" w:color="auto" w:fill="FFFFFF"/>
            <w:tcMar>
              <w:top w:w="72" w:type="dxa"/>
              <w:left w:w="100" w:type="dxa"/>
              <w:bottom w:w="72" w:type="dxa"/>
              <w:right w:w="100" w:type="dxa"/>
            </w:tcMar>
            <w:vAlign w:val="center"/>
          </w:tcPr>
          <w:p w14:paraId="4B419AC2"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لا مثيل له في استقصاء كل احتمال تأويلي — يخدم منهجية مواجهة الاعتراضات.</w:t>
            </w:r>
          </w:p>
        </w:tc>
        <w:tc>
          <w:tcPr>
            <w:tcW w:w="2965" w:type="dxa"/>
            <w:shd w:val="clear" w:color="auto" w:fill="FFFFFF"/>
            <w:tcMar>
              <w:top w:w="72" w:type="dxa"/>
              <w:left w:w="100" w:type="dxa"/>
              <w:bottom w:w="72" w:type="dxa"/>
              <w:right w:w="100" w:type="dxa"/>
            </w:tcMar>
            <w:vAlign w:val="center"/>
          </w:tcPr>
          <w:p w14:paraId="2EDADD1E"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00000"/>
                <w:sz w:val="28"/>
                <w:szCs w:val="28"/>
                <w:rtl/>
              </w:rPr>
              <w:t>إطالته الكلامية أحياناً تُبعد عن السياق المباشر للآية.</w:t>
            </w:r>
          </w:p>
        </w:tc>
      </w:tr>
      <w:tr w:rsidR="00B149ED" w:rsidRPr="00A60245" w14:paraId="2D049A48" w14:textId="77777777" w:rsidTr="00A011EA">
        <w:tc>
          <w:tcPr>
            <w:tcW w:w="360" w:type="dxa"/>
            <w:shd w:val="clear" w:color="auto" w:fill="FFF0F0"/>
            <w:tcMar>
              <w:top w:w="72" w:type="dxa"/>
              <w:left w:w="100" w:type="dxa"/>
              <w:bottom w:w="72" w:type="dxa"/>
              <w:right w:w="100" w:type="dxa"/>
            </w:tcMar>
            <w:vAlign w:val="center"/>
          </w:tcPr>
          <w:p w14:paraId="44D7493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٥</w:t>
            </w:r>
          </w:p>
        </w:tc>
        <w:tc>
          <w:tcPr>
            <w:tcW w:w="2160" w:type="dxa"/>
            <w:shd w:val="clear" w:color="auto" w:fill="F8F8F8"/>
            <w:tcMar>
              <w:top w:w="72" w:type="dxa"/>
              <w:left w:w="100" w:type="dxa"/>
              <w:bottom w:w="72" w:type="dxa"/>
              <w:right w:w="100" w:type="dxa"/>
            </w:tcMar>
            <w:vAlign w:val="center"/>
          </w:tcPr>
          <w:p w14:paraId="1220D7F1"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الأدبية والحركية سيد قطب (ت.1966م) في ظلال القرآن</w:t>
            </w:r>
          </w:p>
        </w:tc>
        <w:tc>
          <w:tcPr>
            <w:tcW w:w="2160" w:type="dxa"/>
            <w:shd w:val="clear" w:color="auto" w:fill="F8F8F8"/>
            <w:tcMar>
              <w:top w:w="72" w:type="dxa"/>
              <w:left w:w="100" w:type="dxa"/>
              <w:bottom w:w="72" w:type="dxa"/>
              <w:right w:w="100" w:type="dxa"/>
            </w:tcMar>
            <w:vAlign w:val="center"/>
          </w:tcPr>
          <w:p w14:paraId="1108EFED"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قراءة القرآن كنص حي يخاطب الوجدان قبل العقل — يُبرز "الصورة الفنية" والبُعد الحركي التطبيقي للآيات.</w:t>
            </w:r>
          </w:p>
        </w:tc>
        <w:tc>
          <w:tcPr>
            <w:tcW w:w="1800" w:type="dxa"/>
            <w:shd w:val="clear" w:color="auto" w:fill="EBF5E0"/>
            <w:tcMar>
              <w:top w:w="72" w:type="dxa"/>
              <w:left w:w="100" w:type="dxa"/>
              <w:bottom w:w="72" w:type="dxa"/>
              <w:right w:w="100" w:type="dxa"/>
            </w:tcMar>
            <w:vAlign w:val="center"/>
          </w:tcPr>
          <w:p w14:paraId="1EE9137E"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يكشف أبعاداً نفسية وحركية تُغفلها المدارس الأربع — ضروري لفهم "كيف تُحرِّك الآية الإنسان."</w:t>
            </w:r>
          </w:p>
        </w:tc>
        <w:tc>
          <w:tcPr>
            <w:tcW w:w="2965" w:type="dxa"/>
            <w:shd w:val="clear" w:color="auto" w:fill="FFF5F5"/>
            <w:tcMar>
              <w:top w:w="72" w:type="dxa"/>
              <w:left w:w="100" w:type="dxa"/>
              <w:bottom w:w="72" w:type="dxa"/>
              <w:right w:w="100" w:type="dxa"/>
            </w:tcMar>
            <w:vAlign w:val="center"/>
          </w:tcPr>
          <w:p w14:paraId="6E9D8BA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00000"/>
                <w:sz w:val="28"/>
                <w:szCs w:val="28"/>
                <w:rtl/>
              </w:rPr>
              <w:t>أقل التزاماً بالضبط الإسنادي الدقيق من ابن كثير — يُستخدَم مُكمِّلاً لا أساساً وحيداً.</w:t>
            </w:r>
          </w:p>
        </w:tc>
      </w:tr>
    </w:tbl>
    <w:p w14:paraId="249F909A" w14:textId="77777777" w:rsidR="00B149ED" w:rsidRPr="00A60245" w:rsidRDefault="00B149ED" w:rsidP="00B149ED">
      <w:pPr>
        <w:bidi/>
        <w:spacing w:after="55"/>
        <w:rPr>
          <w:rFonts w:ascii="Sakkal Majalla" w:hAnsi="Sakkal Majalla" w:cs="Sakkal Majalla"/>
          <w:sz w:val="28"/>
          <w:szCs w:val="28"/>
        </w:rPr>
      </w:pPr>
      <w:r w:rsidRPr="00A60245">
        <w:rPr>
          <w:rFonts w:ascii="Sakkal Majalla" w:hAnsi="Sakkal Majalla" w:cs="Sakkal Majalla"/>
          <w:i/>
          <w:iCs/>
          <w:color w:val="595959"/>
          <w:sz w:val="28"/>
          <w:szCs w:val="28"/>
          <w:rtl/>
        </w:rPr>
        <w:t>جدول 4.1 — خمس مدارس تفسيرية بمعايير الاختيار الأربعة، مع نقاط القوة والحدود الصريحة لكل منها.</w:t>
      </w:r>
    </w:p>
    <w:p w14:paraId="187B329F" w14:textId="77777777" w:rsidR="00B149ED" w:rsidRPr="00A60245" w:rsidRDefault="00B149ED" w:rsidP="00B149ED">
      <w:pPr>
        <w:bidi/>
        <w:spacing w:after="55"/>
        <w:rPr>
          <w:rFonts w:ascii="Sakkal Majalla" w:hAnsi="Sakkal Majalla" w:cs="Sakkal Majalla"/>
          <w:sz w:val="28"/>
          <w:szCs w:val="28"/>
        </w:rPr>
      </w:pPr>
    </w:p>
    <w:p w14:paraId="4951CCF6" w14:textId="77777777" w:rsidR="00B149ED" w:rsidRPr="00A60245" w:rsidRDefault="00B149ED" w:rsidP="00B149ED">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ويلتزم الكتاب بالجمع التكاملي بين المدارس لا بالتلفيق بينها: ابن كثير للضبط الإسنادي، وابن عاشور للتحليل اللغوي، والقرطبي للتطبيق الفقهي، والرازي لمواجهة الاعتراضات، وسيد قطب للبعد الحركي؛ فلكل مدرسة السؤال الذي صُمّمت للإجابة عنه.</w:t>
      </w:r>
    </w:p>
    <w:p w:rsidR="00B149ED" w:rsidRPr="00A60245" w:rsidRDefault="00B149ED" w:rsidP="00B149ED">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ولا أعالج اختلاف المفسرين بوصفه مشكلة ينبغي إخفاؤها حتى تظهر نتيجة موحّدة؛ فالاختلاف جزء من المادة العلمية نفسها. فحين تتعدد الأقوال، أعرض موضع الاتفاق، وموضع الاختلاف، وسبب الترجيح إن وُجد، وأثر كل تفسير في المفهوم الإداري. وإذا بقي الخلاف مؤثرًا ولم يمكن حسمه بالأدلة المتاحة، صرّحت بذلك. ولا يعني التواضع في الترجيح أن الأقوال كلها متساوية، كما لا يعني اختيار قول واحد أن الخلاف لم يكن موجودًا.</w:t>
      </w:r>
    </w:p>
    <w:p w14:paraId="6230D2FB" w14:textId="77777777" w:rsidR="00B149ED" w:rsidRPr="00A60245" w:rsidRDefault="00B149ED" w:rsidP="00B149ED">
      <w:pPr>
        <w:bidi/>
        <w:spacing w:after="55"/>
        <w:rPr>
          <w:rFonts w:ascii="Sakkal Majalla" w:hAnsi="Sakkal Majalla" w:cs="Sakkal Majalla"/>
          <w:sz w:val="28"/>
          <w:szCs w:val="28"/>
        </w:rPr>
      </w:pPr>
    </w:p>
    <w:p w14:paraId="061ACA51" w14:textId="77777777" w:rsidR="00B149ED" w:rsidRPr="00A60245" w:rsidRDefault="00B149ED" w:rsidP="00B149ED">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منظور مقارن: كيف تعالج تقاليد دينية أخرى علاقة النص بالتفسير؟</w:t>
      </w:r>
    </w:p>
    <w:p w14:paraId="4CD044D1"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ويفيد هنا أن ننظر في كيفية معالجة تقاليد دينية أخرى للإشكالية البنيوية نفسها: نص مقدّس يحتاج إلى تفسير بشري يتراكم عبر الأجيال. والغرض بيان أن الإشكالية إنسانية عامة، لا الحكم بتفوق نظام على آخر:</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2515"/>
        <w:gridCol w:w="2340"/>
      </w:tblGrid>
      <w:tr w:rsidR="00B149ED" w:rsidRPr="00A60245" w14:paraId="2F6FD4FC" w14:textId="77777777" w:rsidTr="00A011EA">
        <w:tc>
          <w:tcPr>
            <w:tcW w:w="1440" w:type="dxa"/>
            <w:shd w:val="clear" w:color="auto" w:fill="1F3864"/>
            <w:tcMar>
              <w:top w:w="72" w:type="dxa"/>
              <w:left w:w="100" w:type="dxa"/>
              <w:bottom w:w="72" w:type="dxa"/>
              <w:right w:w="100" w:type="dxa"/>
            </w:tcMar>
            <w:vAlign w:val="center"/>
          </w:tcPr>
          <w:p w14:paraId="6CECD30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النموذج</w:t>
            </w:r>
          </w:p>
        </w:tc>
        <w:tc>
          <w:tcPr>
            <w:tcW w:w="3240" w:type="dxa"/>
            <w:shd w:val="clear" w:color="auto" w:fill="1F3864"/>
            <w:tcMar>
              <w:top w:w="72" w:type="dxa"/>
              <w:left w:w="100" w:type="dxa"/>
              <w:bottom w:w="72" w:type="dxa"/>
              <w:right w:w="100" w:type="dxa"/>
            </w:tcMar>
            <w:vAlign w:val="center"/>
          </w:tcPr>
          <w:p w14:paraId="546889DC"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آلية السلطة</w:t>
            </w:r>
          </w:p>
        </w:tc>
        <w:tc>
          <w:tcPr>
            <w:tcW w:w="2515" w:type="dxa"/>
            <w:shd w:val="clear" w:color="auto" w:fill="1F3864"/>
            <w:tcMar>
              <w:top w:w="72" w:type="dxa"/>
              <w:left w:w="100" w:type="dxa"/>
              <w:bottom w:w="72" w:type="dxa"/>
              <w:right w:w="100" w:type="dxa"/>
            </w:tcMar>
            <w:vAlign w:val="center"/>
          </w:tcPr>
          <w:p w14:paraId="497DA05A"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نقطة القوة</w:t>
            </w:r>
          </w:p>
        </w:tc>
        <w:tc>
          <w:tcPr>
            <w:tcW w:w="2340" w:type="dxa"/>
            <w:shd w:val="clear" w:color="auto" w:fill="1F3864"/>
            <w:tcMar>
              <w:top w:w="72" w:type="dxa"/>
              <w:left w:w="100" w:type="dxa"/>
              <w:bottom w:w="72" w:type="dxa"/>
              <w:right w:w="100" w:type="dxa"/>
            </w:tcMar>
            <w:vAlign w:val="center"/>
          </w:tcPr>
          <w:p w14:paraId="737D77F5"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نقطة الضعف</w:t>
            </w:r>
          </w:p>
        </w:tc>
      </w:tr>
      <w:tr w:rsidR="00B149ED" w:rsidRPr="00A60245" w14:paraId="4DBDE5CC" w14:textId="77777777" w:rsidTr="00A011EA">
        <w:tc>
          <w:tcPr>
            <w:tcW w:w="1440" w:type="dxa"/>
            <w:shd w:val="clear" w:color="auto" w:fill="EBF5FB"/>
            <w:tcMar>
              <w:top w:w="72" w:type="dxa"/>
              <w:left w:w="100" w:type="dxa"/>
              <w:bottom w:w="72" w:type="dxa"/>
              <w:right w:w="100" w:type="dxa"/>
            </w:tcMar>
            <w:vAlign w:val="center"/>
          </w:tcPr>
          <w:p w14:paraId="704A9F6F"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1F3864"/>
                <w:sz w:val="28"/>
                <w:szCs w:val="28"/>
                <w:rtl/>
              </w:rPr>
              <w:t xml:space="preserve">اليهودي (التقليد الحاخامي: المشنا والتلمود)</w:t>
            </w:r>
          </w:p>
        </w:tc>
        <w:tc>
          <w:tcPr>
            <w:tcW w:w="3240" w:type="dxa"/>
            <w:shd w:val="clear" w:color="auto" w:fill="F5F5F5"/>
            <w:tcMar>
              <w:top w:w="72" w:type="dxa"/>
              <w:left w:w="100" w:type="dxa"/>
              <w:bottom w:w="72" w:type="dxa"/>
              <w:right w:w="100" w:type="dxa"/>
            </w:tcMar>
            <w:vAlign w:val="center"/>
          </w:tcPr>
          <w:p w14:paraId="79D367FF"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سلسلة تعليم حاخامية متصلة عبر الأجيال، مع تراكم تفسيري (تلمودي) يُضاف باستمرار.</w:t>
            </w:r>
          </w:p>
        </w:tc>
        <w:tc>
          <w:tcPr>
            <w:tcW w:w="2515" w:type="dxa"/>
            <w:shd w:val="clear" w:color="auto" w:fill="EBF5E0"/>
            <w:tcMar>
              <w:top w:w="72" w:type="dxa"/>
              <w:left w:w="100" w:type="dxa"/>
              <w:bottom w:w="72" w:type="dxa"/>
              <w:right w:w="100" w:type="dxa"/>
            </w:tcMar>
            <w:vAlign w:val="center"/>
          </w:tcPr>
          <w:p w14:paraId="3E49997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مرونة تراكمية عبر العصور.</w:t>
            </w:r>
          </w:p>
        </w:tc>
        <w:tc>
          <w:tcPr>
            <w:tcW w:w="2340" w:type="dxa"/>
            <w:shd w:val="clear" w:color="auto" w:fill="FFF5F5"/>
            <w:tcMar>
              <w:top w:w="72" w:type="dxa"/>
              <w:left w:w="100" w:type="dxa"/>
              <w:bottom w:w="72" w:type="dxa"/>
              <w:right w:w="100" w:type="dxa"/>
            </w:tcMar>
            <w:vAlign w:val="center"/>
          </w:tcPr>
          <w:p w14:paraId="28909557"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تعدد المدارس الحاخامية قد يُنتج أحكاماً متضاربة دون آلية حسم مركزية.</w:t>
            </w:r>
          </w:p>
        </w:tc>
      </w:tr>
      <w:tr w:rsidR="00B149ED" w:rsidRPr="00A60245" w14:paraId="2DA4E5D0" w14:textId="77777777" w:rsidTr="00A011EA">
        <w:tc>
          <w:tcPr>
            <w:tcW w:w="1440" w:type="dxa"/>
            <w:shd w:val="clear" w:color="auto" w:fill="FFFFFF"/>
            <w:tcMar>
              <w:top w:w="72" w:type="dxa"/>
              <w:left w:w="100" w:type="dxa"/>
              <w:bottom w:w="72" w:type="dxa"/>
              <w:right w:w="100" w:type="dxa"/>
            </w:tcMar>
            <w:vAlign w:val="center"/>
          </w:tcPr>
          <w:p w14:paraId="0925AFFC"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lastRenderedPageBreak/>
              <w:t>الكاثوليكي (Magisterium)</w:t>
            </w:r>
          </w:p>
        </w:tc>
        <w:tc>
          <w:tcPr>
            <w:tcW w:w="3240" w:type="dxa"/>
            <w:shd w:val="clear" w:color="auto" w:fill="FFFFFF"/>
            <w:tcMar>
              <w:top w:w="72" w:type="dxa"/>
              <w:left w:w="100" w:type="dxa"/>
              <w:bottom w:w="72" w:type="dxa"/>
              <w:right w:w="100" w:type="dxa"/>
            </w:tcMar>
            <w:vAlign w:val="center"/>
          </w:tcPr>
          <w:p w14:paraId="05DD071B"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سلطة مركزية (البابا والمجامع) تملك التفسير الرسمي الملزم (Dei Verbum، §10).</w:t>
            </w:r>
          </w:p>
        </w:tc>
        <w:tc>
          <w:tcPr>
            <w:tcW w:w="2515" w:type="dxa"/>
            <w:shd w:val="clear" w:color="auto" w:fill="FFFFFF"/>
            <w:tcMar>
              <w:top w:w="72" w:type="dxa"/>
              <w:left w:w="100" w:type="dxa"/>
              <w:bottom w:w="72" w:type="dxa"/>
              <w:right w:w="100" w:type="dxa"/>
            </w:tcMar>
            <w:vAlign w:val="center"/>
          </w:tcPr>
          <w:p w14:paraId="0B663EE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وحدة الموقف العقدي وسرعة الحسم.</w:t>
            </w:r>
          </w:p>
        </w:tc>
        <w:tc>
          <w:tcPr>
            <w:tcW w:w="2340" w:type="dxa"/>
            <w:shd w:val="clear" w:color="auto" w:fill="FFFFFF"/>
            <w:tcMar>
              <w:top w:w="72" w:type="dxa"/>
              <w:left w:w="100" w:type="dxa"/>
              <w:bottom w:w="72" w:type="dxa"/>
              <w:right w:w="100" w:type="dxa"/>
            </w:tcMar>
            <w:vAlign w:val="center"/>
          </w:tcPr>
          <w:p w14:paraId="6C87B7D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مركزية السلطة قد تُقصي اجتهادات مشروعة وتُركِّز الخطأ في جهة واحدة.</w:t>
            </w:r>
          </w:p>
        </w:tc>
      </w:tr>
      <w:tr w:rsidR="00B149ED" w:rsidRPr="00A60245" w14:paraId="2515D754" w14:textId="77777777" w:rsidTr="00A011EA">
        <w:tc>
          <w:tcPr>
            <w:tcW w:w="1440" w:type="dxa"/>
            <w:shd w:val="clear" w:color="auto" w:fill="EBF5FB"/>
            <w:tcMar>
              <w:top w:w="72" w:type="dxa"/>
              <w:left w:w="100" w:type="dxa"/>
              <w:bottom w:w="72" w:type="dxa"/>
              <w:right w:w="100" w:type="dxa"/>
            </w:tcMar>
            <w:vAlign w:val="center"/>
          </w:tcPr>
          <w:p w14:paraId="2A111848"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البروتستانتي (Sola Scriptura)</w:t>
            </w:r>
          </w:p>
        </w:tc>
        <w:tc>
          <w:tcPr>
            <w:tcW w:w="3240" w:type="dxa"/>
            <w:shd w:val="clear" w:color="auto" w:fill="F5F5F5"/>
            <w:tcMar>
              <w:top w:w="72" w:type="dxa"/>
              <w:left w:w="100" w:type="dxa"/>
              <w:bottom w:w="72" w:type="dxa"/>
              <w:right w:w="100" w:type="dxa"/>
            </w:tcMar>
            <w:vAlign w:val="center"/>
          </w:tcPr>
          <w:p w14:paraId="6CDD5314"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لا سلطة وسيطة؛ فلكل قارئ حق التفسير المباشر دون سلسلة نقل.</w:t>
            </w:r>
          </w:p>
        </w:tc>
        <w:tc>
          <w:tcPr>
            <w:tcW w:w="2515" w:type="dxa"/>
            <w:shd w:val="clear" w:color="auto" w:fill="EBF5E0"/>
            <w:tcMar>
              <w:top w:w="72" w:type="dxa"/>
              <w:left w:w="100" w:type="dxa"/>
              <w:bottom w:w="72" w:type="dxa"/>
              <w:right w:w="100" w:type="dxa"/>
            </w:tcMar>
            <w:vAlign w:val="center"/>
          </w:tcPr>
          <w:p w14:paraId="01C906B4"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تحرير كامل من الوساطة الكهنوتية.</w:t>
            </w:r>
          </w:p>
        </w:tc>
        <w:tc>
          <w:tcPr>
            <w:tcW w:w="2340" w:type="dxa"/>
            <w:shd w:val="clear" w:color="auto" w:fill="FFF5F5"/>
            <w:tcMar>
              <w:top w:w="72" w:type="dxa"/>
              <w:left w:w="100" w:type="dxa"/>
              <w:bottom w:w="72" w:type="dxa"/>
              <w:right w:w="100" w:type="dxa"/>
            </w:tcMar>
            <w:vAlign w:val="center"/>
          </w:tcPr>
          <w:p w14:paraId="1812D22D"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تعدّدت عنه تاريخيًا طوائف كثيرة مختلفة، ولم يستقر على آلية مشتركة لحسم الخلاف.</w:t>
            </w:r>
          </w:p>
        </w:tc>
      </w:tr>
      <w:tr w:rsidR="00B149ED" w:rsidRPr="00A60245" w14:paraId="224FFC4B" w14:textId="77777777" w:rsidTr="00A011EA">
        <w:tc>
          <w:tcPr>
            <w:tcW w:w="1440" w:type="dxa"/>
            <w:shd w:val="clear" w:color="auto" w:fill="EBF5E0"/>
            <w:tcMar>
              <w:top w:w="72" w:type="dxa"/>
              <w:left w:w="100" w:type="dxa"/>
              <w:bottom w:w="72" w:type="dxa"/>
              <w:right w:w="100" w:type="dxa"/>
            </w:tcMar>
            <w:vAlign w:val="center"/>
          </w:tcPr>
          <w:p w14:paraId="51F266DD"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375623"/>
                <w:sz w:val="28"/>
                <w:szCs w:val="28"/>
                <w:rtl/>
              </w:rPr>
              <w:t>هذا الكتاب (تعددية منضبطة)</w:t>
            </w:r>
          </w:p>
        </w:tc>
        <w:tc>
          <w:tcPr>
            <w:tcW w:w="3240" w:type="dxa"/>
            <w:shd w:val="clear" w:color="auto" w:fill="FFFFFF"/>
            <w:tcMar>
              <w:top w:w="72" w:type="dxa"/>
              <w:left w:w="100" w:type="dxa"/>
              <w:bottom w:w="72" w:type="dxa"/>
              <w:right w:w="100" w:type="dxa"/>
            </w:tcMar>
            <w:vAlign w:val="center"/>
          </w:tcPr>
          <w:p w14:paraId="5B6112B6"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خمس مدارس بمعايير اختيار صريحة، وآلية حسم عند التعارض، وتراتبية للمصادر الأخرى.</w:t>
            </w:r>
          </w:p>
        </w:tc>
        <w:tc>
          <w:tcPr>
            <w:tcW w:w="2515" w:type="dxa"/>
            <w:shd w:val="clear" w:color="auto" w:fill="FFFFFF"/>
            <w:tcMar>
              <w:top w:w="72" w:type="dxa"/>
              <w:left w:w="100" w:type="dxa"/>
              <w:bottom w:w="72" w:type="dxa"/>
              <w:right w:w="100" w:type="dxa"/>
            </w:tcMar>
            <w:vAlign w:val="center"/>
          </w:tcPr>
          <w:p w14:paraId="3617B592"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يحاول الجمع بين مرونة التعدد وانضباط الحسم دون مركزية بشرية مطلقة؛ فالسلطة النهائية للنص لا لمؤسسة.</w:t>
            </w:r>
          </w:p>
        </w:tc>
        <w:tc>
          <w:tcPr>
            <w:tcW w:w="2340" w:type="dxa"/>
            <w:shd w:val="clear" w:color="auto" w:fill="FFFFFF"/>
            <w:tcMar>
              <w:top w:w="72" w:type="dxa"/>
              <w:left w:w="100" w:type="dxa"/>
              <w:bottom w:w="72" w:type="dxa"/>
              <w:right w:w="100" w:type="dxa"/>
            </w:tcMar>
            <w:vAlign w:val="center"/>
          </w:tcPr>
          <w:p w14:paraId="469D79A1"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يحتاج إلى باحثين يلتزمون بالمعايير فعلًا، ويبقى الترجيح فيه اجتهادًا قابلًا للخطأ.</w:t>
            </w:r>
          </w:p>
        </w:tc>
      </w:tr>
    </w:tbl>
    <w:p w14:paraId="718E84D0" w14:textId="77777777" w:rsidR="00B149ED" w:rsidRPr="00A60245" w:rsidRDefault="00B149ED" w:rsidP="00B149ED">
      <w:pPr>
        <w:bidi/>
        <w:spacing w:after="55"/>
        <w:rPr>
          <w:rFonts w:ascii="Sakkal Majalla" w:hAnsi="Sakkal Majalla" w:cs="Sakkal Majalla"/>
          <w:sz w:val="28"/>
          <w:szCs w:val="28"/>
        </w:rPr>
      </w:pPr>
      <w:r>
        <w:rPr>
          <w:rFonts w:ascii="Sakkal Majalla" w:hAnsi="Sakkal Majalla" w:cs="Sakkal Majalla"/>
          <w:i/>
          <w:iCs/>
          <w:color w:val="595959"/>
          <w:sz w:val="28"/>
          <w:szCs w:val="28"/>
          <w:rtl/>
        </w:rPr>
        <w:t xml:space="preserve">جدول 4.2 — مقارنة بين نماذج إدارة السلطة التفسيرية. والمقارنة بنيوية توضيحية، لا مفاضلة بين الأديان.</w:t>
      </w:r>
    </w:p>
    <w:p w14:paraId="038A08EA"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وما أستفيده من هذه المقارنة: أن التعددية التفسيرية بلا معايير اختيار صريحة يصعب أن تحسم الخلاف، وأن الأحادية التفسيرية الكاملة قد تُقصي اجتهادات مشروعة. والنموذج الذي يتبناه هذا الفصل، أي التعددية المنضبطة بمعايير صريحة، محاولة للتوسط بين الطرفين.</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05"/>
      </w:tblGrid>
      <w:tr w:rsidR="00B149ED" w:rsidRPr="00A60245" w14:paraId="3C18C8DB" w14:textId="77777777" w:rsidTr="00A011EA">
        <w:tc>
          <w:tcPr>
            <w:tcW w:w="9805" w:type="dxa"/>
            <w:shd w:val="clear" w:color="auto" w:fill="C55A11"/>
            <w:tcMar>
              <w:top w:w="72" w:type="dxa"/>
              <w:left w:w="100" w:type="dxa"/>
              <w:bottom w:w="72" w:type="dxa"/>
              <w:right w:w="100" w:type="dxa"/>
            </w:tcMar>
            <w:vAlign w:val="center"/>
          </w:tcPr>
          <w:p w14:paraId="6184BB78"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t xml:space="preserve">تفصيل المقارنة: مبدأ «الكتاب المقدس وحده» (Sola Scriptura)</w:t>
            </w:r>
          </w:p>
        </w:tc>
      </w:tr>
      <w:tr w:rsidR="00B149ED" w:rsidRPr="00A60245" w14:paraId="72582293" w14:textId="77777777" w:rsidTr="00A011EA">
        <w:tc>
          <w:tcPr>
            <w:tcW w:w="9805" w:type="dxa"/>
            <w:shd w:val="clear" w:color="auto" w:fill="FFF5E0"/>
            <w:tcMar>
              <w:top w:w="72" w:type="dxa"/>
              <w:left w:w="100" w:type="dxa"/>
              <w:bottom w:w="72" w:type="dxa"/>
              <w:right w:w="100" w:type="dxa"/>
            </w:tcMar>
            <w:vAlign w:val="center"/>
          </w:tcPr>
          <w:p w14:paraId="1DDE405E"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طرح الإصلاح البروتستانتي في القرن السادس عشر مبدأ «الكتاب المقدس وحده»، رفضًا لسلطة التقليد الكنسي والمجامع، على أساس أن لكل مؤمن حق التفسير المباشر (مبدأ وضوح الكتاب بذاته، Perspicuity of Scripture). ويسجّل المؤرخون أن هذا المبدأ، على نبل غايته في تحرير القارئ من الوساطة، ترافق تاريخيًا مع تعدد كبير في الطوائف، يدّعي كلٌّ منها فهمًا مباشرًا للنص نفسه، دون آلية مشتركة للحسم (McGrath, 2007). وما آخذه من ذلك لهذا الكتاب: أن تعدد القراءات يحتاج إلى معايير اختيار معلنة، وإلا صعب التمييز بين الاجتهاد المنضبط والرأي المجرد.</w:t>
            </w:r>
          </w:p>
        </w:tc>
      </w:tr>
    </w:tbl>
    <w:p w14:paraId="3A3345BB"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وأما التقليد الحاخامي اليهودي، بسلسلة التعليم المتصلة والتراكم التلمودي، فيلتقي مع هرم هذا الفصل في نقطة جوهرية: كلاهما يرفض الفصل التام بين النص المؤسِّس والتفسير المتراكم، ويحافظ على تراتبية بينهما، فلا يسوّي بينهما في السلطة، ولا يلغي أحدهما لصالح الآخر.</w:t>
      </w:r>
    </w:p>
    <w:p w14:paraId="5C06F92A" w14:textId="77777777" w:rsidR="00B149ED" w:rsidRPr="00A60245" w:rsidRDefault="00B149ED" w:rsidP="00B149ED">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t xml:space="preserve">    Neusner, J. (1994). Introduction to Rabbinic Literature. Doubleday. | McGrath, A. (2007). Christianity's Dangerous Idea: The Protestant Revolution. HarperOne.</w:t>
      </w:r>
    </w:p>
    <w:p w14:paraId="12919F1F" w14:textId="77777777" w:rsidR="00B149ED" w:rsidRPr="00A60245" w:rsidRDefault="00B149ED" w:rsidP="00B149ED">
      <w:pPr>
        <w:shd w:val="clear" w:color="auto" w:fill="FFF2CC"/>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وأنبّه إلى أن هذه المقارنة بنيوية محضة، تصف كيف تُدار السلطة التفسيرية إجرائيًا، ولا تحمل أي حكم عقدي على أي دين. فالمعيار المقارَن هو «آلية إدارة التعدد التفسيري» وحدها.</w:t>
      </w:r>
    </w:p>
    <w:p w14:paraId="77921A16"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p w14:paraId="3AFFB62E" w14:textId="77777777" w:rsidR="00B149ED" w:rsidRPr="00A60245" w:rsidRDefault="00B149ED" w:rsidP="00B149ED">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 xml:space="preserve">4.4  مسألة الطباطبائي: ضوابط الاستفادة من مصدر خارج المدرسة السنية</w:t>
      </w:r>
    </w:p>
    <w:p w14:paraId="7EFCC3AC"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يستفيد هذا الكتاب أحيانًا من «الميزان في تفسير القرآن» للعلامة الطباطبائي (ت.1981م)، وهو أهم تفسير فلسفي شيعي معاصر، في البعد الفلسفي التحليلي وحده. وهذا الاستخدام يحتاج إلى تسويغ منهجي:</w:t>
      </w:r>
    </w:p>
    <w:p w14:paraId="41EB89D5"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فالميزان يلتزم بتفسير القرآن بالقرآن بصرامة منهجية عالية قبل الانتقال إلى أي مصدر آخر، وهذا يجعل الطبقة الأولى من تحليله الفلسفي بعيدة نسبيًا عن المسائل العقدية المذهبية الخاصة، كالإمامة والعصمة.</w:t>
      </w:r>
    </w:p>
    <w:p w14:paraId="04137D09" w14:textId="77777777" w:rsidR="00B149ED" w:rsidRPr="00A60245" w:rsidRDefault="00B149ED" w:rsidP="00B149ED">
      <w:pPr>
        <w:bidi/>
        <w:spacing w:before="70" w:after="38"/>
        <w:rPr>
          <w:rFonts w:ascii="Sakkal Majalla" w:hAnsi="Sakkal Majalla" w:cs="Sakkal Majalla"/>
          <w:sz w:val="28"/>
          <w:szCs w:val="28"/>
        </w:rPr>
      </w:pPr>
      <w:r>
        <w:rPr>
          <w:rFonts w:ascii="Sakkal Majalla" w:hAnsi="Sakkal Majalla" w:cs="Sakkal Majalla"/>
          <w:b/>
          <w:bCs/>
          <w:color w:val="C55A11"/>
          <w:sz w:val="28"/>
          <w:szCs w:val="28"/>
          <w:rtl/>
        </w:rPr>
        <w:t xml:space="preserve">ثلاثة ضوابط للاستخدام</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8095"/>
      </w:tblGrid>
      <w:tr w:rsidR="00B149ED" w:rsidRPr="00A60245" w14:paraId="763B8B14" w14:textId="77777777" w:rsidTr="00A011EA">
        <w:tc>
          <w:tcPr>
            <w:tcW w:w="1440" w:type="dxa"/>
            <w:shd w:val="clear" w:color="auto" w:fill="C55A11"/>
            <w:tcMar>
              <w:top w:w="72" w:type="dxa"/>
              <w:left w:w="100" w:type="dxa"/>
              <w:bottom w:w="72" w:type="dxa"/>
              <w:right w:w="100" w:type="dxa"/>
            </w:tcMar>
            <w:vAlign w:val="center"/>
          </w:tcPr>
          <w:p w14:paraId="7AB06EC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الضابط</w:t>
            </w:r>
          </w:p>
        </w:tc>
        <w:tc>
          <w:tcPr>
            <w:tcW w:w="8095" w:type="dxa"/>
            <w:shd w:val="clear" w:color="auto" w:fill="C55A11"/>
            <w:tcMar>
              <w:top w:w="72" w:type="dxa"/>
              <w:left w:w="100" w:type="dxa"/>
              <w:bottom w:w="72" w:type="dxa"/>
              <w:right w:w="100" w:type="dxa"/>
            </w:tcMar>
            <w:vAlign w:val="center"/>
          </w:tcPr>
          <w:p w14:paraId="5D969E1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التفصيل</w:t>
            </w:r>
          </w:p>
        </w:tc>
      </w:tr>
      <w:tr w:rsidR="00B149ED" w:rsidRPr="00A60245" w14:paraId="46293CBC" w14:textId="77777777" w:rsidTr="00A011EA">
        <w:tc>
          <w:tcPr>
            <w:tcW w:w="1440" w:type="dxa"/>
            <w:shd w:val="clear" w:color="auto" w:fill="FFF5E0"/>
            <w:tcMar>
              <w:top w:w="72" w:type="dxa"/>
              <w:left w:w="100" w:type="dxa"/>
              <w:bottom w:w="72" w:type="dxa"/>
              <w:right w:w="100" w:type="dxa"/>
            </w:tcMar>
            <w:vAlign w:val="center"/>
          </w:tcPr>
          <w:p w14:paraId="65537D58"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C55A11"/>
                <w:sz w:val="28"/>
                <w:szCs w:val="28"/>
                <w:rtl/>
              </w:rPr>
              <w:t>ضابط الموضع</w:t>
            </w:r>
          </w:p>
        </w:tc>
        <w:tc>
          <w:tcPr>
            <w:tcW w:w="8095" w:type="dxa"/>
            <w:shd w:val="clear" w:color="auto" w:fill="FFFCF5"/>
            <w:tcMar>
              <w:top w:w="72" w:type="dxa"/>
              <w:left w:w="100" w:type="dxa"/>
              <w:bottom w:w="72" w:type="dxa"/>
              <w:right w:w="100" w:type="dxa"/>
            </w:tcMar>
            <w:vAlign w:val="center"/>
          </w:tcPr>
          <w:p w14:paraId="4EFC7534"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لا يُستعمل الطباطبائي إلا في مواضع التحليل الفلسفي العام (نظرية المعرفة، والوجود)، ولا في أي موضع يتصل بالإمامة أو العصمة.</w:t>
            </w:r>
          </w:p>
        </w:tc>
      </w:tr>
      <w:tr w:rsidR="00B149ED" w:rsidRPr="00A60245" w14:paraId="2C1A3E81" w14:textId="77777777" w:rsidTr="00A011EA">
        <w:tc>
          <w:tcPr>
            <w:tcW w:w="1440" w:type="dxa"/>
            <w:shd w:val="clear" w:color="auto" w:fill="FFFFFF"/>
            <w:tcMar>
              <w:top w:w="72" w:type="dxa"/>
              <w:left w:w="100" w:type="dxa"/>
              <w:bottom w:w="72" w:type="dxa"/>
              <w:right w:w="100" w:type="dxa"/>
            </w:tcMar>
            <w:vAlign w:val="center"/>
          </w:tcPr>
          <w:p w14:paraId="370BC0E7"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C55A11"/>
                <w:sz w:val="28"/>
                <w:szCs w:val="28"/>
                <w:rtl/>
              </w:rPr>
              <w:t>ضابط التصريح</w:t>
            </w:r>
          </w:p>
        </w:tc>
        <w:tc>
          <w:tcPr>
            <w:tcW w:w="8095" w:type="dxa"/>
            <w:shd w:val="clear" w:color="auto" w:fill="FFFFFF"/>
            <w:tcMar>
              <w:top w:w="72" w:type="dxa"/>
              <w:left w:w="100" w:type="dxa"/>
              <w:bottom w:w="72" w:type="dxa"/>
              <w:right w:w="100" w:type="dxa"/>
            </w:tcMar>
            <w:vAlign w:val="center"/>
          </w:tcPr>
          <w:p w14:paraId="58F43821"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كل استشهاد بالطباطبائي يُصرَّح فيه بمذهبه وبحدود الاستفادة منه، دون إخفاء ولا تعميم.</w:t>
            </w:r>
          </w:p>
        </w:tc>
      </w:tr>
      <w:tr w:rsidR="00B149ED" w:rsidRPr="00A60245" w14:paraId="2C8916ED" w14:textId="77777777" w:rsidTr="00A011EA">
        <w:tc>
          <w:tcPr>
            <w:tcW w:w="1440" w:type="dxa"/>
            <w:shd w:val="clear" w:color="auto" w:fill="FFF5E0"/>
            <w:tcMar>
              <w:top w:w="72" w:type="dxa"/>
              <w:left w:w="100" w:type="dxa"/>
              <w:bottom w:w="72" w:type="dxa"/>
              <w:right w:w="100" w:type="dxa"/>
            </w:tcMar>
            <w:vAlign w:val="center"/>
          </w:tcPr>
          <w:p w14:paraId="05DC9FA7"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C55A11"/>
                <w:sz w:val="28"/>
                <w:szCs w:val="28"/>
                <w:rtl/>
              </w:rPr>
              <w:t>ضابط التبعية</w:t>
            </w:r>
          </w:p>
        </w:tc>
        <w:tc>
          <w:tcPr>
            <w:tcW w:w="8095" w:type="dxa"/>
            <w:shd w:val="clear" w:color="auto" w:fill="FFFCF5"/>
            <w:tcMar>
              <w:top w:w="72" w:type="dxa"/>
              <w:left w:w="100" w:type="dxa"/>
              <w:bottom w:w="72" w:type="dxa"/>
              <w:right w:w="100" w:type="dxa"/>
            </w:tcMar>
            <w:vAlign w:val="center"/>
          </w:tcPr>
          <w:p w14:paraId="7BE57366"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لا يُعتمد رأيه مستقلًا، بل يُستعمل مكمّلًا ومحاورًا لما استقرت عليه المدارس الخمس، لا معادلًا لها في السلطة المعرفية.</w:t>
            </w:r>
          </w:p>
        </w:tc>
      </w:tr>
    </w:tbl>
    <w:p w14:paraId="22415A24" w14:textId="77777777" w:rsidR="00B149ED" w:rsidRPr="00A60245" w:rsidRDefault="00B149ED" w:rsidP="00B149ED">
      <w:pPr>
        <w:bidi/>
        <w:spacing w:after="55"/>
        <w:rPr>
          <w:rFonts w:ascii="Sakkal Majalla" w:hAnsi="Sakkal Majalla" w:cs="Sakkal Majalla"/>
          <w:sz w:val="28"/>
          <w:szCs w:val="28"/>
        </w:rPr>
      </w:pPr>
    </w:p>
    <w:p w14:paraId="402BDAF7"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p w14:paraId="6D7BFEEF" w14:textId="77777777" w:rsidR="00B149ED" w:rsidRPr="00A60245" w:rsidRDefault="00B149ED" w:rsidP="00B149ED">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 xml:space="preserve">4.5  تراتبية مصادر السيرة: الثبوت التاريخي قبل الشهرة الأدبية</w:t>
      </w:r>
    </w:p>
    <w:p w14:paraId="48F0026C"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وتقع كتابات معاصرة كثيرة في خطأ متكرر: الاستشهاد بواقعة من السيرة لشهرتها الأدبية قبل التحقق من ثبوتها التاريخي. ولهذا يلتزم الكتاب بتراتبية صارمة: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2160"/>
        <w:gridCol w:w="2880"/>
        <w:gridCol w:w="2880"/>
      </w:tblGrid>
      <w:tr w:rsidR="00B149ED" w:rsidRPr="00A60245" w14:paraId="5C728B36" w14:textId="77777777" w:rsidTr="00A011EA">
        <w:tc>
          <w:tcPr>
            <w:tcW w:w="720" w:type="dxa"/>
            <w:shd w:val="clear" w:color="auto" w:fill="1F3864"/>
            <w:tcMar>
              <w:top w:w="72" w:type="dxa"/>
              <w:left w:w="100" w:type="dxa"/>
              <w:bottom w:w="72" w:type="dxa"/>
              <w:right w:w="100" w:type="dxa"/>
            </w:tcMar>
            <w:vAlign w:val="center"/>
          </w:tcPr>
          <w:p w14:paraId="3A99BCC8"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المرتبة</w:t>
            </w:r>
          </w:p>
        </w:tc>
        <w:tc>
          <w:tcPr>
            <w:tcW w:w="2160" w:type="dxa"/>
            <w:shd w:val="clear" w:color="auto" w:fill="1F3864"/>
            <w:tcMar>
              <w:top w:w="72" w:type="dxa"/>
              <w:left w:w="100" w:type="dxa"/>
              <w:bottom w:w="72" w:type="dxa"/>
              <w:right w:w="100" w:type="dxa"/>
            </w:tcMar>
            <w:vAlign w:val="center"/>
          </w:tcPr>
          <w:p w14:paraId="36EC0C70"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المصدر</w:t>
            </w:r>
          </w:p>
        </w:tc>
        <w:tc>
          <w:tcPr>
            <w:tcW w:w="2880" w:type="dxa"/>
            <w:shd w:val="clear" w:color="auto" w:fill="1F3864"/>
            <w:tcMar>
              <w:top w:w="72" w:type="dxa"/>
              <w:left w:w="100" w:type="dxa"/>
              <w:bottom w:w="72" w:type="dxa"/>
              <w:right w:w="100" w:type="dxa"/>
            </w:tcMar>
            <w:vAlign w:val="center"/>
          </w:tcPr>
          <w:p w14:paraId="18A5FEFB"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ما تُثبته</w:t>
            </w:r>
          </w:p>
        </w:tc>
        <w:tc>
          <w:tcPr>
            <w:tcW w:w="2880" w:type="dxa"/>
            <w:shd w:val="clear" w:color="auto" w:fill="1F3864"/>
            <w:tcMar>
              <w:top w:w="72" w:type="dxa"/>
              <w:left w:w="100" w:type="dxa"/>
              <w:bottom w:w="72" w:type="dxa"/>
              <w:right w:w="100" w:type="dxa"/>
            </w:tcMar>
            <w:vAlign w:val="center"/>
          </w:tcPr>
          <w:p w14:paraId="333391F1"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كيف تُستخدَم</w:t>
            </w:r>
          </w:p>
        </w:tc>
      </w:tr>
      <w:tr w:rsidR="00B149ED" w:rsidRPr="00A60245" w14:paraId="3DF7C505" w14:textId="77777777" w:rsidTr="00A011EA">
        <w:tc>
          <w:tcPr>
            <w:tcW w:w="720" w:type="dxa"/>
            <w:shd w:val="clear" w:color="auto" w:fill="EBF5FB"/>
            <w:tcMar>
              <w:top w:w="72" w:type="dxa"/>
              <w:left w:w="100" w:type="dxa"/>
              <w:bottom w:w="72" w:type="dxa"/>
              <w:right w:w="100" w:type="dxa"/>
            </w:tcMar>
            <w:vAlign w:val="center"/>
          </w:tcPr>
          <w:p w14:paraId="31538D74"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الأولى</w:t>
            </w:r>
          </w:p>
        </w:tc>
        <w:tc>
          <w:tcPr>
            <w:tcW w:w="2160" w:type="dxa"/>
            <w:shd w:val="clear" w:color="auto" w:fill="F8F8F8"/>
            <w:tcMar>
              <w:top w:w="72" w:type="dxa"/>
              <w:left w:w="100" w:type="dxa"/>
              <w:bottom w:w="72" w:type="dxa"/>
              <w:right w:w="100" w:type="dxa"/>
            </w:tcMar>
            <w:vAlign w:val="center"/>
          </w:tcPr>
          <w:p w14:paraId="6D667820"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البخاري ومسلم وأحد السنن الأربعة بإسناد صحيح أو حسن</w:t>
            </w:r>
          </w:p>
        </w:tc>
        <w:tc>
          <w:tcPr>
            <w:tcW w:w="2880" w:type="dxa"/>
            <w:shd w:val="clear" w:color="auto" w:fill="EBF5E0"/>
            <w:tcMar>
              <w:top w:w="72" w:type="dxa"/>
              <w:left w:w="100" w:type="dxa"/>
              <w:bottom w:w="72" w:type="dxa"/>
              <w:right w:w="100" w:type="dxa"/>
            </w:tcMar>
            <w:vAlign w:val="center"/>
          </w:tcPr>
          <w:p w14:paraId="0F1B4D6D"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أصل وقوع الحدث تاريخياً بمعيار علم الحديث الصارم (نقد الإسناد)</w:t>
            </w:r>
          </w:p>
        </w:tc>
        <w:tc>
          <w:tcPr>
            <w:tcW w:w="2880" w:type="dxa"/>
            <w:shd w:val="clear" w:color="auto" w:fill="EBF5FB"/>
            <w:tcMar>
              <w:top w:w="72" w:type="dxa"/>
              <w:left w:w="100" w:type="dxa"/>
              <w:bottom w:w="72" w:type="dxa"/>
              <w:right w:w="100" w:type="dxa"/>
            </w:tcMar>
            <w:vAlign w:val="center"/>
          </w:tcPr>
          <w:p w14:paraId="2576145C"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وحدها تُثبت الواقعة ابتداءً؛ فلا يُستشهد بواقعة دليلًا إداريًا بغير هذه المرتبة</w:t>
            </w:r>
          </w:p>
        </w:tc>
      </w:tr>
      <w:tr w:rsidR="00B149ED" w:rsidRPr="00A60245" w14:paraId="3DAEDD4A" w14:textId="77777777" w:rsidTr="00A011EA">
        <w:tc>
          <w:tcPr>
            <w:tcW w:w="720" w:type="dxa"/>
            <w:shd w:val="clear" w:color="auto" w:fill="FFFFFF"/>
            <w:tcMar>
              <w:top w:w="72" w:type="dxa"/>
              <w:left w:w="100" w:type="dxa"/>
              <w:bottom w:w="72" w:type="dxa"/>
              <w:right w:w="100" w:type="dxa"/>
            </w:tcMar>
            <w:vAlign w:val="center"/>
          </w:tcPr>
          <w:p w14:paraId="654E221D"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الثانية</w:t>
            </w:r>
          </w:p>
        </w:tc>
        <w:tc>
          <w:tcPr>
            <w:tcW w:w="2160" w:type="dxa"/>
            <w:shd w:val="clear" w:color="auto" w:fill="FFFFFF"/>
            <w:tcMar>
              <w:top w:w="72" w:type="dxa"/>
              <w:left w:w="100" w:type="dxa"/>
              <w:bottom w:w="72" w:type="dxa"/>
              <w:right w:w="100" w:type="dxa"/>
            </w:tcMar>
            <w:vAlign w:val="center"/>
          </w:tcPr>
          <w:p w14:paraId="017F8F7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السيرة لابن هشام (ت.213ه) — تهذيب لسيرة ابن إسحاق</w:t>
            </w:r>
          </w:p>
        </w:tc>
        <w:tc>
          <w:tcPr>
            <w:tcW w:w="2880" w:type="dxa"/>
            <w:shd w:val="clear" w:color="auto" w:fill="FFFFFF"/>
            <w:tcMar>
              <w:top w:w="72" w:type="dxa"/>
              <w:left w:w="100" w:type="dxa"/>
              <w:bottom w:w="72" w:type="dxa"/>
              <w:right w:w="100" w:type="dxa"/>
            </w:tcMar>
            <w:vAlign w:val="center"/>
          </w:tcPr>
          <w:p w14:paraId="15AEEB3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التفاصيل الإضافية: التواريخ، الأسماء، الترتيب الزمني</w:t>
            </w:r>
          </w:p>
        </w:tc>
        <w:tc>
          <w:tcPr>
            <w:tcW w:w="2880" w:type="dxa"/>
            <w:shd w:val="clear" w:color="auto" w:fill="FFFFFF"/>
            <w:tcMar>
              <w:top w:w="72" w:type="dxa"/>
              <w:left w:w="100" w:type="dxa"/>
              <w:bottom w:w="72" w:type="dxa"/>
              <w:right w:w="100" w:type="dxa"/>
            </w:tcMar>
            <w:vAlign w:val="center"/>
          </w:tcPr>
          <w:p w14:paraId="728399C4"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للتفاصيل بعد إثبات أصل الواقعة من المرتبة الأولى، لا لإثبات وقوعها ابتداءً</w:t>
            </w:r>
          </w:p>
        </w:tc>
      </w:tr>
      <w:tr w:rsidR="00B149ED" w:rsidRPr="00A60245" w14:paraId="45391BA6" w14:textId="77777777" w:rsidTr="00A011EA">
        <w:tc>
          <w:tcPr>
            <w:tcW w:w="720" w:type="dxa"/>
            <w:shd w:val="clear" w:color="auto" w:fill="EBF5FB"/>
            <w:tcMar>
              <w:top w:w="72" w:type="dxa"/>
              <w:left w:w="100" w:type="dxa"/>
              <w:bottom w:w="72" w:type="dxa"/>
              <w:right w:w="100" w:type="dxa"/>
            </w:tcMar>
            <w:vAlign w:val="center"/>
          </w:tcPr>
          <w:p w14:paraId="786C437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الثالثة</w:t>
            </w:r>
          </w:p>
        </w:tc>
        <w:tc>
          <w:tcPr>
            <w:tcW w:w="2160" w:type="dxa"/>
            <w:shd w:val="clear" w:color="auto" w:fill="F8F8F8"/>
            <w:tcMar>
              <w:top w:w="72" w:type="dxa"/>
              <w:left w:w="100" w:type="dxa"/>
              <w:bottom w:w="72" w:type="dxa"/>
              <w:right w:w="100" w:type="dxa"/>
            </w:tcMar>
            <w:vAlign w:val="center"/>
          </w:tcPr>
          <w:p w14:paraId="6C64EF10"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فقه السيرة لمحمد الغزالي | الفقه الحركي للسيرة النبوية لمنير الغضبان</w:t>
            </w:r>
          </w:p>
        </w:tc>
        <w:tc>
          <w:tcPr>
            <w:tcW w:w="2880" w:type="dxa"/>
            <w:shd w:val="clear" w:color="auto" w:fill="EBF5E0"/>
            <w:tcMar>
              <w:top w:w="72" w:type="dxa"/>
              <w:left w:w="100" w:type="dxa"/>
              <w:bottom w:w="72" w:type="dxa"/>
              <w:right w:w="100" w:type="dxa"/>
            </w:tcMar>
            <w:vAlign w:val="center"/>
          </w:tcPr>
          <w:p w14:paraId="773439E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التحليل الإداري والحركي للوقائع المُثبَتة</w:t>
            </w:r>
          </w:p>
        </w:tc>
        <w:tc>
          <w:tcPr>
            <w:tcW w:w="2880" w:type="dxa"/>
            <w:shd w:val="clear" w:color="auto" w:fill="EBF5FB"/>
            <w:tcMar>
              <w:top w:w="72" w:type="dxa"/>
              <w:left w:w="100" w:type="dxa"/>
              <w:bottom w:w="72" w:type="dxa"/>
              <w:right w:w="100" w:type="dxa"/>
            </w:tcMar>
            <w:vAlign w:val="center"/>
          </w:tcPr>
          <w:p w14:paraId="299E9EA6"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لفهم الدلالة الإدارية للوقائع، لا لإثبات وقوعها</w:t>
            </w:r>
          </w:p>
        </w:tc>
      </w:tr>
      <w:tr w:rsidR="00B149ED" w:rsidRPr="00A60245" w14:paraId="2D0834E0" w14:textId="77777777" w:rsidTr="00A011EA">
        <w:tc>
          <w:tcPr>
            <w:tcW w:w="720" w:type="dxa"/>
            <w:shd w:val="clear" w:color="auto" w:fill="FFFFFF"/>
            <w:tcMar>
              <w:top w:w="72" w:type="dxa"/>
              <w:left w:w="100" w:type="dxa"/>
              <w:bottom w:w="72" w:type="dxa"/>
              <w:right w:w="100" w:type="dxa"/>
            </w:tcMar>
            <w:vAlign w:val="center"/>
          </w:tcPr>
          <w:p w14:paraId="3AE684E0"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lastRenderedPageBreak/>
              <w:t>الرابعة</w:t>
            </w:r>
          </w:p>
        </w:tc>
        <w:tc>
          <w:tcPr>
            <w:tcW w:w="2160" w:type="dxa"/>
            <w:shd w:val="clear" w:color="auto" w:fill="FFFFFF"/>
            <w:tcMar>
              <w:top w:w="72" w:type="dxa"/>
              <w:left w:w="100" w:type="dxa"/>
              <w:bottom w:w="72" w:type="dxa"/>
              <w:right w:w="100" w:type="dxa"/>
            </w:tcMar>
            <w:vAlign w:val="center"/>
          </w:tcPr>
          <w:p w14:paraId="3884497C"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الرحيق المختوم للمباركفوري | السيرة في ضوء المصادر لمهدي رزق الله</w:t>
            </w:r>
          </w:p>
        </w:tc>
        <w:tc>
          <w:tcPr>
            <w:tcW w:w="2880" w:type="dxa"/>
            <w:shd w:val="clear" w:color="auto" w:fill="FFFFFF"/>
            <w:tcMar>
              <w:top w:w="72" w:type="dxa"/>
              <w:left w:w="100" w:type="dxa"/>
              <w:bottom w:w="72" w:type="dxa"/>
              <w:right w:w="100" w:type="dxa"/>
            </w:tcMar>
            <w:vAlign w:val="center"/>
          </w:tcPr>
          <w:p w14:paraId="4603F828"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السياق التاريخي العام والتسلسل</w:t>
            </w:r>
          </w:p>
        </w:tc>
        <w:tc>
          <w:tcPr>
            <w:tcW w:w="2880" w:type="dxa"/>
            <w:shd w:val="clear" w:color="auto" w:fill="FFFFFF"/>
            <w:tcMar>
              <w:top w:w="72" w:type="dxa"/>
              <w:left w:w="100" w:type="dxa"/>
              <w:bottom w:w="72" w:type="dxa"/>
              <w:right w:w="100" w:type="dxa"/>
            </w:tcMar>
            <w:vAlign w:val="center"/>
          </w:tcPr>
          <w:p w14:paraId="2153F5C4"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للخلفية والسياق، لا للاستشهاد المباشر على تفصيل يحتاج توثيقًا مستقلًا</w:t>
            </w:r>
          </w:p>
        </w:tc>
      </w:tr>
    </w:tbl>
    <w:p w14:paraId="2EE13298" w14:textId="77777777" w:rsidR="00B149ED" w:rsidRPr="00A60245" w:rsidRDefault="00B149ED" w:rsidP="00B149ED">
      <w:pPr>
        <w:bidi/>
        <w:spacing w:after="55"/>
        <w:rPr>
          <w:rFonts w:ascii="Sakkal Majalla" w:hAnsi="Sakkal Majalla" w:cs="Sakkal Majalla"/>
          <w:sz w:val="28"/>
          <w:szCs w:val="28"/>
        </w:rPr>
      </w:pPr>
      <w:r>
        <w:rPr>
          <w:rFonts w:ascii="Sakkal Majalla" w:hAnsi="Sakkal Majalla" w:cs="Sakkal Majalla"/>
          <w:i/>
          <w:iCs/>
          <w:color w:val="595959"/>
          <w:sz w:val="28"/>
          <w:szCs w:val="28"/>
          <w:rtl/>
        </w:rPr>
        <w:t xml:space="preserve">جدول 4.3 — تراتبية مصادر السيرة الأربع، من الأعلى ثبوتًا تاريخيًا إلى الأوسع سياقًا.</w:t>
      </w:r>
    </w:p>
    <w:p w14:paraId="105EB40F" w14:textId="77777777" w:rsidR="00B149ED" w:rsidRPr="00A60245" w:rsidRDefault="00B149ED" w:rsidP="00B149ED">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تطبيق: تراتبية السيرة على واقعة صلح الحديبية</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75"/>
        <w:gridCol w:w="7470"/>
      </w:tblGrid>
      <w:tr w:rsidR="00B149ED" w:rsidRPr="00A60245" w14:paraId="5383BCA5" w14:textId="77777777" w:rsidTr="00A011EA">
        <w:tc>
          <w:tcPr>
            <w:tcW w:w="1975" w:type="dxa"/>
            <w:shd w:val="clear" w:color="auto" w:fill="1F3864"/>
            <w:tcMar>
              <w:top w:w="72" w:type="dxa"/>
              <w:left w:w="100" w:type="dxa"/>
              <w:bottom w:w="72" w:type="dxa"/>
              <w:right w:w="100" w:type="dxa"/>
            </w:tcMar>
            <w:vAlign w:val="center"/>
          </w:tcPr>
          <w:p w14:paraId="1C2E57D4"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المرتبة</w:t>
            </w:r>
          </w:p>
        </w:tc>
        <w:tc>
          <w:tcPr>
            <w:tcW w:w="7470" w:type="dxa"/>
            <w:shd w:val="clear" w:color="auto" w:fill="1F3864"/>
            <w:tcMar>
              <w:top w:w="72" w:type="dxa"/>
              <w:left w:w="100" w:type="dxa"/>
              <w:bottom w:w="72" w:type="dxa"/>
              <w:right w:w="100" w:type="dxa"/>
            </w:tcMar>
            <w:vAlign w:val="center"/>
          </w:tcPr>
          <w:p w14:paraId="38EC1238"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ما تُقدِّمه لواقعة الحديبية تحديداً</w:t>
            </w:r>
          </w:p>
        </w:tc>
      </w:tr>
      <w:tr w:rsidR="00B149ED" w:rsidRPr="00A60245" w14:paraId="22F99D5E" w14:textId="77777777" w:rsidTr="00A011EA">
        <w:tc>
          <w:tcPr>
            <w:tcW w:w="1975" w:type="dxa"/>
            <w:shd w:val="clear" w:color="auto" w:fill="EBF5FB"/>
            <w:tcMar>
              <w:top w:w="72" w:type="dxa"/>
              <w:left w:w="100" w:type="dxa"/>
              <w:bottom w:w="72" w:type="dxa"/>
              <w:right w:w="100" w:type="dxa"/>
            </w:tcMar>
            <w:vAlign w:val="center"/>
          </w:tcPr>
          <w:p w14:paraId="7FE8D8A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الأولى (البخاري)</w:t>
            </w:r>
          </w:p>
        </w:tc>
        <w:tc>
          <w:tcPr>
            <w:tcW w:w="7470" w:type="dxa"/>
            <w:shd w:val="clear" w:color="auto" w:fill="F5FAFF"/>
            <w:tcMar>
              <w:top w:w="72" w:type="dxa"/>
              <w:left w:w="100" w:type="dxa"/>
              <w:bottom w:w="72" w:type="dxa"/>
              <w:right w:w="100" w:type="dxa"/>
            </w:tcMar>
            <w:vAlign w:val="center"/>
          </w:tcPr>
          <w:p w14:paraId="22CCB99E"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تُثبت بإسناد صحيح: خروج النبي ﷺ للعمرة، وصدّ قريش، وشروط الاتفاق، واعتراض عمر. وبهذا نعرف «ماذا حدث» بيقين تاريخي عالٍ.</w:t>
            </w:r>
          </w:p>
        </w:tc>
      </w:tr>
      <w:tr w:rsidR="00B149ED" w:rsidRPr="00A60245" w14:paraId="53937D40" w14:textId="77777777" w:rsidTr="00A011EA">
        <w:tc>
          <w:tcPr>
            <w:tcW w:w="1975" w:type="dxa"/>
            <w:shd w:val="clear" w:color="auto" w:fill="FFFFFF"/>
            <w:tcMar>
              <w:top w:w="72" w:type="dxa"/>
              <w:left w:w="100" w:type="dxa"/>
              <w:bottom w:w="72" w:type="dxa"/>
              <w:right w:w="100" w:type="dxa"/>
            </w:tcMar>
            <w:vAlign w:val="center"/>
          </w:tcPr>
          <w:p w14:paraId="5D16F71D"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الثانية (ابن هشام)</w:t>
            </w:r>
          </w:p>
        </w:tc>
        <w:tc>
          <w:tcPr>
            <w:tcW w:w="7470" w:type="dxa"/>
            <w:shd w:val="clear" w:color="auto" w:fill="FFFFFF"/>
            <w:tcMar>
              <w:top w:w="72" w:type="dxa"/>
              <w:left w:w="100" w:type="dxa"/>
              <w:bottom w:w="72" w:type="dxa"/>
              <w:right w:w="100" w:type="dxa"/>
            </w:tcMar>
            <w:vAlign w:val="center"/>
          </w:tcPr>
          <w:p w14:paraId="5512F6D0"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تضيف تفاصيل الحوار بين النبي ﷺ وسهيل بن عمرو، ونص الشروط كاملًا، واعتراض عمر بلفظه. وتُستعمل للفهم الدقيق بثقة أقل.</w:t>
            </w:r>
          </w:p>
        </w:tc>
      </w:tr>
      <w:tr w:rsidR="00B149ED" w:rsidRPr="00A60245" w14:paraId="5173BA91" w14:textId="77777777" w:rsidTr="00A011EA">
        <w:tc>
          <w:tcPr>
            <w:tcW w:w="1975" w:type="dxa"/>
            <w:shd w:val="clear" w:color="auto" w:fill="EBF5FB"/>
            <w:tcMar>
              <w:top w:w="72" w:type="dxa"/>
              <w:left w:w="100" w:type="dxa"/>
              <w:bottom w:w="72" w:type="dxa"/>
              <w:right w:w="100" w:type="dxa"/>
            </w:tcMar>
            <w:vAlign w:val="center"/>
          </w:tcPr>
          <w:p w14:paraId="5C38EB7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الثالثة (الغضبان)</w:t>
            </w:r>
          </w:p>
        </w:tc>
        <w:tc>
          <w:tcPr>
            <w:tcW w:w="7470" w:type="dxa"/>
            <w:shd w:val="clear" w:color="auto" w:fill="F5FAFF"/>
            <w:tcMar>
              <w:top w:w="72" w:type="dxa"/>
              <w:left w:w="100" w:type="dxa"/>
              <w:bottom w:w="72" w:type="dxa"/>
              <w:right w:w="100" w:type="dxa"/>
            </w:tcMar>
            <w:vAlign w:val="center"/>
          </w:tcPr>
          <w:p w14:paraId="0EAE5807"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يحلّل الواقعة نموذجًا لـ«القيادة الاستراتيجية بعيدة المدى»: قبول خسارة تكتيكية ظاهرة لتحقيق مكسب استراتيجي أعمق. وهذا تحليل إداري مبني على الوقائع الثابتة، لا مصدر إثبات مستقل.</w:t>
            </w:r>
          </w:p>
        </w:tc>
      </w:tr>
      <w:tr w:rsidR="00B149ED" w:rsidRPr="00A60245" w14:paraId="2D756298" w14:textId="77777777" w:rsidTr="00A011EA">
        <w:tc>
          <w:tcPr>
            <w:tcW w:w="1975" w:type="dxa"/>
            <w:shd w:val="clear" w:color="auto" w:fill="FFFFFF"/>
            <w:tcMar>
              <w:top w:w="72" w:type="dxa"/>
              <w:left w:w="100" w:type="dxa"/>
              <w:bottom w:w="72" w:type="dxa"/>
              <w:right w:w="100" w:type="dxa"/>
            </w:tcMar>
            <w:vAlign w:val="center"/>
          </w:tcPr>
          <w:p w14:paraId="5FC92517"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المبدأ الإداري</w:t>
            </w:r>
          </w:p>
        </w:tc>
        <w:tc>
          <w:tcPr>
            <w:tcW w:w="7470" w:type="dxa"/>
            <w:shd w:val="clear" w:color="auto" w:fill="FFFFFF"/>
            <w:tcMar>
              <w:top w:w="72" w:type="dxa"/>
              <w:left w:w="100" w:type="dxa"/>
              <w:bottom w:w="72" w:type="dxa"/>
              <w:right w:w="100" w:type="dxa"/>
            </w:tcMar>
            <w:vAlign w:val="center"/>
          </w:tcPr>
          <w:p w14:paraId="42A0CA15"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مبدأ «الحزم الاستراتيجي المرن»: قبول شروط ظاهرها الخسارة حين تخدم غاية أبعد، مع إدارة الاعتراض الداخلي، كموقف عمر، بحكمة دون قمعه.</w:t>
            </w:r>
          </w:p>
        </w:tc>
      </w:tr>
    </w:tbl>
    <w:p w14:paraId="0B542854" w14:textId="77777777" w:rsidR="00B149ED" w:rsidRPr="00A60245" w:rsidRDefault="00B149ED" w:rsidP="00B149ED">
      <w:pPr>
        <w:bidi/>
        <w:spacing w:after="55"/>
        <w:rPr>
          <w:rFonts w:ascii="Sakkal Majalla" w:hAnsi="Sakkal Majalla" w:cs="Sakkal Majalla"/>
          <w:sz w:val="28"/>
          <w:szCs w:val="28"/>
        </w:rPr>
      </w:pPr>
    </w:p>
    <w:p w14:paraId="369BE074"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p w14:paraId="14FE95FD" w14:textId="77777777" w:rsidR="00B149ED" w:rsidRPr="00A60245" w:rsidRDefault="00B149ED" w:rsidP="00B149ED">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 xml:space="preserve">4.6  المصادر اللغوية: من الجذر إلى البلاغة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2880"/>
        <w:gridCol w:w="3600"/>
      </w:tblGrid>
      <w:tr w:rsidR="00B149ED" w:rsidRPr="00A60245" w14:paraId="27905619" w14:textId="77777777" w:rsidTr="00A011EA">
        <w:tc>
          <w:tcPr>
            <w:tcW w:w="2160" w:type="dxa"/>
            <w:shd w:val="clear" w:color="auto" w:fill="1F3864"/>
            <w:tcMar>
              <w:top w:w="72" w:type="dxa"/>
              <w:left w:w="100" w:type="dxa"/>
              <w:bottom w:w="72" w:type="dxa"/>
              <w:right w:w="100" w:type="dxa"/>
            </w:tcMar>
            <w:vAlign w:val="center"/>
          </w:tcPr>
          <w:p w14:paraId="05CCC835"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المصدر</w:t>
            </w:r>
          </w:p>
        </w:tc>
        <w:tc>
          <w:tcPr>
            <w:tcW w:w="2880" w:type="dxa"/>
            <w:shd w:val="clear" w:color="auto" w:fill="1F3864"/>
            <w:tcMar>
              <w:top w:w="72" w:type="dxa"/>
              <w:left w:w="100" w:type="dxa"/>
              <w:bottom w:w="72" w:type="dxa"/>
              <w:right w:w="100" w:type="dxa"/>
            </w:tcMar>
            <w:vAlign w:val="center"/>
          </w:tcPr>
          <w:p w14:paraId="1C293CB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الوظيفة المحددة</w:t>
            </w:r>
          </w:p>
        </w:tc>
        <w:tc>
          <w:tcPr>
            <w:tcW w:w="3600" w:type="dxa"/>
            <w:shd w:val="clear" w:color="auto" w:fill="1F3864"/>
            <w:tcMar>
              <w:top w:w="72" w:type="dxa"/>
              <w:left w:w="100" w:type="dxa"/>
              <w:bottom w:w="72" w:type="dxa"/>
              <w:right w:w="100" w:type="dxa"/>
            </w:tcMar>
            <w:vAlign w:val="center"/>
          </w:tcPr>
          <w:p w14:paraId="750A4F47"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مثال تطبيقي على الاستخدام الصحيح</w:t>
            </w:r>
          </w:p>
        </w:tc>
      </w:tr>
      <w:tr w:rsidR="00B149ED" w:rsidRPr="00A60245" w14:paraId="7B4E25A7" w14:textId="77777777" w:rsidTr="00A011EA">
        <w:tc>
          <w:tcPr>
            <w:tcW w:w="2160" w:type="dxa"/>
            <w:shd w:val="clear" w:color="auto" w:fill="EBF5FB"/>
            <w:tcMar>
              <w:top w:w="72" w:type="dxa"/>
              <w:left w:w="100" w:type="dxa"/>
              <w:bottom w:w="72" w:type="dxa"/>
              <w:right w:w="100" w:type="dxa"/>
            </w:tcMar>
            <w:vAlign w:val="center"/>
          </w:tcPr>
          <w:p w14:paraId="6743C7E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مقاييس اللغة ابن فارس (ت.395ه)</w:t>
            </w:r>
          </w:p>
        </w:tc>
        <w:tc>
          <w:tcPr>
            <w:tcW w:w="2880" w:type="dxa"/>
            <w:shd w:val="clear" w:color="auto" w:fill="F8F8F8"/>
            <w:tcMar>
              <w:top w:w="72" w:type="dxa"/>
              <w:left w:w="100" w:type="dxa"/>
              <w:bottom w:w="72" w:type="dxa"/>
              <w:right w:w="100" w:type="dxa"/>
            </w:tcMar>
            <w:vAlign w:val="center"/>
          </w:tcPr>
          <w:p w14:paraId="2E5A0746"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ردّ الجذر الثلاثي إلى معنى مركزي واحد، وهو منهج يتميز به هذا المعجم.</w:t>
            </w:r>
          </w:p>
        </w:tc>
        <w:tc>
          <w:tcPr>
            <w:tcW w:w="3600" w:type="dxa"/>
            <w:shd w:val="clear" w:color="auto" w:fill="EBF5FB"/>
            <w:tcMar>
              <w:top w:w="72" w:type="dxa"/>
              <w:left w:w="100" w:type="dxa"/>
              <w:bottom w:w="72" w:type="dxa"/>
              <w:right w:w="100" w:type="dxa"/>
            </w:tcMar>
            <w:vAlign w:val="center"/>
          </w:tcPr>
          <w:p w14:paraId="4ED5CE0A"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جذر أ-م-ن: «الأمن والطمأنينة»، ومنه تتفرع الأمانة والإيمان والأمن فروعًا لأصل واحد.</w:t>
            </w:r>
          </w:p>
        </w:tc>
      </w:tr>
      <w:tr w:rsidR="00B149ED" w:rsidRPr="00A60245" w14:paraId="4DDB01AC" w14:textId="77777777" w:rsidTr="00A011EA">
        <w:tc>
          <w:tcPr>
            <w:tcW w:w="2160" w:type="dxa"/>
            <w:shd w:val="clear" w:color="auto" w:fill="FFFFFF"/>
            <w:tcMar>
              <w:top w:w="72" w:type="dxa"/>
              <w:left w:w="100" w:type="dxa"/>
              <w:bottom w:w="72" w:type="dxa"/>
              <w:right w:w="100" w:type="dxa"/>
            </w:tcMar>
            <w:vAlign w:val="center"/>
          </w:tcPr>
          <w:p w14:paraId="0007779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المفردات في غريب القرآن الراغب الأصفهاني (ت.502ه)</w:t>
            </w:r>
          </w:p>
        </w:tc>
        <w:tc>
          <w:tcPr>
            <w:tcW w:w="2880" w:type="dxa"/>
            <w:shd w:val="clear" w:color="auto" w:fill="FFFFFF"/>
            <w:tcMar>
              <w:top w:w="72" w:type="dxa"/>
              <w:left w:w="100" w:type="dxa"/>
              <w:bottom w:w="72" w:type="dxa"/>
              <w:right w:w="100" w:type="dxa"/>
            </w:tcMar>
            <w:vAlign w:val="center"/>
          </w:tcPr>
          <w:p w14:paraId="3982F847"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معجم خاص بمفردات القرآن، يفرّق بدقة بين الدلالة القرآنية الخاصة والاستعمال العربي العام.</w:t>
            </w:r>
          </w:p>
        </w:tc>
        <w:tc>
          <w:tcPr>
            <w:tcW w:w="3600" w:type="dxa"/>
            <w:shd w:val="clear" w:color="auto" w:fill="FFFFFF"/>
            <w:tcMar>
              <w:top w:w="72" w:type="dxa"/>
              <w:left w:w="100" w:type="dxa"/>
              <w:bottom w:w="72" w:type="dxa"/>
              <w:right w:w="100" w:type="dxa"/>
            </w:tcMar>
            <w:vAlign w:val="center"/>
          </w:tcPr>
          <w:p w14:paraId="707B8645"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لفظ "الإحسان": يُميّز الراغب بين الإحسان العام (إجادة الفعل) والدلالة القرآنية الخاصة (حديث جبريل — حالة استحضار وجودي).</w:t>
            </w:r>
          </w:p>
        </w:tc>
      </w:tr>
      <w:tr w:rsidR="00B149ED" w:rsidRPr="00A60245" w14:paraId="57864D85" w14:textId="77777777" w:rsidTr="00A011EA">
        <w:tc>
          <w:tcPr>
            <w:tcW w:w="2160" w:type="dxa"/>
            <w:shd w:val="clear" w:color="auto" w:fill="EBF5FB"/>
            <w:tcMar>
              <w:top w:w="72" w:type="dxa"/>
              <w:left w:w="100" w:type="dxa"/>
              <w:bottom w:w="72" w:type="dxa"/>
              <w:right w:w="100" w:type="dxa"/>
            </w:tcMar>
            <w:vAlign w:val="center"/>
          </w:tcPr>
          <w:p w14:paraId="65DC0005"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lastRenderedPageBreak/>
              <w:t>لسان العرب ابن منظور (ت.711ه)</w:t>
            </w:r>
          </w:p>
        </w:tc>
        <w:tc>
          <w:tcPr>
            <w:tcW w:w="2880" w:type="dxa"/>
            <w:shd w:val="clear" w:color="auto" w:fill="F8F8F8"/>
            <w:tcMar>
              <w:top w:w="72" w:type="dxa"/>
              <w:left w:w="100" w:type="dxa"/>
              <w:bottom w:w="72" w:type="dxa"/>
              <w:right w:w="100" w:type="dxa"/>
            </w:tcMar>
            <w:vAlign w:val="center"/>
          </w:tcPr>
          <w:p w14:paraId="43F9A62B"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أوسع المعاجم استيعابًا للاستعمالات التاريخية، ويُرجع إليه للتحقق من اتساع الاستعمال.</w:t>
            </w:r>
          </w:p>
        </w:tc>
        <w:tc>
          <w:tcPr>
            <w:tcW w:w="3600" w:type="dxa"/>
            <w:shd w:val="clear" w:color="auto" w:fill="EBF5FB"/>
            <w:tcMar>
              <w:top w:w="72" w:type="dxa"/>
              <w:left w:w="100" w:type="dxa"/>
              <w:bottom w:w="72" w:type="dxa"/>
              <w:right w:w="100" w:type="dxa"/>
            </w:tcMar>
            <w:vAlign w:val="center"/>
          </w:tcPr>
          <w:p w14:paraId="5B689E1B"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التحقق من استعمالات «الشورى» في الشعر الجاهلي والنثر العربي القديم، لبيان أن الدلالة القرآنية ليست معزولة عن اللغة.</w:t>
            </w:r>
          </w:p>
        </w:tc>
      </w:tr>
      <w:tr w:rsidR="00B149ED" w:rsidRPr="00A60245" w14:paraId="1ADCE373" w14:textId="77777777" w:rsidTr="00A011EA">
        <w:tc>
          <w:tcPr>
            <w:tcW w:w="2160" w:type="dxa"/>
            <w:shd w:val="clear" w:color="auto" w:fill="FFFFFF"/>
            <w:tcMar>
              <w:top w:w="72" w:type="dxa"/>
              <w:left w:w="100" w:type="dxa"/>
              <w:bottom w:w="72" w:type="dxa"/>
              <w:right w:w="100" w:type="dxa"/>
            </w:tcMar>
            <w:vAlign w:val="center"/>
          </w:tcPr>
          <w:p w14:paraId="5658CDBE"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الكشّاف الزمخشري (ت.538ه)</w:t>
            </w:r>
          </w:p>
        </w:tc>
        <w:tc>
          <w:tcPr>
            <w:tcW w:w="2880" w:type="dxa"/>
            <w:shd w:val="clear" w:color="auto" w:fill="FFFFFF"/>
            <w:tcMar>
              <w:top w:w="72" w:type="dxa"/>
              <w:left w:w="100" w:type="dxa"/>
              <w:bottom w:w="72" w:type="dxa"/>
              <w:right w:w="100" w:type="dxa"/>
            </w:tcMar>
            <w:vAlign w:val="center"/>
          </w:tcPr>
          <w:p w14:paraId="27D9D77A"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التحليل البلاغي والنحوي الدقيق، والأعلى سلطة في سؤال «لماذا هذا التركيب دون غيره».</w:t>
            </w:r>
          </w:p>
        </w:tc>
        <w:tc>
          <w:tcPr>
            <w:tcW w:w="3600" w:type="dxa"/>
            <w:shd w:val="clear" w:color="auto" w:fill="FFFFFF"/>
            <w:tcMar>
              <w:top w:w="72" w:type="dxa"/>
              <w:left w:w="100" w:type="dxa"/>
              <w:bottom w:w="72" w:type="dxa"/>
              <w:right w:w="100" w:type="dxa"/>
            </w:tcMar>
            <w:vAlign w:val="center"/>
          </w:tcPr>
          <w:p w14:paraId="6B2C3AE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سؤال: لماذا "وشاورهم" بصيغة الأمر المباشر لا "ينبغي أن تشاورهم"؟ الزمخشري يُحلل الفارق البلاغي ودلالته على الإلزام.</w:t>
            </w:r>
          </w:p>
        </w:tc>
      </w:tr>
    </w:tbl>
    <w:p w14:paraId="270E6E59" w14:textId="77777777" w:rsidR="00B149ED" w:rsidRPr="00A60245" w:rsidRDefault="00B149ED" w:rsidP="00B149ED">
      <w:pPr>
        <w:bidi/>
        <w:spacing w:after="55"/>
        <w:rPr>
          <w:rFonts w:ascii="Sakkal Majalla" w:hAnsi="Sakkal Majalla" w:cs="Sakkal Majalla"/>
          <w:sz w:val="28"/>
          <w:szCs w:val="28"/>
        </w:rPr>
      </w:pPr>
      <w:r>
        <w:rPr>
          <w:rFonts w:ascii="Sakkal Majalla" w:hAnsi="Sakkal Majalla" w:cs="Sakkal Majalla"/>
          <w:i/>
          <w:iCs/>
          <w:color w:val="595959"/>
          <w:sz w:val="28"/>
          <w:szCs w:val="28"/>
          <w:rtl/>
        </w:rPr>
        <w:t xml:space="preserve">جدول 4.4 — أربعة مصادر لغوية لكلٍّ منها وظيفته: التأصيل الجذري، والخصوصية القرآنية، واتساع الاستعمال، والتحليل البلاغي.</w:t>
      </w:r>
    </w:p>
    <w:p w14:paraId="6FAC0F51" w14:textId="77777777" w:rsidR="00B149ED" w:rsidRPr="00A60245" w:rsidRDefault="00B149ED" w:rsidP="00B149ED">
      <w:pPr>
        <w:shd w:val="clear" w:color="auto" w:fill="FFF2CC"/>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والقاعدة: لا يُكتفى بمصدر لغوي واحد في أي تحليل جذري في بطاقة الهوية المعرفية؛ فالحقل الثاني يستوجب مراجعة المصادر الأربعة معًا.</w:t>
      </w:r>
    </w:p>
    <w:p w14:paraId="36D47F1A" w14:textId="77777777" w:rsidR="00B149ED" w:rsidRPr="00A60245" w:rsidRDefault="00B149ED" w:rsidP="00B149ED">
      <w:pPr>
        <w:bidi/>
        <w:spacing w:after="55"/>
        <w:rPr>
          <w:rFonts w:ascii="Sakkal Majalla" w:hAnsi="Sakkal Majalla" w:cs="Sakkal Majalla"/>
          <w:sz w:val="28"/>
          <w:szCs w:val="28"/>
        </w:rPr>
      </w:pPr>
    </w:p>
    <w:p w14:paraId="111CD8D9" w14:textId="77777777" w:rsidR="00B149ED" w:rsidRPr="00A60245" w:rsidRDefault="00B149ED" w:rsidP="00B149ED">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ضمانات منهجية ضد الانتقاء المغرض بين المصادر</w:t>
      </w:r>
    </w:p>
    <w:p w14:paraId="1AB7AC7D"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وأكبر خطر في أي نظام يسمح بتعدد المصادر هو الانتقاء المغرض (Cherry-Picking). وهذه ثلاث ضمانات إجرائية تحدّ منه:</w:t>
      </w:r>
    </w:p>
    <w:p w14:paraId="1360FEF8" w14:textId="77777777" w:rsidR="00B149ED" w:rsidRPr="00A60245" w:rsidRDefault="00B149ED" w:rsidP="00B149ED">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xml:space="preserve">◆  الاستقصاء قبل الانتقاء: يُلزَم الباحث بعرض مواقف المدارس الخمس كلها في بطاقة الهوية (الحقل السابع)، لا بالاكتفاء بالمدرسة التي تؤيد استنتاجه وإسقاط غيرها بصمت. وغياب مدرسة يحتاج إلى تسويغ صريح.</w:t>
      </w:r>
    </w:p>
    <w:p w14:paraId="0B22357B" w14:textId="77777777" w:rsidR="00B149ED" w:rsidRPr="00A60245" w:rsidRDefault="00B149ED" w:rsidP="00B149ED">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xml:space="preserve">◆  تسجيل الخلاف قبل الترجيح: يُسجَّل الخلاف بين المدارس أولًا بأمانة، ثم يُرجَّح بمعايير معلنة. والترجيح المباشر دون عرض الخلاف ممنوع.</w:t>
      </w:r>
    </w:p>
    <w:p w14:paraId="3A6A6ACD" w14:textId="77777777" w:rsidR="00B149ED" w:rsidRPr="00A60245" w:rsidRDefault="00B149ED" w:rsidP="00B149ED">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xml:space="preserve">◆  المراجعة الخارجية: كما في محك الأصالة (الفصل الثالث)، يخضع كل استعمال لمصدر تفسيري لمراجعة محكّم مستقل متخصص في التفسير، يتحقق من أمانة عرض المدارس.</w:t>
      </w:r>
    </w:p>
    <w:p w14:paraId="1F902061"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p w14:paraId="7736DDE9" w14:textId="77777777" w:rsidR="00B149ED" w:rsidRPr="00A60245" w:rsidRDefault="00B149ED" w:rsidP="00B149ED">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 xml:space="preserve">4.7  تطبيق كامل لهرم المصادر: مفهوم «العدل» من الدلالة إلى المبدأ</w:t>
      </w:r>
    </w:p>
    <w:p w14:paraId="0EEC2816"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ولكي نرى كيف تعمل مستويات الهرم معًا لا منفصلة، أطبّقه على مفهوم العدل من أوله إلى آخره:</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8275"/>
      </w:tblGrid>
      <w:tr w:rsidR="00B149ED" w:rsidRPr="00A60245" w14:paraId="67E66AC9" w14:textId="77777777" w:rsidTr="00A011EA">
        <w:tc>
          <w:tcPr>
            <w:tcW w:w="1440" w:type="dxa"/>
            <w:shd w:val="clear" w:color="auto" w:fill="1F3864"/>
            <w:tcMar>
              <w:top w:w="72" w:type="dxa"/>
              <w:left w:w="100" w:type="dxa"/>
              <w:bottom w:w="72" w:type="dxa"/>
              <w:right w:w="100" w:type="dxa"/>
            </w:tcMar>
            <w:vAlign w:val="center"/>
          </w:tcPr>
          <w:p w14:paraId="14CA91F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المصدر</w:t>
            </w:r>
          </w:p>
        </w:tc>
        <w:tc>
          <w:tcPr>
            <w:tcW w:w="8275" w:type="dxa"/>
            <w:shd w:val="clear" w:color="auto" w:fill="1F3864"/>
            <w:tcMar>
              <w:top w:w="72" w:type="dxa"/>
              <w:left w:w="100" w:type="dxa"/>
              <w:bottom w:w="72" w:type="dxa"/>
              <w:right w:w="100" w:type="dxa"/>
            </w:tcMar>
            <w:vAlign w:val="center"/>
          </w:tcPr>
          <w:p w14:paraId="3A4E462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ما يُقدِّمه لمفهوم العدل تحديداً</w:t>
            </w:r>
          </w:p>
        </w:tc>
      </w:tr>
      <w:tr w:rsidR="00B149ED" w:rsidRPr="00A60245" w14:paraId="7BD415FF" w14:textId="77777777" w:rsidTr="00A011EA">
        <w:tc>
          <w:tcPr>
            <w:tcW w:w="1440" w:type="dxa"/>
            <w:shd w:val="clear" w:color="auto" w:fill="EBF5FB"/>
            <w:tcMar>
              <w:top w:w="72" w:type="dxa"/>
              <w:left w:w="100" w:type="dxa"/>
              <w:bottom w:w="72" w:type="dxa"/>
              <w:right w:w="100" w:type="dxa"/>
            </w:tcMar>
            <w:vAlign w:val="center"/>
          </w:tcPr>
          <w:p w14:paraId="0D9B7D56"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①</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القرآن</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المنشأ</w:t>
            </w:r>
            <w:r w:rsidRPr="00A60245">
              <w:rPr>
                <w:rFonts w:ascii="Sakkal Majalla" w:hAnsi="Sakkal Majalla" w:cs="Sakkal Majalla"/>
                <w:b/>
                <w:bCs/>
                <w:color w:val="1F3864"/>
                <w:sz w:val="28"/>
                <w:szCs w:val="28"/>
                <w:rtl/>
              </w:rPr>
              <w:t>)</w:t>
            </w:r>
          </w:p>
        </w:tc>
        <w:tc>
          <w:tcPr>
            <w:tcW w:w="8275" w:type="dxa"/>
            <w:shd w:val="clear" w:color="auto" w:fill="F5FAFF"/>
            <w:tcMar>
              <w:top w:w="72" w:type="dxa"/>
              <w:left w:w="100" w:type="dxa"/>
              <w:bottom w:w="72" w:type="dxa"/>
              <w:right w:w="100" w:type="dxa"/>
            </w:tcMar>
            <w:vAlign w:val="center"/>
          </w:tcPr>
          <w:p w14:paraId="2123F754"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﴿إِنَّ اللَّهَ يَأْمُرُ بِالْعَدْلِ وَالْإِحْسَانِ﴾ (النحل:90) — العدل أمر إلهي مباشر يُقرَن بالإحسان في مرتبة تعلو على العدل ذاته. وردت مادة ع-د-ل أكثر من 28 مرة بصيغ مختلفة.</w:t>
            </w:r>
          </w:p>
        </w:tc>
      </w:tr>
      <w:tr w:rsidR="00B149ED" w:rsidRPr="00A60245" w14:paraId="573FC275" w14:textId="77777777" w:rsidTr="00A011EA">
        <w:tc>
          <w:tcPr>
            <w:tcW w:w="1440" w:type="dxa"/>
            <w:shd w:val="clear" w:color="auto" w:fill="FFFFFF"/>
            <w:tcMar>
              <w:top w:w="72" w:type="dxa"/>
              <w:left w:w="100" w:type="dxa"/>
              <w:bottom w:w="72" w:type="dxa"/>
              <w:right w:w="100" w:type="dxa"/>
            </w:tcMar>
            <w:vAlign w:val="center"/>
          </w:tcPr>
          <w:p w14:paraId="125CD897"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lastRenderedPageBreak/>
              <w:t>②</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السنة</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البيان</w:t>
            </w:r>
            <w:r w:rsidRPr="00A60245">
              <w:rPr>
                <w:rFonts w:ascii="Sakkal Majalla" w:hAnsi="Sakkal Majalla" w:cs="Sakkal Majalla"/>
                <w:b/>
                <w:bCs/>
                <w:color w:val="1F3864"/>
                <w:sz w:val="28"/>
                <w:szCs w:val="28"/>
                <w:rtl/>
              </w:rPr>
              <w:t>)</w:t>
            </w:r>
          </w:p>
        </w:tc>
        <w:tc>
          <w:tcPr>
            <w:tcW w:w="8275" w:type="dxa"/>
            <w:shd w:val="clear" w:color="auto" w:fill="FFFFFF"/>
            <w:tcMar>
              <w:top w:w="72" w:type="dxa"/>
              <w:left w:w="100" w:type="dxa"/>
              <w:bottom w:w="72" w:type="dxa"/>
              <w:right w:w="100" w:type="dxa"/>
            </w:tcMar>
            <w:vAlign w:val="center"/>
          </w:tcPr>
          <w:p w14:paraId="0EEDE390"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«أعطوا الأجير أجره قبل أن يجف عرقه» (ابن ماجه). وتبيّن السنة هنا بعدًا زمنيًا فوريًا للعدل لم يُفصَّل في الآية المجملة، وهو من النوع الثاني (التفسيري) من بيان ابن القيم.</w:t>
            </w:r>
          </w:p>
        </w:tc>
      </w:tr>
      <w:tr w:rsidR="00B149ED" w:rsidRPr="00A60245" w14:paraId="31931F7B" w14:textId="77777777" w:rsidTr="00A011EA">
        <w:tc>
          <w:tcPr>
            <w:tcW w:w="1440" w:type="dxa"/>
            <w:shd w:val="clear" w:color="auto" w:fill="EBF5FB"/>
            <w:tcMar>
              <w:top w:w="72" w:type="dxa"/>
              <w:left w:w="100" w:type="dxa"/>
              <w:bottom w:w="72" w:type="dxa"/>
              <w:right w:w="100" w:type="dxa"/>
            </w:tcMar>
            <w:vAlign w:val="center"/>
          </w:tcPr>
          <w:p w14:paraId="4413F6B8"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③</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اللغة</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ابن</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فارس</w:t>
            </w:r>
            <w:r w:rsidRPr="00A60245">
              <w:rPr>
                <w:rFonts w:ascii="Sakkal Majalla" w:hAnsi="Sakkal Majalla" w:cs="Sakkal Majalla"/>
                <w:b/>
                <w:bCs/>
                <w:color w:val="1F3864"/>
                <w:sz w:val="28"/>
                <w:szCs w:val="28"/>
                <w:rtl/>
              </w:rPr>
              <w:t>)</w:t>
            </w:r>
          </w:p>
        </w:tc>
        <w:tc>
          <w:tcPr>
            <w:tcW w:w="8275" w:type="dxa"/>
            <w:shd w:val="clear" w:color="auto" w:fill="F5FAFF"/>
            <w:tcMar>
              <w:top w:w="72" w:type="dxa"/>
              <w:left w:w="100" w:type="dxa"/>
              <w:bottom w:w="72" w:type="dxa"/>
              <w:right w:w="100" w:type="dxa"/>
            </w:tcMar>
            <w:vAlign w:val="center"/>
          </w:tcPr>
          <w:p w14:paraId="4CECC01E"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جذر ع-د-ل: "التسوية والاستقامة" — معنى مركزي واحد يجمع "العدل ضد الجور" و"العِدل" (المثيل الذي يُساوي في الوزن) في أصل دلالي: وضع الشيء في موضعه المُستقيم دون جور.</w:t>
            </w:r>
          </w:p>
        </w:tc>
      </w:tr>
      <w:tr w:rsidR="00B149ED" w:rsidRPr="00A60245" w14:paraId="21FB919E" w14:textId="77777777" w:rsidTr="00A011EA">
        <w:tc>
          <w:tcPr>
            <w:tcW w:w="1440" w:type="dxa"/>
            <w:shd w:val="clear" w:color="auto" w:fill="FFFFFF"/>
            <w:tcMar>
              <w:top w:w="72" w:type="dxa"/>
              <w:left w:w="100" w:type="dxa"/>
              <w:bottom w:w="72" w:type="dxa"/>
              <w:right w:w="100" w:type="dxa"/>
            </w:tcMar>
            <w:vAlign w:val="center"/>
          </w:tcPr>
          <w:p w14:paraId="742B90B1"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④</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التفسير</w:t>
            </w:r>
            <w:r w:rsidRPr="00A60245">
              <w:rPr>
                <w:rFonts w:ascii="Sakkal Majalla" w:hAnsi="Sakkal Majalla" w:cs="Sakkal Majalla"/>
                <w:b/>
                <w:bCs/>
                <w:color w:val="1F3864"/>
                <w:sz w:val="28"/>
                <w:szCs w:val="28"/>
                <w:rtl/>
              </w:rPr>
              <w:t xml:space="preserve"> (5 </w:t>
            </w:r>
            <w:r w:rsidRPr="00A60245">
              <w:rPr>
                <w:rFonts w:ascii="Sakkal Majalla" w:hAnsi="Sakkal Majalla" w:cs="Sakkal Majalla" w:hint="cs"/>
                <w:b/>
                <w:bCs/>
                <w:color w:val="1F3864"/>
                <w:sz w:val="28"/>
                <w:szCs w:val="28"/>
                <w:rtl/>
              </w:rPr>
              <w:t>مدارس</w:t>
            </w:r>
            <w:r w:rsidRPr="00A60245">
              <w:rPr>
                <w:rFonts w:ascii="Sakkal Majalla" w:hAnsi="Sakkal Majalla" w:cs="Sakkal Majalla"/>
                <w:b/>
                <w:bCs/>
                <w:color w:val="1F3864"/>
                <w:sz w:val="28"/>
                <w:szCs w:val="28"/>
                <w:rtl/>
              </w:rPr>
              <w:t>)</w:t>
            </w:r>
          </w:p>
        </w:tc>
        <w:tc>
          <w:tcPr>
            <w:tcW w:w="8275" w:type="dxa"/>
            <w:shd w:val="clear" w:color="auto" w:fill="FFFFFF"/>
            <w:tcMar>
              <w:top w:w="72" w:type="dxa"/>
              <w:left w:w="100" w:type="dxa"/>
              <w:bottom w:w="72" w:type="dxa"/>
              <w:right w:w="100" w:type="dxa"/>
            </w:tcMar>
            <w:vAlign w:val="center"/>
          </w:tcPr>
          <w:p w14:paraId="465ABC6E"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ابن كثير: العدل هو التوحيد وأداء الفرائض. ابن عاشور: نظام اجتماعي يسبق الإحسان رتبةً. القرطبي: تفصيل فقهي للعدل في القضاء والمعاملات. الرازي: مناقشة فلسفية لعلاقة العدل بالحكمة الإلهية. سيد قطب: العدل صورة حياة متكاملة لا حكم قانوني مجرد.</w:t>
            </w:r>
          </w:p>
        </w:tc>
      </w:tr>
      <w:tr w:rsidR="00B149ED" w:rsidRPr="00A60245" w14:paraId="4612E0CE" w14:textId="77777777" w:rsidTr="00A011EA">
        <w:tc>
          <w:tcPr>
            <w:tcW w:w="1440" w:type="dxa"/>
            <w:shd w:val="clear" w:color="auto" w:fill="EBF5FB"/>
            <w:tcMar>
              <w:top w:w="72" w:type="dxa"/>
              <w:left w:w="100" w:type="dxa"/>
              <w:bottom w:w="72" w:type="dxa"/>
              <w:right w:w="100" w:type="dxa"/>
            </w:tcMar>
            <w:vAlign w:val="center"/>
          </w:tcPr>
          <w:p w14:paraId="4B0E2314" w14:textId="77777777" w:rsidR="00B149ED" w:rsidRPr="00A60245" w:rsidRDefault="00B149ED" w:rsidP="00A011EA">
            <w:pPr>
              <w:bidi/>
              <w:spacing w:before="48" w:after="48"/>
              <w:rPr>
                <w:rFonts w:ascii="Sakkal Majalla" w:hAnsi="Sakkal Majalla" w:cs="Sakkal Majalla"/>
                <w:sz w:val="28"/>
                <w:szCs w:val="28"/>
              </w:rPr>
            </w:pPr>
            <w:r>
              <w:rPr>
                <w:rFonts w:ascii="Cambria Math" w:hAnsi="Cambria Math" w:cs="Cambria Math" w:hint="cs"/>
                <w:b/>
                <w:bCs/>
                <w:color w:val="1F3864"/>
                <w:sz w:val="28"/>
                <w:szCs w:val="28"/>
                <w:rtl/>
              </w:rPr>
              <w:t xml:space="preserve">⑤ السيرة</w:t>
            </w:r>
          </w:p>
        </w:tc>
        <w:tc>
          <w:tcPr>
            <w:tcW w:w="8275" w:type="dxa"/>
            <w:shd w:val="clear" w:color="auto" w:fill="F5FAFF"/>
            <w:tcMar>
              <w:top w:w="72" w:type="dxa"/>
              <w:left w:w="100" w:type="dxa"/>
              <w:bottom w:w="72" w:type="dxa"/>
              <w:right w:w="100" w:type="dxa"/>
            </w:tcMar>
            <w:vAlign w:val="center"/>
          </w:tcPr>
          <w:p w14:paraId="78649772"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قضاء النبي ﷺ بين المتخاصمين دون تفريق بين شريف ووضيع، كما في واقعة المرأة المخزومية (البخاري، كتاب الحدود) وقوله ﷺ: «والله لو أن فاطمة بنت محمد سرقت لقطعت يدها»، نموذجًا مؤسسيًا لعدالة لا تراعي المكانة الاجتماعية.</w:t>
            </w:r>
          </w:p>
        </w:tc>
      </w:tr>
      <w:tr w:rsidR="00B149ED" w:rsidRPr="00A60245" w14:paraId="02DB43E8" w14:textId="77777777" w:rsidTr="00A011EA">
        <w:tc>
          <w:tcPr>
            <w:tcW w:w="1440" w:type="dxa"/>
            <w:shd w:val="clear" w:color="auto" w:fill="1F3864"/>
            <w:tcMar>
              <w:top w:w="72" w:type="dxa"/>
              <w:left w:w="100" w:type="dxa"/>
              <w:bottom w:w="72" w:type="dxa"/>
              <w:right w:w="100" w:type="dxa"/>
            </w:tcMar>
            <w:vAlign w:val="center"/>
          </w:tcPr>
          <w:p w14:paraId="5D472A5B"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FFFFFF"/>
                <w:sz w:val="28"/>
                <w:szCs w:val="28"/>
                <w:rtl/>
              </w:rPr>
              <w:t>⑥</w:t>
            </w:r>
            <w:r w:rsidRPr="00A60245">
              <w:rPr>
                <w:rFonts w:ascii="Sakkal Majalla" w:hAnsi="Sakkal Majalla" w:cs="Sakkal Majalla"/>
                <w:b/>
                <w:bCs/>
                <w:color w:val="FFFFFF"/>
                <w:sz w:val="28"/>
                <w:szCs w:val="28"/>
                <w:rtl/>
              </w:rPr>
              <w:t xml:space="preserve"> </w:t>
            </w:r>
            <w:r w:rsidRPr="00A60245">
              <w:rPr>
                <w:rFonts w:ascii="Sakkal Majalla" w:hAnsi="Sakkal Majalla" w:cs="Sakkal Majalla" w:hint="cs"/>
                <w:b/>
                <w:bCs/>
                <w:color w:val="FFFFFF"/>
                <w:sz w:val="28"/>
                <w:szCs w:val="28"/>
                <w:rtl/>
              </w:rPr>
              <w:t>المبدأ</w:t>
            </w:r>
            <w:r w:rsidRPr="00A60245">
              <w:rPr>
                <w:rFonts w:ascii="Sakkal Majalla" w:hAnsi="Sakkal Majalla" w:cs="Sakkal Majalla"/>
                <w:b/>
                <w:bCs/>
                <w:color w:val="FFFFFF"/>
                <w:sz w:val="28"/>
                <w:szCs w:val="28"/>
                <w:rtl/>
              </w:rPr>
              <w:t xml:space="preserve"> </w:t>
            </w:r>
            <w:r w:rsidRPr="00A60245">
              <w:rPr>
                <w:rFonts w:ascii="Sakkal Majalla" w:hAnsi="Sakkal Majalla" w:cs="Sakkal Majalla" w:hint="cs"/>
                <w:b/>
                <w:bCs/>
                <w:color w:val="FFFFFF"/>
                <w:sz w:val="28"/>
                <w:szCs w:val="28"/>
                <w:rtl/>
              </w:rPr>
              <w:t>الإداري</w:t>
            </w:r>
            <w:r w:rsidRPr="00A60245">
              <w:rPr>
                <w:rFonts w:ascii="Sakkal Majalla" w:hAnsi="Sakkal Majalla" w:cs="Sakkal Majalla"/>
                <w:b/>
                <w:bCs/>
                <w:color w:val="FFFFFF"/>
                <w:sz w:val="28"/>
                <w:szCs w:val="28"/>
                <w:rtl/>
              </w:rPr>
              <w:t xml:space="preserve"> (</w:t>
            </w:r>
            <w:r w:rsidRPr="00A60245">
              <w:rPr>
                <w:rFonts w:ascii="Sakkal Majalla" w:hAnsi="Sakkal Majalla" w:cs="Sakkal Majalla" w:hint="cs"/>
                <w:b/>
                <w:bCs/>
                <w:color w:val="FFFFFF"/>
                <w:sz w:val="28"/>
                <w:szCs w:val="28"/>
                <w:rtl/>
              </w:rPr>
              <w:t>الناتج</w:t>
            </w:r>
            <w:r w:rsidRPr="00A60245">
              <w:rPr>
                <w:rFonts w:ascii="Sakkal Majalla" w:hAnsi="Sakkal Majalla" w:cs="Sakkal Majalla"/>
                <w:b/>
                <w:bCs/>
                <w:color w:val="FFFFFF"/>
                <w:sz w:val="28"/>
                <w:szCs w:val="28"/>
                <w:rtl/>
              </w:rPr>
              <w:t>)</w:t>
            </w:r>
          </w:p>
        </w:tc>
        <w:tc>
          <w:tcPr>
            <w:tcW w:w="8275" w:type="dxa"/>
            <w:shd w:val="clear" w:color="auto" w:fill="1F3864"/>
            <w:tcMar>
              <w:top w:w="72" w:type="dxa"/>
              <w:left w:w="100" w:type="dxa"/>
              <w:bottom w:w="72" w:type="dxa"/>
              <w:right w:w="100" w:type="dxa"/>
            </w:tcMar>
            <w:vAlign w:val="center"/>
          </w:tcPr>
          <w:p w14:paraId="0E30D801"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t xml:space="preserve">العدل الإداري القرآني: توزيع الحقوق والفرص وفق الاستحقاق الفوري، لا التوازن الحسابي المؤجل وحده. ويضيف إلى نظريات العدالة التوزيعية الغربية إلزامًا شرعيًا فوريًا لا يتوقف على تفاوت السمات الشخصية.</w:t>
            </w:r>
          </w:p>
        </w:tc>
      </w:tr>
    </w:tbl>
    <w:p w14:paraId="30C8CED5" w14:textId="77777777" w:rsidR="00B149ED" w:rsidRPr="00A60245" w:rsidRDefault="00B149ED" w:rsidP="00B149ED">
      <w:pPr>
        <w:bidi/>
        <w:spacing w:after="55"/>
        <w:rPr>
          <w:rFonts w:ascii="Sakkal Majalla" w:hAnsi="Sakkal Majalla" w:cs="Sakkal Majalla"/>
          <w:sz w:val="28"/>
          <w:szCs w:val="28"/>
        </w:rPr>
      </w:pPr>
      <w:r>
        <w:rPr>
          <w:rFonts w:ascii="Sakkal Majalla" w:hAnsi="Sakkal Majalla" w:cs="Sakkal Majalla"/>
          <w:i/>
          <w:iCs/>
          <w:color w:val="595959"/>
          <w:sz w:val="28"/>
          <w:szCs w:val="28"/>
          <w:rtl/>
        </w:rPr>
        <w:t xml:space="preserve">جدول 4.5 — تطبيق كامل لهرم المصادر الستة على مفهوم العدل، ويتسق مع التطبيق الرابع في الفصل الثالث.</w:t>
      </w:r>
    </w:p>
    <w:p w14:paraId="22B39A06" w14:textId="77777777" w:rsidR="00B149ED" w:rsidRPr="00A60245" w:rsidRDefault="00B149ED" w:rsidP="00B149ED">
      <w:pPr>
        <w:bidi/>
        <w:spacing w:after="55"/>
        <w:rPr>
          <w:rFonts w:ascii="Sakkal Majalla" w:hAnsi="Sakkal Majalla" w:cs="Sakkal Majalla"/>
          <w:sz w:val="28"/>
          <w:szCs w:val="28"/>
        </w:rPr>
      </w:pPr>
    </w:p>
    <w:p w14:paraId="5F289E16" w14:textId="77777777" w:rsidR="00B149ED" w:rsidRPr="00A60245" w:rsidRDefault="00B149ED" w:rsidP="00B149ED">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تطبيق ثانٍ: مفهوم «الإحسان»، لاختبار عمومية الهرم</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8185"/>
      </w:tblGrid>
      <w:tr w:rsidR="00B149ED" w:rsidRPr="00A60245" w14:paraId="05E047C4" w14:textId="77777777" w:rsidTr="00A011EA">
        <w:tc>
          <w:tcPr>
            <w:tcW w:w="1440" w:type="dxa"/>
            <w:shd w:val="clear" w:color="auto" w:fill="1F3864"/>
            <w:tcMar>
              <w:top w:w="72" w:type="dxa"/>
              <w:left w:w="100" w:type="dxa"/>
              <w:bottom w:w="72" w:type="dxa"/>
              <w:right w:w="100" w:type="dxa"/>
            </w:tcMar>
            <w:vAlign w:val="center"/>
          </w:tcPr>
          <w:p w14:paraId="34459DE4"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المصدر</w:t>
            </w:r>
          </w:p>
        </w:tc>
        <w:tc>
          <w:tcPr>
            <w:tcW w:w="8185" w:type="dxa"/>
            <w:shd w:val="clear" w:color="auto" w:fill="1F3864"/>
            <w:tcMar>
              <w:top w:w="72" w:type="dxa"/>
              <w:left w:w="100" w:type="dxa"/>
              <w:bottom w:w="72" w:type="dxa"/>
              <w:right w:w="100" w:type="dxa"/>
            </w:tcMar>
            <w:vAlign w:val="center"/>
          </w:tcPr>
          <w:p w14:paraId="6DC6FCE1"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ما يُقدِّمه لمفهوم الإحسان تحديداً</w:t>
            </w:r>
          </w:p>
        </w:tc>
      </w:tr>
      <w:tr w:rsidR="00B149ED" w:rsidRPr="00A60245" w14:paraId="7906A56D" w14:textId="77777777" w:rsidTr="00A011EA">
        <w:tc>
          <w:tcPr>
            <w:tcW w:w="1440" w:type="dxa"/>
            <w:shd w:val="clear" w:color="auto" w:fill="EBF5FB"/>
            <w:tcMar>
              <w:top w:w="72" w:type="dxa"/>
              <w:left w:w="100" w:type="dxa"/>
              <w:bottom w:w="72" w:type="dxa"/>
              <w:right w:w="100" w:type="dxa"/>
            </w:tcMar>
            <w:vAlign w:val="center"/>
          </w:tcPr>
          <w:p w14:paraId="082DDFC8"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①</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القرآن</w:t>
            </w:r>
          </w:p>
        </w:tc>
        <w:tc>
          <w:tcPr>
            <w:tcW w:w="8185" w:type="dxa"/>
            <w:shd w:val="clear" w:color="auto" w:fill="F5FAFF"/>
            <w:tcMar>
              <w:top w:w="72" w:type="dxa"/>
              <w:left w:w="100" w:type="dxa"/>
              <w:bottom w:w="72" w:type="dxa"/>
              <w:right w:w="100" w:type="dxa"/>
            </w:tcMar>
            <w:vAlign w:val="center"/>
          </w:tcPr>
          <w:p w14:paraId="62EEAA4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﴿إِنَّ اللَّهَ يَأْمُرُ بِالْعَدْلِ وَالْإِحْسَانِ﴾ (النحل:90) — الإحسان مرتبة تعلو على العدل، أمر إلهي مباشر يتجاوز الإلزام إلى الفضل.</w:t>
            </w:r>
          </w:p>
        </w:tc>
      </w:tr>
      <w:tr w:rsidR="00B149ED" w:rsidRPr="00A60245" w14:paraId="64114878" w14:textId="77777777" w:rsidTr="00A011EA">
        <w:tc>
          <w:tcPr>
            <w:tcW w:w="1440" w:type="dxa"/>
            <w:shd w:val="clear" w:color="auto" w:fill="FFFFFF"/>
            <w:tcMar>
              <w:top w:w="72" w:type="dxa"/>
              <w:left w:w="100" w:type="dxa"/>
              <w:bottom w:w="72" w:type="dxa"/>
              <w:right w:w="100" w:type="dxa"/>
            </w:tcMar>
            <w:vAlign w:val="center"/>
          </w:tcPr>
          <w:p w14:paraId="0F0545AE"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②</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السنة</w:t>
            </w:r>
          </w:p>
        </w:tc>
        <w:tc>
          <w:tcPr>
            <w:tcW w:w="8185" w:type="dxa"/>
            <w:shd w:val="clear" w:color="auto" w:fill="FFFFFF"/>
            <w:tcMar>
              <w:top w:w="72" w:type="dxa"/>
              <w:left w:w="100" w:type="dxa"/>
              <w:bottom w:w="72" w:type="dxa"/>
              <w:right w:w="100" w:type="dxa"/>
            </w:tcMar>
            <w:vAlign w:val="center"/>
          </w:tcPr>
          <w:p w14:paraId="584EDA15"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حديث جبريل: "الإحسان أن تعبد الله كأنك تراه، فإن لم تكن تراه فإنه يراك." (البخاري ومسلم) — بيان تفسيري يُحوِّل المفهوم من فضيلة عامة إلى حالة استحضار وجودي دقيقة.</w:t>
            </w:r>
          </w:p>
        </w:tc>
      </w:tr>
      <w:tr w:rsidR="00B149ED" w:rsidRPr="00A60245" w14:paraId="13952132" w14:textId="77777777" w:rsidTr="00A011EA">
        <w:tc>
          <w:tcPr>
            <w:tcW w:w="1440" w:type="dxa"/>
            <w:shd w:val="clear" w:color="auto" w:fill="EBF5FB"/>
            <w:tcMar>
              <w:top w:w="72" w:type="dxa"/>
              <w:left w:w="100" w:type="dxa"/>
              <w:bottom w:w="72" w:type="dxa"/>
              <w:right w:w="100" w:type="dxa"/>
            </w:tcMar>
            <w:vAlign w:val="center"/>
          </w:tcPr>
          <w:p w14:paraId="06161291"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③</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اللغة</w:t>
            </w:r>
          </w:p>
        </w:tc>
        <w:tc>
          <w:tcPr>
            <w:tcW w:w="8185" w:type="dxa"/>
            <w:shd w:val="clear" w:color="auto" w:fill="F5FAFF"/>
            <w:tcMar>
              <w:top w:w="72" w:type="dxa"/>
              <w:left w:w="100" w:type="dxa"/>
              <w:bottom w:w="72" w:type="dxa"/>
              <w:right w:w="100" w:type="dxa"/>
            </w:tcMar>
            <w:vAlign w:val="center"/>
          </w:tcPr>
          <w:p w14:paraId="17D2F887"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جذر ح-س-ن عند ابن فارس: "كل شيء حَسُن في بابه" — الراغب يُميّز الإحسان عن "الحُسن" بكونه فعلاً متعدياً للغير لا صفة ذاتية فقط.</w:t>
            </w:r>
          </w:p>
        </w:tc>
      </w:tr>
      <w:tr w:rsidR="00B149ED" w:rsidRPr="00A60245" w14:paraId="56ECCC62" w14:textId="77777777" w:rsidTr="00A011EA">
        <w:tc>
          <w:tcPr>
            <w:tcW w:w="1440" w:type="dxa"/>
            <w:shd w:val="clear" w:color="auto" w:fill="FFFFFF"/>
            <w:tcMar>
              <w:top w:w="72" w:type="dxa"/>
              <w:left w:w="100" w:type="dxa"/>
              <w:bottom w:w="72" w:type="dxa"/>
              <w:right w:w="100" w:type="dxa"/>
            </w:tcMar>
            <w:vAlign w:val="center"/>
          </w:tcPr>
          <w:p w14:paraId="5B273FF2"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④</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التفسير</w:t>
            </w:r>
          </w:p>
        </w:tc>
        <w:tc>
          <w:tcPr>
            <w:tcW w:w="8185" w:type="dxa"/>
            <w:shd w:val="clear" w:color="auto" w:fill="FFFFFF"/>
            <w:tcMar>
              <w:top w:w="72" w:type="dxa"/>
              <w:left w:w="100" w:type="dxa"/>
              <w:bottom w:w="72" w:type="dxa"/>
              <w:right w:w="100" w:type="dxa"/>
            </w:tcMar>
            <w:vAlign w:val="center"/>
          </w:tcPr>
          <w:p w14:paraId="0BCD1D61"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ابن كثير: الإحسان في العبادة والمعاملة معاً. ابن عاشور: يربطه بمقصد "إتقان الصنعة" الشامل لكل عمل. القرطبي: مواضع الإحسان في المعاملات المالية. الرازي: العلاقة الفلسفية بين رؤية الله ورؤيته لنا. سيد قطب: الإحسان صورة حياة لا شعور مجرد.</w:t>
            </w:r>
          </w:p>
        </w:tc>
      </w:tr>
      <w:tr w:rsidR="00B149ED" w:rsidRPr="00A60245" w14:paraId="32A0F239" w14:textId="77777777" w:rsidTr="00A011EA">
        <w:tc>
          <w:tcPr>
            <w:tcW w:w="1440" w:type="dxa"/>
            <w:shd w:val="clear" w:color="auto" w:fill="EBF5FB"/>
            <w:tcMar>
              <w:top w:w="72" w:type="dxa"/>
              <w:left w:w="100" w:type="dxa"/>
              <w:bottom w:w="72" w:type="dxa"/>
              <w:right w:w="100" w:type="dxa"/>
            </w:tcMar>
            <w:vAlign w:val="center"/>
          </w:tcPr>
          <w:p w14:paraId="5569A3A4"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lastRenderedPageBreak/>
              <w:t>⑤</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السيرة</w:t>
            </w:r>
          </w:p>
        </w:tc>
        <w:tc>
          <w:tcPr>
            <w:tcW w:w="8185" w:type="dxa"/>
            <w:shd w:val="clear" w:color="auto" w:fill="F5FAFF"/>
            <w:tcMar>
              <w:top w:w="72" w:type="dxa"/>
              <w:left w:w="100" w:type="dxa"/>
              <w:bottom w:w="72" w:type="dxa"/>
              <w:right w:w="100" w:type="dxa"/>
            </w:tcMar>
            <w:vAlign w:val="center"/>
          </w:tcPr>
          <w:p w14:paraId="50B7B4D3"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إتقان النبي ﷺ لتفاصيل إدارة الدولة الناشئة في المدينة، ويحلّله محمد الغزالي تجسيدًا عمليًا للإحسان في العمل المؤسسي لا في العبادة الفردية وحدها.</w:t>
            </w:r>
          </w:p>
        </w:tc>
      </w:tr>
      <w:tr w:rsidR="00B149ED" w:rsidRPr="00A60245" w14:paraId="5FE0D4DD" w14:textId="77777777" w:rsidTr="00A011EA">
        <w:tc>
          <w:tcPr>
            <w:tcW w:w="1440" w:type="dxa"/>
            <w:shd w:val="clear" w:color="auto" w:fill="375623"/>
            <w:tcMar>
              <w:top w:w="72" w:type="dxa"/>
              <w:left w:w="100" w:type="dxa"/>
              <w:bottom w:w="72" w:type="dxa"/>
              <w:right w:w="100" w:type="dxa"/>
            </w:tcMar>
            <w:vAlign w:val="center"/>
          </w:tcPr>
          <w:p w14:paraId="637939F0"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FFFFFF"/>
                <w:sz w:val="28"/>
                <w:szCs w:val="28"/>
                <w:rtl/>
              </w:rPr>
              <w:t>⑥</w:t>
            </w:r>
            <w:r w:rsidRPr="00A60245">
              <w:rPr>
                <w:rFonts w:ascii="Sakkal Majalla" w:hAnsi="Sakkal Majalla" w:cs="Sakkal Majalla"/>
                <w:b/>
                <w:bCs/>
                <w:color w:val="FFFFFF"/>
                <w:sz w:val="28"/>
                <w:szCs w:val="28"/>
                <w:rtl/>
              </w:rPr>
              <w:t xml:space="preserve"> </w:t>
            </w:r>
            <w:r w:rsidRPr="00A60245">
              <w:rPr>
                <w:rFonts w:ascii="Sakkal Majalla" w:hAnsi="Sakkal Majalla" w:cs="Sakkal Majalla" w:hint="cs"/>
                <w:b/>
                <w:bCs/>
                <w:color w:val="FFFFFF"/>
                <w:sz w:val="28"/>
                <w:szCs w:val="28"/>
                <w:rtl/>
              </w:rPr>
              <w:t>المبدأ</w:t>
            </w:r>
            <w:r w:rsidRPr="00A60245">
              <w:rPr>
                <w:rFonts w:ascii="Sakkal Majalla" w:hAnsi="Sakkal Majalla" w:cs="Sakkal Majalla"/>
                <w:b/>
                <w:bCs/>
                <w:color w:val="FFFFFF"/>
                <w:sz w:val="28"/>
                <w:szCs w:val="28"/>
                <w:rtl/>
              </w:rPr>
              <w:t xml:space="preserve"> </w:t>
            </w:r>
            <w:r w:rsidRPr="00A60245">
              <w:rPr>
                <w:rFonts w:ascii="Sakkal Majalla" w:hAnsi="Sakkal Majalla" w:cs="Sakkal Majalla" w:hint="cs"/>
                <w:b/>
                <w:bCs/>
                <w:color w:val="FFFFFF"/>
                <w:sz w:val="28"/>
                <w:szCs w:val="28"/>
                <w:rtl/>
              </w:rPr>
              <w:t>الإداري</w:t>
            </w:r>
          </w:p>
        </w:tc>
        <w:tc>
          <w:tcPr>
            <w:tcW w:w="8185" w:type="dxa"/>
            <w:shd w:val="clear" w:color="auto" w:fill="EBF5E0"/>
            <w:tcMar>
              <w:top w:w="72" w:type="dxa"/>
              <w:left w:w="100" w:type="dxa"/>
              <w:bottom w:w="72" w:type="dxa"/>
              <w:right w:w="100" w:type="dxa"/>
            </w:tcMar>
            <w:vAlign w:val="center"/>
          </w:tcPr>
          <w:p w14:paraId="3CB0A619"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 xml:space="preserve">الإحسان الإداري: أداء يتجاوز معايير الجودة الخارجية (Excellence/TQM) إلى استحضار داخلي دائم لا يتوقف بغياب الرقابة. وهو التنبؤ الذي اقترحه الفصل الثالث فرضيةً قابلة للاختبار (التطبيق الثالث).</w:t>
            </w:r>
          </w:p>
        </w:tc>
      </w:tr>
    </w:tbl>
    <w:p w14:paraId="4F52FC93" w14:textId="77777777" w:rsidR="00B149ED" w:rsidRPr="00A60245" w:rsidRDefault="00B149ED" w:rsidP="00B149ED">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وتطبيق الهرم نفسه على مفهومين مختلفين، مع الاتساق مع الفصل الثالث في الحالتين، يوحي بأن الهرم أداة عامة قابلة للتكرار (Replicable)، لا حيلة خاصة بمفهوم واحد.</w:t>
      </w:r>
    </w:p>
    <w:p w14:paraId="3DB06885" w14:textId="77777777" w:rsidR="00B149ED" w:rsidRPr="00A60245" w:rsidRDefault="00B149ED" w:rsidP="00B149ED">
      <w:pPr>
        <w:bidi/>
        <w:spacing w:after="55"/>
        <w:rPr>
          <w:rFonts w:ascii="Sakkal Majalla" w:hAnsi="Sakkal Majalla" w:cs="Sakkal Majalla"/>
          <w:sz w:val="28"/>
          <w:szCs w:val="28"/>
        </w:rPr>
      </w:pPr>
    </w:p>
    <w:p w14:paraId="33A69D58" w14:textId="77777777" w:rsidR="00B149ED" w:rsidRPr="00A60245" w:rsidRDefault="00B149ED" w:rsidP="00B149ED">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من الهرم إلى البطاقة: كيف يتحول كل مستوى إلى حقل في بطاقة الهوية المعرفية</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695"/>
        <w:gridCol w:w="5310"/>
      </w:tblGrid>
      <w:tr w:rsidR="00B149ED" w:rsidRPr="00A60245" w14:paraId="36E4284D" w14:textId="77777777" w:rsidTr="00A011EA">
        <w:tc>
          <w:tcPr>
            <w:tcW w:w="1800" w:type="dxa"/>
            <w:shd w:val="clear" w:color="auto" w:fill="1F3864"/>
            <w:tcMar>
              <w:top w:w="72" w:type="dxa"/>
              <w:left w:w="100" w:type="dxa"/>
              <w:bottom w:w="72" w:type="dxa"/>
              <w:right w:w="100" w:type="dxa"/>
            </w:tcMar>
            <w:vAlign w:val="center"/>
          </w:tcPr>
          <w:p w14:paraId="19EF0972"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مستوى الهرم</w:t>
            </w:r>
          </w:p>
        </w:tc>
        <w:tc>
          <w:tcPr>
            <w:tcW w:w="2695" w:type="dxa"/>
            <w:shd w:val="clear" w:color="auto" w:fill="1F3864"/>
            <w:tcMar>
              <w:top w:w="72" w:type="dxa"/>
              <w:left w:w="100" w:type="dxa"/>
              <w:bottom w:w="72" w:type="dxa"/>
              <w:right w:w="100" w:type="dxa"/>
            </w:tcMar>
            <w:vAlign w:val="center"/>
          </w:tcPr>
          <w:p w14:paraId="024A110A"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حقل البطاقة المقابل</w:t>
            </w:r>
          </w:p>
        </w:tc>
        <w:tc>
          <w:tcPr>
            <w:tcW w:w="5310" w:type="dxa"/>
            <w:shd w:val="clear" w:color="auto" w:fill="1F3864"/>
            <w:tcMar>
              <w:top w:w="72" w:type="dxa"/>
              <w:left w:w="100" w:type="dxa"/>
              <w:bottom w:w="72" w:type="dxa"/>
              <w:right w:w="100" w:type="dxa"/>
            </w:tcMar>
            <w:vAlign w:val="center"/>
          </w:tcPr>
          <w:p w14:paraId="6E7C7011"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وظيفة الربط</w:t>
            </w:r>
          </w:p>
        </w:tc>
      </w:tr>
      <w:tr w:rsidR="00B149ED" w:rsidRPr="00A60245" w14:paraId="1DB75853" w14:textId="77777777" w:rsidTr="00A011EA">
        <w:tc>
          <w:tcPr>
            <w:tcW w:w="1800" w:type="dxa"/>
            <w:shd w:val="clear" w:color="auto" w:fill="EBF5FB"/>
            <w:tcMar>
              <w:top w:w="72" w:type="dxa"/>
              <w:left w:w="100" w:type="dxa"/>
              <w:bottom w:w="72" w:type="dxa"/>
              <w:right w:w="100" w:type="dxa"/>
            </w:tcMar>
            <w:vAlign w:val="center"/>
          </w:tcPr>
          <w:p w14:paraId="69EAE092"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①</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القرآن</w:t>
            </w:r>
          </w:p>
        </w:tc>
        <w:tc>
          <w:tcPr>
            <w:tcW w:w="2695" w:type="dxa"/>
            <w:shd w:val="clear" w:color="auto" w:fill="FFF2CC"/>
            <w:tcMar>
              <w:top w:w="72" w:type="dxa"/>
              <w:left w:w="100" w:type="dxa"/>
              <w:bottom w:w="72" w:type="dxa"/>
              <w:right w:w="100" w:type="dxa"/>
            </w:tcMar>
            <w:vAlign w:val="center"/>
          </w:tcPr>
          <w:p w14:paraId="72B62FA1"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الحقل 4: المواضع القرآنية</w:t>
            </w:r>
          </w:p>
        </w:tc>
        <w:tc>
          <w:tcPr>
            <w:tcW w:w="5310" w:type="dxa"/>
            <w:shd w:val="clear" w:color="auto" w:fill="F5FAFF"/>
            <w:tcMar>
              <w:top w:w="72" w:type="dxa"/>
              <w:left w:w="100" w:type="dxa"/>
              <w:bottom w:w="72" w:type="dxa"/>
              <w:right w:w="100" w:type="dxa"/>
            </w:tcMar>
            <w:vAlign w:val="center"/>
          </w:tcPr>
          <w:p w14:paraId="524E379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توثيق الآيات المصدر بدقة (السورة ورقم الآية).</w:t>
            </w:r>
          </w:p>
        </w:tc>
      </w:tr>
      <w:tr w:rsidR="00B149ED" w:rsidRPr="00A60245" w14:paraId="4C6C3A5F" w14:textId="77777777" w:rsidTr="00A011EA">
        <w:tc>
          <w:tcPr>
            <w:tcW w:w="1800" w:type="dxa"/>
            <w:shd w:val="clear" w:color="auto" w:fill="FFFFFF"/>
            <w:tcMar>
              <w:top w:w="72" w:type="dxa"/>
              <w:left w:w="100" w:type="dxa"/>
              <w:bottom w:w="72" w:type="dxa"/>
              <w:right w:w="100" w:type="dxa"/>
            </w:tcMar>
            <w:vAlign w:val="center"/>
          </w:tcPr>
          <w:p w14:paraId="1DC43209"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②</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السنة</w:t>
            </w:r>
          </w:p>
        </w:tc>
        <w:tc>
          <w:tcPr>
            <w:tcW w:w="2695" w:type="dxa"/>
            <w:shd w:val="clear" w:color="auto" w:fill="FFFFFF"/>
            <w:tcMar>
              <w:top w:w="72" w:type="dxa"/>
              <w:left w:w="100" w:type="dxa"/>
              <w:bottom w:w="72" w:type="dxa"/>
              <w:right w:w="100" w:type="dxa"/>
            </w:tcMar>
            <w:vAlign w:val="center"/>
          </w:tcPr>
          <w:p w14:paraId="0AC03A7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الحقل 9: بيان السنة النبوية</w:t>
            </w:r>
          </w:p>
        </w:tc>
        <w:tc>
          <w:tcPr>
            <w:tcW w:w="5310" w:type="dxa"/>
            <w:shd w:val="clear" w:color="auto" w:fill="FFFFFF"/>
            <w:tcMar>
              <w:top w:w="72" w:type="dxa"/>
              <w:left w:w="100" w:type="dxa"/>
              <w:bottom w:w="72" w:type="dxa"/>
              <w:right w:w="100" w:type="dxa"/>
            </w:tcMar>
            <w:vAlign w:val="center"/>
          </w:tcPr>
          <w:p w14:paraId="0B90C899"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تخريج الحديث وتحديد صورة البيان (تفسيري، أو تطبيقي، أو نطاقي).</w:t>
            </w:r>
          </w:p>
        </w:tc>
      </w:tr>
      <w:tr w:rsidR="00B149ED" w:rsidRPr="00A60245" w14:paraId="145EF87F" w14:textId="77777777" w:rsidTr="00A011EA">
        <w:tc>
          <w:tcPr>
            <w:tcW w:w="1800" w:type="dxa"/>
            <w:shd w:val="clear" w:color="auto" w:fill="EBF5FB"/>
            <w:tcMar>
              <w:top w:w="72" w:type="dxa"/>
              <w:left w:w="100" w:type="dxa"/>
              <w:bottom w:w="72" w:type="dxa"/>
              <w:right w:w="100" w:type="dxa"/>
            </w:tcMar>
            <w:vAlign w:val="center"/>
          </w:tcPr>
          <w:p w14:paraId="6F082F77"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③</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اللغة</w:t>
            </w:r>
          </w:p>
        </w:tc>
        <w:tc>
          <w:tcPr>
            <w:tcW w:w="2695" w:type="dxa"/>
            <w:shd w:val="clear" w:color="auto" w:fill="FFF2CC"/>
            <w:tcMar>
              <w:top w:w="72" w:type="dxa"/>
              <w:left w:w="100" w:type="dxa"/>
              <w:bottom w:w="72" w:type="dxa"/>
              <w:right w:w="100" w:type="dxa"/>
            </w:tcMar>
            <w:vAlign w:val="center"/>
          </w:tcPr>
          <w:p w14:paraId="2811EA15"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الحقل 2: الجذر والاشتقاق</w:t>
            </w:r>
          </w:p>
        </w:tc>
        <w:tc>
          <w:tcPr>
            <w:tcW w:w="5310" w:type="dxa"/>
            <w:shd w:val="clear" w:color="auto" w:fill="F5FAFF"/>
            <w:tcMar>
              <w:top w:w="72" w:type="dxa"/>
              <w:left w:w="100" w:type="dxa"/>
              <w:bottom w:w="72" w:type="dxa"/>
              <w:right w:w="100" w:type="dxa"/>
            </w:tcMar>
            <w:vAlign w:val="center"/>
          </w:tcPr>
          <w:p w14:paraId="524DF93A"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تحليل ابن فارس للمعنى المركزي + الراغب للخصوصية القرآنية.</w:t>
            </w:r>
          </w:p>
        </w:tc>
      </w:tr>
      <w:tr w:rsidR="00B149ED" w:rsidRPr="00A60245" w14:paraId="3446B164" w14:textId="77777777" w:rsidTr="00A011EA">
        <w:tc>
          <w:tcPr>
            <w:tcW w:w="1800" w:type="dxa"/>
            <w:shd w:val="clear" w:color="auto" w:fill="FFFFFF"/>
            <w:tcMar>
              <w:top w:w="72" w:type="dxa"/>
              <w:left w:w="100" w:type="dxa"/>
              <w:bottom w:w="72" w:type="dxa"/>
              <w:right w:w="100" w:type="dxa"/>
            </w:tcMar>
            <w:vAlign w:val="center"/>
          </w:tcPr>
          <w:p w14:paraId="1A6FCC1F"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④</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التفسير</w:t>
            </w:r>
          </w:p>
        </w:tc>
        <w:tc>
          <w:tcPr>
            <w:tcW w:w="2695" w:type="dxa"/>
            <w:shd w:val="clear" w:color="auto" w:fill="FFFFFF"/>
            <w:tcMar>
              <w:top w:w="72" w:type="dxa"/>
              <w:left w:w="100" w:type="dxa"/>
              <w:bottom w:w="72" w:type="dxa"/>
              <w:right w:w="100" w:type="dxa"/>
            </w:tcMar>
            <w:vAlign w:val="center"/>
          </w:tcPr>
          <w:p w14:paraId="4DF68CA4"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الحقل 7: الاستعمال التفسيري</w:t>
            </w:r>
          </w:p>
        </w:tc>
        <w:tc>
          <w:tcPr>
            <w:tcW w:w="5310" w:type="dxa"/>
            <w:shd w:val="clear" w:color="auto" w:fill="FFFFFF"/>
            <w:tcMar>
              <w:top w:w="72" w:type="dxa"/>
              <w:left w:w="100" w:type="dxa"/>
              <w:bottom w:w="72" w:type="dxa"/>
              <w:right w:w="100" w:type="dxa"/>
            </w:tcMar>
            <w:vAlign w:val="center"/>
          </w:tcPr>
          <w:p w14:paraId="067E3F15"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مواقف المدارس الخمس موثقة مع الخلاف الجوهري إن وُجد.</w:t>
            </w:r>
          </w:p>
        </w:tc>
      </w:tr>
      <w:tr w:rsidR="00B149ED" w:rsidRPr="00A60245" w14:paraId="28CA6FFA" w14:textId="77777777" w:rsidTr="00A011EA">
        <w:tc>
          <w:tcPr>
            <w:tcW w:w="1800" w:type="dxa"/>
            <w:shd w:val="clear" w:color="auto" w:fill="EBF5FB"/>
            <w:tcMar>
              <w:top w:w="72" w:type="dxa"/>
              <w:left w:w="100" w:type="dxa"/>
              <w:bottom w:w="72" w:type="dxa"/>
              <w:right w:w="100" w:type="dxa"/>
            </w:tcMar>
            <w:vAlign w:val="center"/>
          </w:tcPr>
          <w:p w14:paraId="17101BFA"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⑤</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السيرة</w:t>
            </w:r>
          </w:p>
        </w:tc>
        <w:tc>
          <w:tcPr>
            <w:tcW w:w="2695" w:type="dxa"/>
            <w:shd w:val="clear" w:color="auto" w:fill="FFF2CC"/>
            <w:tcMar>
              <w:top w:w="72" w:type="dxa"/>
              <w:left w:w="100" w:type="dxa"/>
              <w:bottom w:w="72" w:type="dxa"/>
              <w:right w:w="100" w:type="dxa"/>
            </w:tcMar>
            <w:vAlign w:val="center"/>
          </w:tcPr>
          <w:p w14:paraId="600E06B5"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الحقل 10: التطبيق النبوي في السيرة</w:t>
            </w:r>
          </w:p>
        </w:tc>
        <w:tc>
          <w:tcPr>
            <w:tcW w:w="5310" w:type="dxa"/>
            <w:shd w:val="clear" w:color="auto" w:fill="F5FAFF"/>
            <w:tcMar>
              <w:top w:w="72" w:type="dxa"/>
              <w:left w:w="100" w:type="dxa"/>
              <w:bottom w:w="72" w:type="dxa"/>
              <w:right w:w="100" w:type="dxa"/>
            </w:tcMar>
            <w:vAlign w:val="center"/>
          </w:tcPr>
          <w:p w14:paraId="15243323"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الواقعة موثّقة بمرتبتها، مع تحليل محمد الغزالي أو الغضبان.</w:t>
            </w:r>
          </w:p>
        </w:tc>
      </w:tr>
      <w:tr w:rsidR="00B149ED" w:rsidRPr="00A60245" w14:paraId="0BC23C0F" w14:textId="77777777" w:rsidTr="00A011EA">
        <w:tc>
          <w:tcPr>
            <w:tcW w:w="1800" w:type="dxa"/>
            <w:shd w:val="clear" w:color="auto" w:fill="FFFFFF"/>
            <w:tcMar>
              <w:top w:w="72" w:type="dxa"/>
              <w:left w:w="100" w:type="dxa"/>
              <w:bottom w:w="72" w:type="dxa"/>
              <w:right w:w="100" w:type="dxa"/>
            </w:tcMar>
            <w:vAlign w:val="center"/>
          </w:tcPr>
          <w:p w14:paraId="79368E60" w14:textId="77777777" w:rsidR="00B149ED" w:rsidRPr="00A60245" w:rsidRDefault="00B149ED" w:rsidP="00A011EA">
            <w:pPr>
              <w:bidi/>
              <w:spacing w:before="48" w:after="48"/>
              <w:rPr>
                <w:rFonts w:ascii="Sakkal Majalla" w:hAnsi="Sakkal Majalla" w:cs="Sakkal Majalla"/>
                <w:sz w:val="28"/>
                <w:szCs w:val="28"/>
              </w:rPr>
            </w:pPr>
            <w:r w:rsidRPr="00A60245">
              <w:rPr>
                <w:rFonts w:ascii="Cambria Math" w:hAnsi="Cambria Math" w:cs="Cambria Math" w:hint="cs"/>
                <w:b/>
                <w:bCs/>
                <w:color w:val="1F3864"/>
                <w:sz w:val="28"/>
                <w:szCs w:val="28"/>
                <w:rtl/>
              </w:rPr>
              <w:t>⑥</w:t>
            </w:r>
            <w:r w:rsidRPr="00A60245">
              <w:rPr>
                <w:rFonts w:ascii="Sakkal Majalla" w:hAnsi="Sakkal Majalla" w:cs="Sakkal Majalla"/>
                <w:b/>
                <w:bCs/>
                <w:color w:val="1F3864"/>
                <w:sz w:val="28"/>
                <w:szCs w:val="28"/>
                <w:rtl/>
              </w:rPr>
              <w:t xml:space="preserve"> </w:t>
            </w:r>
            <w:r w:rsidRPr="00A60245">
              <w:rPr>
                <w:rFonts w:ascii="Sakkal Majalla" w:hAnsi="Sakkal Majalla" w:cs="Sakkal Majalla" w:hint="cs"/>
                <w:b/>
                <w:bCs/>
                <w:color w:val="1F3864"/>
                <w:sz w:val="28"/>
                <w:szCs w:val="28"/>
                <w:rtl/>
              </w:rPr>
              <w:t>المبدأ</w:t>
            </w:r>
          </w:p>
        </w:tc>
        <w:tc>
          <w:tcPr>
            <w:tcW w:w="2695" w:type="dxa"/>
            <w:shd w:val="clear" w:color="auto" w:fill="FFFFFF"/>
            <w:tcMar>
              <w:top w:w="72" w:type="dxa"/>
              <w:left w:w="100" w:type="dxa"/>
              <w:bottom w:w="72" w:type="dxa"/>
              <w:right w:w="100" w:type="dxa"/>
            </w:tcMar>
            <w:vAlign w:val="center"/>
          </w:tcPr>
          <w:p w14:paraId="3D0100CC"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C49A00"/>
                <w:sz w:val="28"/>
                <w:szCs w:val="28"/>
                <w:rtl/>
              </w:rPr>
              <w:t xml:space="preserve">الحقلان 13–14: المبدأ الإداري والفرضية</w:t>
            </w:r>
          </w:p>
        </w:tc>
        <w:tc>
          <w:tcPr>
            <w:tcW w:w="5310" w:type="dxa"/>
            <w:shd w:val="clear" w:color="auto" w:fill="FFFFFF"/>
            <w:tcMar>
              <w:top w:w="72" w:type="dxa"/>
              <w:left w:w="100" w:type="dxa"/>
              <w:bottom w:w="72" w:type="dxa"/>
              <w:right w:w="100" w:type="dxa"/>
            </w:tcMar>
            <w:vAlign w:val="center"/>
          </w:tcPr>
          <w:p w14:paraId="6A8858C4"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الناتج النهائي بعد المرور بكل المستويات السابقة.</w:t>
            </w:r>
          </w:p>
        </w:tc>
      </w:tr>
    </w:tbl>
    <w:p w14:paraId="3586D1A8" w14:textId="77777777" w:rsidR="00B149ED" w:rsidRPr="00A60245" w:rsidRDefault="00B149ED" w:rsidP="00B149ED">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وبهذا يصف الفصلان الرابع والخامس العملية نفسها من زاويتين: المصادر هنا، والتوثيق هناك. ومن يفهم هذا الربط يفهم لماذا رُتّبت حقول البطاقة الخمسة عشر على هذا النحو.</w:t>
      </w:r>
    </w:p>
    <w:p w14:paraId="1025FB71"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p w14:paraId="1C2BD6A0" w14:textId="77777777" w:rsidR="00B149ED" w:rsidRPr="00A60245" w:rsidRDefault="00B149ED" w:rsidP="00B149ED">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 xml:space="preserve">4.8  مقارنة فلسفية: نظرية السلطة المعرفية ونظريات الشهادة الغربية</w:t>
      </w:r>
    </w:p>
    <w:p w14:paraId="58D570EB"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ويعود بنا هذا القسم إلى الإطار الفلسفي، لنقارن بمعالجات غربية معاصرة لمشكلة قريبة: كيف نقيّم مصداقية الشهادة (Testimony) مصدرًا للمعرفة؟</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420"/>
        <w:gridCol w:w="4225"/>
      </w:tblGrid>
      <w:tr w:rsidR="00B149ED" w:rsidRPr="00A60245" w14:paraId="0BB7D8A0" w14:textId="77777777" w:rsidTr="00A011EA">
        <w:tc>
          <w:tcPr>
            <w:tcW w:w="1800" w:type="dxa"/>
            <w:shd w:val="clear" w:color="auto" w:fill="1F3864"/>
            <w:tcMar>
              <w:top w:w="72" w:type="dxa"/>
              <w:left w:w="100" w:type="dxa"/>
              <w:bottom w:w="72" w:type="dxa"/>
              <w:right w:w="100" w:type="dxa"/>
            </w:tcMar>
            <w:vAlign w:val="center"/>
          </w:tcPr>
          <w:p w14:paraId="0F59DB70"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المحور</w:t>
            </w:r>
          </w:p>
        </w:tc>
        <w:tc>
          <w:tcPr>
            <w:tcW w:w="3420" w:type="dxa"/>
            <w:shd w:val="clear" w:color="auto" w:fill="595959"/>
            <w:tcMar>
              <w:top w:w="72" w:type="dxa"/>
              <w:left w:w="100" w:type="dxa"/>
              <w:bottom w:w="72" w:type="dxa"/>
              <w:right w:w="100" w:type="dxa"/>
            </w:tcMar>
            <w:vAlign w:val="center"/>
          </w:tcPr>
          <w:p w14:paraId="05441907"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نظرية الشهادة الغربية (كوادي/زغزيبسكي)</w:t>
            </w:r>
          </w:p>
        </w:tc>
        <w:tc>
          <w:tcPr>
            <w:tcW w:w="4225" w:type="dxa"/>
            <w:shd w:val="clear" w:color="auto" w:fill="156082"/>
            <w:tcMar>
              <w:top w:w="72" w:type="dxa"/>
              <w:left w:w="100" w:type="dxa"/>
              <w:bottom w:w="72" w:type="dxa"/>
              <w:right w:w="100" w:type="dxa"/>
            </w:tcMar>
            <w:vAlign w:val="center"/>
          </w:tcPr>
          <w:p w14:paraId="2080E402"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نظرية السلطة المعرفية الإسلامية (هذا الفصل)</w:t>
            </w:r>
          </w:p>
        </w:tc>
      </w:tr>
      <w:tr w:rsidR="00B149ED" w:rsidRPr="00A60245" w14:paraId="2F5B1BED" w14:textId="77777777" w:rsidTr="00A011EA">
        <w:tc>
          <w:tcPr>
            <w:tcW w:w="1800" w:type="dxa"/>
            <w:shd w:val="clear" w:color="auto" w:fill="EBF5FB"/>
            <w:tcMar>
              <w:top w:w="72" w:type="dxa"/>
              <w:left w:w="100" w:type="dxa"/>
              <w:bottom w:w="72" w:type="dxa"/>
              <w:right w:w="100" w:type="dxa"/>
            </w:tcMar>
            <w:vAlign w:val="center"/>
          </w:tcPr>
          <w:p w14:paraId="26FE38E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lastRenderedPageBreak/>
              <w:t>يقينية المصدر</w:t>
            </w:r>
          </w:p>
        </w:tc>
        <w:tc>
          <w:tcPr>
            <w:tcW w:w="3420" w:type="dxa"/>
            <w:shd w:val="clear" w:color="auto" w:fill="F5F5F5"/>
            <w:tcMar>
              <w:top w:w="72" w:type="dxa"/>
              <w:left w:w="100" w:type="dxa"/>
              <w:bottom w:w="72" w:type="dxa"/>
              <w:right w:w="100" w:type="dxa"/>
            </w:tcMar>
            <w:vAlign w:val="center"/>
          </w:tcPr>
          <w:p w14:paraId="01DAF541"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كل شهادة بشرية قابلة للخطأ من حيث المبدأ، والثقة بها احتمالية لا يقينية مهما علت مرتبة الشاهد.</w:t>
            </w:r>
          </w:p>
        </w:tc>
        <w:tc>
          <w:tcPr>
            <w:tcW w:w="4225" w:type="dxa"/>
            <w:shd w:val="clear" w:color="auto" w:fill="EBF5FB"/>
            <w:tcMar>
              <w:top w:w="72" w:type="dxa"/>
              <w:left w:w="100" w:type="dxa"/>
              <w:bottom w:w="72" w:type="dxa"/>
              <w:right w:w="100" w:type="dxa"/>
            </w:tcMar>
            <w:vAlign w:val="center"/>
          </w:tcPr>
          <w:p w14:paraId="47FF7C94"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للقرآن يقين خارج فئة «الشهادة البشرية القابلة للخطأ»، فهو فئة معرفية مستقلة لا تُقاس بمعيار شهادة المفسّر البشري.</w:t>
            </w:r>
          </w:p>
        </w:tc>
      </w:tr>
      <w:tr w:rsidR="00B149ED" w:rsidRPr="00A60245" w14:paraId="0BB43D74" w14:textId="77777777" w:rsidTr="00A011EA">
        <w:tc>
          <w:tcPr>
            <w:tcW w:w="1800" w:type="dxa"/>
            <w:shd w:val="clear" w:color="auto" w:fill="FFFFFF"/>
            <w:tcMar>
              <w:top w:w="72" w:type="dxa"/>
              <w:left w:w="100" w:type="dxa"/>
              <w:bottom w:w="72" w:type="dxa"/>
              <w:right w:w="100" w:type="dxa"/>
            </w:tcMar>
            <w:vAlign w:val="center"/>
          </w:tcPr>
          <w:p w14:paraId="554B1BA1"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بناء الثقة</w:t>
            </w:r>
          </w:p>
        </w:tc>
        <w:tc>
          <w:tcPr>
            <w:tcW w:w="3420" w:type="dxa"/>
            <w:shd w:val="clear" w:color="auto" w:fill="FFFFFF"/>
            <w:tcMar>
              <w:top w:w="72" w:type="dxa"/>
              <w:left w:w="100" w:type="dxa"/>
              <w:bottom w:w="72" w:type="dxa"/>
              <w:right w:w="100" w:type="dxa"/>
            </w:tcMar>
            <w:vAlign w:val="center"/>
          </w:tcPr>
          <w:p w14:paraId="3D6FC2BC"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درجة الثقة بالشاهد تُبنى تراكمياً من سجله التاريخي في الصدق (Track Record).</w:t>
            </w:r>
          </w:p>
        </w:tc>
        <w:tc>
          <w:tcPr>
            <w:tcW w:w="4225" w:type="dxa"/>
            <w:shd w:val="clear" w:color="auto" w:fill="FFFFFF"/>
            <w:tcMar>
              <w:top w:w="72" w:type="dxa"/>
              <w:left w:w="100" w:type="dxa"/>
              <w:bottom w:w="72" w:type="dxa"/>
              <w:right w:w="100" w:type="dxa"/>
            </w:tcMar>
            <w:vAlign w:val="center"/>
          </w:tcPr>
          <w:p w14:paraId="038E7892"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المبدأ نفسه في تقييم المفسرين والمحدّثين؛ وعلم الجرح والتعديل من أدق التطبيقات التاريخية لمبدأ «السجل التراكمي في الصدق»، وقد سبق صياغته الغربية بقرون.</w:t>
            </w:r>
          </w:p>
        </w:tc>
      </w:tr>
      <w:tr w:rsidR="00B149ED" w:rsidRPr="00A60245" w14:paraId="38D3E3DB" w14:textId="77777777" w:rsidTr="00A011EA">
        <w:tc>
          <w:tcPr>
            <w:tcW w:w="1800" w:type="dxa"/>
            <w:shd w:val="clear" w:color="auto" w:fill="EBF5FB"/>
            <w:tcMar>
              <w:top w:w="72" w:type="dxa"/>
              <w:left w:w="100" w:type="dxa"/>
              <w:bottom w:w="72" w:type="dxa"/>
              <w:right w:w="100" w:type="dxa"/>
            </w:tcMar>
            <w:vAlign w:val="center"/>
          </w:tcPr>
          <w:p w14:paraId="1CA6386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إمكان المراجعة</w:t>
            </w:r>
          </w:p>
        </w:tc>
        <w:tc>
          <w:tcPr>
            <w:tcW w:w="3420" w:type="dxa"/>
            <w:shd w:val="clear" w:color="auto" w:fill="F5F5F5"/>
            <w:tcMar>
              <w:top w:w="72" w:type="dxa"/>
              <w:left w:w="100" w:type="dxa"/>
              <w:bottom w:w="72" w:type="dxa"/>
              <w:right w:w="100" w:type="dxa"/>
            </w:tcMar>
            <w:vAlign w:val="center"/>
          </w:tcPr>
          <w:p w14:paraId="2FCE6FCE"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لا سلطة معرفية مطلقة لأي مصدر بشري — كل سلطة مشروطة بإمكان المراجعة والتصحيح.</w:t>
            </w:r>
          </w:p>
        </w:tc>
        <w:tc>
          <w:tcPr>
            <w:tcW w:w="4225" w:type="dxa"/>
            <w:shd w:val="clear" w:color="auto" w:fill="EBF5FB"/>
            <w:tcMar>
              <w:top w:w="72" w:type="dxa"/>
              <w:left w:w="100" w:type="dxa"/>
              <w:bottom w:w="72" w:type="dxa"/>
              <w:right w:w="100" w:type="dxa"/>
            </w:tcMar>
            <w:vAlign w:val="center"/>
          </w:tcPr>
          <w:p w14:paraId="1DA40802"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المبدأ نفسه ينطبق على كل ما دون القرآن، وهو ما يسوّغ الفرضية الصفرية (الفصل الثالث) آليةً دائمة لمراجعة كل اشتقاق بشري وتصحيحه.</w:t>
            </w:r>
          </w:p>
        </w:tc>
      </w:tr>
    </w:tbl>
    <w:p w14:paraId="33D92C10" w14:textId="77777777" w:rsidR="00B149ED" w:rsidRPr="00A60245" w:rsidRDefault="00B149ED" w:rsidP="00B149ED">
      <w:pPr>
        <w:bidi/>
        <w:spacing w:after="55"/>
        <w:rPr>
          <w:rFonts w:ascii="Sakkal Majalla" w:hAnsi="Sakkal Majalla" w:cs="Sakkal Majalla"/>
          <w:sz w:val="28"/>
          <w:szCs w:val="28"/>
        </w:rPr>
      </w:pPr>
    </w:p>
    <w:p w14:paraId="2D7C440C"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ويعالج ألفين غولدمان في مقالته «Experts: Which Ones Should You Trust?» (2001) سؤالًا وثيق الصلة: كيف يقيّم غير المتخصص خبيرًا حين يختلف الخبراء؟ ومن القرائن التي يقترحها: سجل الخبير في الإصابة، واتفاقه مع خبراء مستقلين، وقوة الحجج التي يقدّمها وشفافيتها.</w:t>
      </w:r>
    </w:p>
    <w:p w14:paraId="134B38DC"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وتقترب هذه القرائن كثيرًا مما طبّقه هذا الفصل: فسجل الإصابة يقابله معيار الاتصال المنهجي، والاتفاق بين خبراء مستقلين يقابله الجمع بين المدارس الخمس، وشفافية الاستدلال يقابلها إلزام توثيق الاستدلال في بطاقة الهوية.</w:t>
      </w:r>
    </w:p>
    <w:p w14:paraId="47D101C0"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وهذا التقارب بين هرم المصادر ونظريات الشهادة الغربية المعاصرة، فيما دون القرآن، ليس مصادفة في رأيي؛ فهو قرينة على أن مبادئ العقل السليم في تقييم المصادر مشتركة بين البشر. ويبقى التمايز الحقيقي في طبيعة المصدر الأول، القرآن، لا في منهج التعامل مع بقية المصادر.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B149ED" w:rsidRPr="00A60245" w14:paraId="157F6C5E" w14:textId="77777777" w:rsidTr="00A011EA">
        <w:tc>
          <w:tcPr>
            <w:tcW w:w="8640" w:type="dxa"/>
            <w:shd w:val="clear" w:color="auto" w:fill="7030A0"/>
            <w:tcMar>
              <w:top w:w="72" w:type="dxa"/>
              <w:left w:w="100" w:type="dxa"/>
              <w:bottom w:w="72" w:type="dxa"/>
              <w:right w:w="100" w:type="dxa"/>
            </w:tcMar>
            <w:vAlign w:val="center"/>
          </w:tcPr>
          <w:p w14:paraId="383CF493"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t xml:space="preserve">خلاصة المقارنة الفلسفية</w:t>
            </w:r>
          </w:p>
        </w:tc>
      </w:tr>
      <w:tr w:rsidR="00B149ED" w:rsidRPr="00A60245" w14:paraId="78439CDA" w14:textId="77777777" w:rsidTr="00A011EA">
        <w:tc>
          <w:tcPr>
            <w:tcW w:w="8640" w:type="dxa"/>
            <w:shd w:val="clear" w:color="auto" w:fill="E8D5F5"/>
            <w:tcMar>
              <w:top w:w="72" w:type="dxa"/>
              <w:left w:w="100" w:type="dxa"/>
              <w:bottom w:w="72" w:type="dxa"/>
              <w:right w:w="100" w:type="dxa"/>
            </w:tcMar>
            <w:vAlign w:val="center"/>
          </w:tcPr>
          <w:p w14:paraId="546D1821"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كوادي (1992): الشهادة مصدر أصيل للمعرفة، ويقابله أن المفسّرين الثقات مصدر أصيل للمعرفة التفسيرية. زغزيبسكي (2012): السلطة المعرفية متدرجة مشتقة، ويقابله أن للمدارس الخمس سلطة مشتقة متدرجة لا مطلقة كسلطة النص. غولدمان (2001): قرائن تقييم الخبير (السجل، والاتفاق، والحجة)، ويقابلها معايير اختيار المدارس الخمس. وتكرار هذا التقاطع قرينة على أن مبادئ تقييم المصادر عقلية عامة، لا خصوصية إسلامية معزولة عن الحوار الفلسفي العالمي.</w:t>
            </w:r>
          </w:p>
        </w:tc>
      </w:tr>
    </w:tbl>
    <w:p w14:paraId="54E5427E" w14:textId="77777777" w:rsidR="00B149ED" w:rsidRPr="00A60245" w:rsidRDefault="00B149ED" w:rsidP="00B149ED">
      <w:pPr>
        <w:bidi/>
        <w:spacing w:after="55"/>
        <w:rPr>
          <w:rFonts w:ascii="Sakkal Majalla" w:hAnsi="Sakkal Majalla" w:cs="Sakkal Majalla"/>
          <w:sz w:val="28"/>
          <w:szCs w:val="28"/>
        </w:rPr>
      </w:pPr>
    </w:p>
    <w:p w14:paraId="53C91277" w14:textId="77777777" w:rsidR="00B149ED" w:rsidRPr="00A60245" w:rsidRDefault="00B149ED" w:rsidP="00B149ED">
      <w:pPr>
        <w:bidi/>
        <w:spacing w:after="55"/>
        <w:rPr>
          <w:rFonts w:ascii="Sakkal Majalla" w:hAnsi="Sakkal Majalla" w:cs="Sakkal Majalla"/>
          <w:sz w:val="28"/>
          <w:szCs w:val="28"/>
        </w:rPr>
      </w:pPr>
    </w:p>
    <w:p w14:paraId="63D6382B"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p w14:paraId="2C35BAC4" w14:textId="77777777" w:rsidR="00B149ED" w:rsidRPr="00A60245" w:rsidRDefault="00B149ED" w:rsidP="00B149ED">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إسناد الكتب لا إسناد الأحاديث وحدها: كيف نثق أن «تفسير الطبري» للطبري؟</w:t>
      </w:r>
    </w:p>
    <w:p w14:paraId="244AAF52"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وهذه مسألة كثيرًا ما تُغفل: التحقق من صحة نسبة الكتاب المطبوع اليوم إلى مؤلفه. فقد طوّر علم الحديث منهجًا دقيقًا لنقد أسانيد الأحاديث الفردية، لكن نقد انتقال نص الكتاب كاملًا عبر القرون علم له قواعده الخاصة (انظر: الأعظمي، دراسات في الحديث النبوي وتاريخ تدوينه).</w:t>
      </w:r>
    </w:p>
    <w:p w14:paraId="6034A684"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فـ«تفسير الطبري» الذي نقرؤه اليوم في الطبعات المحقّقة وصل إلينا عبر نسخ مخطوطة متعددة، بعضها ناقص وبعضها مختلف في ألفاظ. وأعمال التحقيق الحديثة، كعمل محمود شاكر وأحمد شاكر، تقارن بين المخطوطات بمنهج نقد النص (Textual Criticism) لتثبيت الأقرب إلى نص المؤلف، وهي عملية فيها هامش اجتهاد بشري أيضًا.</w:t>
      </w:r>
    </w:p>
    <w:p w14:paraId="5EE50BF7" w14:textId="77777777" w:rsidR="00B149ED" w:rsidRPr="00A60245" w:rsidRDefault="00B149ED" w:rsidP="00B149ED">
      <w:pPr>
        <w:bidi/>
        <w:spacing w:before="70" w:after="38"/>
        <w:rPr>
          <w:rFonts w:ascii="Sakkal Majalla" w:hAnsi="Sakkal Majalla" w:cs="Sakkal Majalla"/>
          <w:sz w:val="28"/>
          <w:szCs w:val="28"/>
        </w:rPr>
      </w:pPr>
      <w:r>
        <w:rPr>
          <w:rFonts w:ascii="Sakkal Majalla" w:hAnsi="Sakkal Majalla" w:cs="Sakkal Majalla"/>
          <w:b/>
          <w:bCs/>
          <w:color w:val="156082"/>
          <w:sz w:val="28"/>
          <w:szCs w:val="28"/>
          <w:rtl/>
        </w:rPr>
        <w:t xml:space="preserve">الطبعات المعتمدة في هذا الكتاب</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960"/>
        <w:gridCol w:w="2880"/>
      </w:tblGrid>
      <w:tr w:rsidR="00B149ED" w:rsidRPr="00A60245" w14:paraId="58D3132B" w14:textId="77777777" w:rsidTr="00A011EA">
        <w:tc>
          <w:tcPr>
            <w:tcW w:w="1800" w:type="dxa"/>
            <w:shd w:val="clear" w:color="auto" w:fill="1F3864"/>
            <w:tcMar>
              <w:top w:w="72" w:type="dxa"/>
              <w:left w:w="100" w:type="dxa"/>
              <w:bottom w:w="72" w:type="dxa"/>
              <w:right w:w="100" w:type="dxa"/>
            </w:tcMar>
            <w:vAlign w:val="center"/>
          </w:tcPr>
          <w:p w14:paraId="1408DFCB"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الكتاب</w:t>
            </w:r>
          </w:p>
        </w:tc>
        <w:tc>
          <w:tcPr>
            <w:tcW w:w="3960" w:type="dxa"/>
            <w:shd w:val="clear" w:color="auto" w:fill="1F3864"/>
            <w:tcMar>
              <w:top w:w="72" w:type="dxa"/>
              <w:left w:w="100" w:type="dxa"/>
              <w:bottom w:w="72" w:type="dxa"/>
              <w:right w:w="100" w:type="dxa"/>
            </w:tcMar>
            <w:vAlign w:val="center"/>
          </w:tcPr>
          <w:p w14:paraId="337E3927"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الطبعة المعتمدة والمُحقِّق</w:t>
            </w:r>
          </w:p>
        </w:tc>
        <w:tc>
          <w:tcPr>
            <w:tcW w:w="2880" w:type="dxa"/>
            <w:shd w:val="clear" w:color="auto" w:fill="1F3864"/>
            <w:tcMar>
              <w:top w:w="72" w:type="dxa"/>
              <w:left w:w="100" w:type="dxa"/>
              <w:bottom w:w="72" w:type="dxa"/>
              <w:right w:w="100" w:type="dxa"/>
            </w:tcMar>
            <w:vAlign w:val="center"/>
          </w:tcPr>
          <w:p w14:paraId="0C634EC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سبب الاعتماد</w:t>
            </w:r>
          </w:p>
        </w:tc>
      </w:tr>
      <w:tr w:rsidR="00B149ED" w:rsidRPr="00A60245" w14:paraId="015D5F14" w14:textId="77777777" w:rsidTr="00A011EA">
        <w:tc>
          <w:tcPr>
            <w:tcW w:w="1800" w:type="dxa"/>
            <w:shd w:val="clear" w:color="auto" w:fill="EBF5FB"/>
            <w:tcMar>
              <w:top w:w="72" w:type="dxa"/>
              <w:left w:w="100" w:type="dxa"/>
              <w:bottom w:w="72" w:type="dxa"/>
              <w:right w:w="100" w:type="dxa"/>
            </w:tcMar>
            <w:vAlign w:val="center"/>
          </w:tcPr>
          <w:p w14:paraId="34934CC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جامع البيان (الطبري)</w:t>
            </w:r>
          </w:p>
        </w:tc>
        <w:tc>
          <w:tcPr>
            <w:tcW w:w="3960" w:type="dxa"/>
            <w:shd w:val="clear" w:color="auto" w:fill="F8F8F8"/>
            <w:tcMar>
              <w:top w:w="72" w:type="dxa"/>
              <w:left w:w="100" w:type="dxa"/>
              <w:bottom w:w="72" w:type="dxa"/>
              <w:right w:w="100" w:type="dxa"/>
            </w:tcMar>
            <w:vAlign w:val="center"/>
          </w:tcPr>
          <w:p w14:paraId="11F49D2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تحقيق أحمد شاكر ومحمود شاكر، مؤسسة الرسالة</w:t>
            </w:r>
          </w:p>
        </w:tc>
        <w:tc>
          <w:tcPr>
            <w:tcW w:w="2880" w:type="dxa"/>
            <w:shd w:val="clear" w:color="auto" w:fill="EBF5E0"/>
            <w:tcMar>
              <w:top w:w="72" w:type="dxa"/>
              <w:left w:w="100" w:type="dxa"/>
              <w:bottom w:w="72" w:type="dxa"/>
              <w:right w:w="100" w:type="dxa"/>
            </w:tcMar>
            <w:vAlign w:val="center"/>
          </w:tcPr>
          <w:p w14:paraId="703D7924"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أدق تحقيق لمخطوطات متعددة مع تخريج الأسانيد</w:t>
            </w:r>
          </w:p>
        </w:tc>
      </w:tr>
      <w:tr w:rsidR="00B149ED" w:rsidRPr="00A60245" w14:paraId="271ACF62" w14:textId="77777777" w:rsidTr="00A011EA">
        <w:tc>
          <w:tcPr>
            <w:tcW w:w="1800" w:type="dxa"/>
            <w:shd w:val="clear" w:color="auto" w:fill="FFFFFF"/>
            <w:tcMar>
              <w:top w:w="72" w:type="dxa"/>
              <w:left w:w="100" w:type="dxa"/>
              <w:bottom w:w="72" w:type="dxa"/>
              <w:right w:w="100" w:type="dxa"/>
            </w:tcMar>
            <w:vAlign w:val="center"/>
          </w:tcPr>
          <w:p w14:paraId="761545A0"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تفسير القرآن العظيم (ابن كثير)</w:t>
            </w:r>
          </w:p>
        </w:tc>
        <w:tc>
          <w:tcPr>
            <w:tcW w:w="3960" w:type="dxa"/>
            <w:shd w:val="clear" w:color="auto" w:fill="FFFFFF"/>
            <w:tcMar>
              <w:top w:w="72" w:type="dxa"/>
              <w:left w:w="100" w:type="dxa"/>
              <w:bottom w:w="72" w:type="dxa"/>
              <w:right w:w="100" w:type="dxa"/>
            </w:tcMar>
            <w:vAlign w:val="center"/>
          </w:tcPr>
          <w:p w14:paraId="291CF048"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تحقيق سامي بن محمد سلامة، دار طيبة</w:t>
            </w:r>
          </w:p>
        </w:tc>
        <w:tc>
          <w:tcPr>
            <w:tcW w:w="2880" w:type="dxa"/>
            <w:shd w:val="clear" w:color="auto" w:fill="FFFFFF"/>
            <w:tcMar>
              <w:top w:w="72" w:type="dxa"/>
              <w:left w:w="100" w:type="dxa"/>
              <w:bottom w:w="72" w:type="dxa"/>
              <w:right w:w="100" w:type="dxa"/>
            </w:tcMar>
            <w:vAlign w:val="center"/>
          </w:tcPr>
          <w:p w14:paraId="563AC16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تخريج شامل لكل حديث مع الحكم عليه</w:t>
            </w:r>
          </w:p>
        </w:tc>
      </w:tr>
      <w:tr w:rsidR="00B149ED" w:rsidRPr="00A60245" w14:paraId="18C2AB5C" w14:textId="77777777" w:rsidTr="00A011EA">
        <w:tc>
          <w:tcPr>
            <w:tcW w:w="1800" w:type="dxa"/>
            <w:shd w:val="clear" w:color="auto" w:fill="EBF5FB"/>
            <w:tcMar>
              <w:top w:w="72" w:type="dxa"/>
              <w:left w:w="100" w:type="dxa"/>
              <w:bottom w:w="72" w:type="dxa"/>
              <w:right w:w="100" w:type="dxa"/>
            </w:tcMar>
            <w:vAlign w:val="center"/>
          </w:tcPr>
          <w:p w14:paraId="4A92AE34"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الرسالة (الشافعي)</w:t>
            </w:r>
          </w:p>
        </w:tc>
        <w:tc>
          <w:tcPr>
            <w:tcW w:w="3960" w:type="dxa"/>
            <w:shd w:val="clear" w:color="auto" w:fill="F8F8F8"/>
            <w:tcMar>
              <w:top w:w="72" w:type="dxa"/>
              <w:left w:w="100" w:type="dxa"/>
              <w:bottom w:w="72" w:type="dxa"/>
              <w:right w:w="100" w:type="dxa"/>
            </w:tcMar>
            <w:vAlign w:val="center"/>
          </w:tcPr>
          <w:p w14:paraId="7831E54B"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تحقيق أحمد شاكر، مكتبة الحلبي، 1940</w:t>
            </w:r>
          </w:p>
        </w:tc>
        <w:tc>
          <w:tcPr>
            <w:tcW w:w="2880" w:type="dxa"/>
            <w:shd w:val="clear" w:color="auto" w:fill="EBF5E0"/>
            <w:tcMar>
              <w:top w:w="72" w:type="dxa"/>
              <w:left w:w="100" w:type="dxa"/>
              <w:bottom w:w="72" w:type="dxa"/>
              <w:right w:w="100" w:type="dxa"/>
            </w:tcMar>
            <w:vAlign w:val="center"/>
          </w:tcPr>
          <w:p w14:paraId="2D36575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الطبعة المرجعية المعتمدة أكاديمياً عالمياً</w:t>
            </w:r>
          </w:p>
        </w:tc>
      </w:tr>
      <w:tr w:rsidR="00B149ED" w:rsidRPr="00A60245" w14:paraId="62A1E186" w14:textId="77777777" w:rsidTr="00A011EA">
        <w:tc>
          <w:tcPr>
            <w:tcW w:w="1800" w:type="dxa"/>
            <w:shd w:val="clear" w:color="auto" w:fill="FFFFFF"/>
            <w:tcMar>
              <w:top w:w="72" w:type="dxa"/>
              <w:left w:w="100" w:type="dxa"/>
              <w:bottom w:w="72" w:type="dxa"/>
              <w:right w:w="100" w:type="dxa"/>
            </w:tcMar>
            <w:vAlign w:val="center"/>
          </w:tcPr>
          <w:p w14:paraId="7F34A5B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إعلام الموقعين (ابن القيم)</w:t>
            </w:r>
          </w:p>
        </w:tc>
        <w:tc>
          <w:tcPr>
            <w:tcW w:w="3960" w:type="dxa"/>
            <w:shd w:val="clear" w:color="auto" w:fill="FFFFFF"/>
            <w:tcMar>
              <w:top w:w="72" w:type="dxa"/>
              <w:left w:w="100" w:type="dxa"/>
              <w:bottom w:w="72" w:type="dxa"/>
              <w:right w:w="100" w:type="dxa"/>
            </w:tcMar>
            <w:vAlign w:val="center"/>
          </w:tcPr>
          <w:p w14:paraId="21C6274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تحقيق طه عبد الرؤوف سعد، دار الجيل</w:t>
            </w:r>
          </w:p>
        </w:tc>
        <w:tc>
          <w:tcPr>
            <w:tcW w:w="2880" w:type="dxa"/>
            <w:shd w:val="clear" w:color="auto" w:fill="FFFFFF"/>
            <w:tcMar>
              <w:top w:w="72" w:type="dxa"/>
              <w:left w:w="100" w:type="dxa"/>
              <w:bottom w:w="72" w:type="dxa"/>
              <w:right w:w="100" w:type="dxa"/>
            </w:tcMar>
            <w:vAlign w:val="center"/>
          </w:tcPr>
          <w:p w14:paraId="49DDF23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الأوسع تداولاً مع فهرسة موضوعية دقيقة</w:t>
            </w:r>
          </w:p>
        </w:tc>
      </w:tr>
      <w:tr w:rsidR="00B149ED" w:rsidRPr="00A60245" w14:paraId="7FCE70D8" w14:textId="77777777" w:rsidTr="00A011EA">
        <w:tc>
          <w:tcPr>
            <w:tcW w:w="1800" w:type="dxa"/>
            <w:shd w:val="clear" w:color="auto" w:fill="EBF5FB"/>
            <w:tcMar>
              <w:top w:w="72" w:type="dxa"/>
              <w:left w:w="100" w:type="dxa"/>
              <w:bottom w:w="72" w:type="dxa"/>
              <w:right w:w="100" w:type="dxa"/>
            </w:tcMar>
            <w:vAlign w:val="center"/>
          </w:tcPr>
          <w:p w14:paraId="7755BEB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التحرير والتنوير (ابن عاشور)</w:t>
            </w:r>
          </w:p>
        </w:tc>
        <w:tc>
          <w:tcPr>
            <w:tcW w:w="3960" w:type="dxa"/>
            <w:shd w:val="clear" w:color="auto" w:fill="F8F8F8"/>
            <w:tcMar>
              <w:top w:w="72" w:type="dxa"/>
              <w:left w:w="100" w:type="dxa"/>
              <w:bottom w:w="72" w:type="dxa"/>
              <w:right w:w="100" w:type="dxa"/>
            </w:tcMar>
            <w:vAlign w:val="center"/>
          </w:tcPr>
          <w:p w14:paraId="2F81BDE2"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الدار التونسية للنشر (النسخة الكاملة 30 مجلداً)</w:t>
            </w:r>
          </w:p>
        </w:tc>
        <w:tc>
          <w:tcPr>
            <w:tcW w:w="2880" w:type="dxa"/>
            <w:shd w:val="clear" w:color="auto" w:fill="EBF5E0"/>
            <w:tcMar>
              <w:top w:w="72" w:type="dxa"/>
              <w:left w:w="100" w:type="dxa"/>
              <w:bottom w:w="72" w:type="dxa"/>
              <w:right w:w="100" w:type="dxa"/>
            </w:tcMar>
            <w:vAlign w:val="center"/>
          </w:tcPr>
          <w:p w14:paraId="1F5E4D7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النص الكامل غير المُختصَر — أساس الاستشهاد الدقيق</w:t>
            </w:r>
          </w:p>
        </w:tc>
      </w:tr>
    </w:tbl>
    <w:p w14:paraId="2DCC0B87" w14:textId="77777777" w:rsidR="00B149ED" w:rsidRPr="00A60245" w:rsidRDefault="00B149ED" w:rsidP="00B149ED">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والقاعدة: تُستعمل الطبعات المحقّقة وحدها، مع ذكر المحقّق ودار النشر في كل استشهاد.</w:t>
      </w:r>
    </w:p>
    <w:p w14:paraId="07E2F3AB" w14:textId="77777777" w:rsidR="00B149ED" w:rsidRPr="00A60245" w:rsidRDefault="00B149ED" w:rsidP="00B149ED">
      <w:pPr>
        <w:bidi/>
        <w:spacing w:after="55"/>
        <w:rPr>
          <w:rFonts w:ascii="Sakkal Majalla" w:hAnsi="Sakkal Majalla" w:cs="Sakkal Majalla"/>
          <w:sz w:val="28"/>
          <w:szCs w:val="28"/>
        </w:rPr>
      </w:pPr>
    </w:p>
    <w:p w14:paraId="28AA8E63" w14:textId="77777777" w:rsidR="00B149ED" w:rsidRPr="00A60245" w:rsidRDefault="00B149ED" w:rsidP="00B149ED">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كيف نقيّم مفسّري القرن العشرين؟</w:t>
      </w:r>
    </w:p>
    <w:p w14:paraId="32252656"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ويضم هرم هذا الفصل أسماء من طبقات زمنية متباعدة: ابن كثير من القرن الثامن الهجري، وسيد قطب والزحيلي من القرن العشرين الميلادي. وهذا يطرح سؤالًا صريحًا: هل للمفسّر المعاصر وزن المفسّر الكلاسيكي نفسه؟</w:t>
      </w:r>
    </w:p>
    <w:p w14:paraId="563C77D3"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ومعياري هنا أن وزن المفسّر لا يُقاس بقدمه الزمني، بل بمدى «اتصاله المنهجي» بالتقليد التفسيري السابق، وإضافته الحقيقية إليه.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03"/>
        <w:gridCol w:w="3937"/>
      </w:tblGrid>
      <w:tr w:rsidR="00B149ED" w:rsidRPr="00A60245" w14:paraId="20B6D6E7" w14:textId="77777777" w:rsidTr="00A011EA">
        <w:tc>
          <w:tcPr>
            <w:tcW w:w="1440" w:type="dxa"/>
            <w:shd w:val="clear" w:color="auto" w:fill="1F3864"/>
            <w:tcMar>
              <w:top w:w="72" w:type="dxa"/>
              <w:left w:w="100" w:type="dxa"/>
              <w:bottom w:w="72" w:type="dxa"/>
              <w:right w:w="100" w:type="dxa"/>
            </w:tcMar>
            <w:vAlign w:val="center"/>
          </w:tcPr>
          <w:p w14:paraId="68CDB78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lastRenderedPageBreak/>
              <w:t>المعيار</w:t>
            </w:r>
          </w:p>
        </w:tc>
        <w:tc>
          <w:tcPr>
            <w:tcW w:w="7200" w:type="dxa"/>
            <w:shd w:val="clear" w:color="auto" w:fill="1F3864"/>
            <w:tcMar>
              <w:top w:w="72" w:type="dxa"/>
              <w:left w:w="100" w:type="dxa"/>
              <w:bottom w:w="72" w:type="dxa"/>
              <w:right w:w="100" w:type="dxa"/>
            </w:tcMar>
            <w:vAlign w:val="center"/>
          </w:tcPr>
          <w:p w14:paraId="3706F376"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التطبيق على الزحيلي (ت.2015م)</w:t>
            </w:r>
          </w:p>
        </w:tc>
      </w:tr>
      <w:tr w:rsidR="00B149ED" w:rsidRPr="00A60245" w14:paraId="36D1C59A" w14:textId="77777777" w:rsidTr="00A011EA">
        <w:tc>
          <w:tcPr>
            <w:tcW w:w="1440" w:type="dxa"/>
            <w:shd w:val="clear" w:color="auto" w:fill="EBF5FB"/>
            <w:tcMar>
              <w:top w:w="72" w:type="dxa"/>
              <w:left w:w="100" w:type="dxa"/>
              <w:bottom w:w="72" w:type="dxa"/>
              <w:right w:w="100" w:type="dxa"/>
            </w:tcMar>
            <w:vAlign w:val="center"/>
          </w:tcPr>
          <w:p w14:paraId="215F1803"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الاتصال المنهجي</w:t>
            </w:r>
          </w:p>
        </w:tc>
        <w:tc>
          <w:tcPr>
            <w:tcW w:w="7200" w:type="dxa"/>
            <w:shd w:val="clear" w:color="auto" w:fill="F5FAFF"/>
            <w:tcMar>
              <w:top w:w="72" w:type="dxa"/>
              <w:left w:w="100" w:type="dxa"/>
              <w:bottom w:w="72" w:type="dxa"/>
              <w:right w:w="100" w:type="dxa"/>
            </w:tcMar>
            <w:vAlign w:val="center"/>
          </w:tcPr>
          <w:p w14:paraId="5828F87D"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«التفسير المنير» لا يقدّم منهجًا مبتدعًا، بل يجمع الدقة اللغوية والفقهية لسابقيه، فهو متصل منهجيًا بسلسلة التفسير.</w:t>
            </w:r>
          </w:p>
        </w:tc>
      </w:tr>
      <w:tr w:rsidR="00B149ED" w:rsidRPr="00A60245" w14:paraId="33416FC0" w14:textId="77777777" w:rsidTr="00A011EA">
        <w:tc>
          <w:tcPr>
            <w:tcW w:w="1440" w:type="dxa"/>
            <w:shd w:val="clear" w:color="auto" w:fill="FFFFFF"/>
            <w:tcMar>
              <w:top w:w="72" w:type="dxa"/>
              <w:left w:w="100" w:type="dxa"/>
              <w:bottom w:w="72" w:type="dxa"/>
              <w:right w:w="100" w:type="dxa"/>
            </w:tcMar>
            <w:vAlign w:val="center"/>
          </w:tcPr>
          <w:p w14:paraId="289677E5"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الإضافة الحقيقية</w:t>
            </w:r>
          </w:p>
        </w:tc>
        <w:tc>
          <w:tcPr>
            <w:tcW w:w="7200" w:type="dxa"/>
            <w:shd w:val="clear" w:color="auto" w:fill="FFFFFF"/>
            <w:tcMar>
              <w:top w:w="72" w:type="dxa"/>
              <w:left w:w="100" w:type="dxa"/>
              <w:bottom w:w="72" w:type="dxa"/>
              <w:right w:w="100" w:type="dxa"/>
            </w:tcMar>
            <w:vAlign w:val="center"/>
          </w:tcPr>
          <w:p w14:paraId="2F824297"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يُعالج قضايا معاصرة (البنوك، الطب الحديث، التعاملات المعاصرة) لم تكن مطروحة تفصيلاً سابقاً.</w:t>
            </w:r>
          </w:p>
        </w:tc>
      </w:tr>
      <w:tr w:rsidR="00B149ED" w:rsidRPr="00A60245" w14:paraId="26A8E5C5" w14:textId="77777777" w:rsidTr="00A011EA">
        <w:tc>
          <w:tcPr>
            <w:tcW w:w="1440" w:type="dxa"/>
            <w:shd w:val="clear" w:color="auto" w:fill="EBF5FB"/>
            <w:tcMar>
              <w:top w:w="72" w:type="dxa"/>
              <w:left w:w="100" w:type="dxa"/>
              <w:bottom w:w="72" w:type="dxa"/>
              <w:right w:w="100" w:type="dxa"/>
            </w:tcMar>
            <w:vAlign w:val="center"/>
          </w:tcPr>
          <w:p w14:paraId="7068EADE"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1F3864"/>
                <w:sz w:val="28"/>
                <w:szCs w:val="28"/>
                <w:rtl/>
              </w:rPr>
              <w:t>الاستبعاد المُبرَّر</w:t>
            </w:r>
          </w:p>
        </w:tc>
        <w:tc>
          <w:tcPr>
            <w:tcW w:w="7200" w:type="dxa"/>
            <w:shd w:val="clear" w:color="auto" w:fill="F5FAFF"/>
            <w:tcMar>
              <w:top w:w="72" w:type="dxa"/>
              <w:left w:w="100" w:type="dxa"/>
              <w:bottom w:w="72" w:type="dxa"/>
              <w:right w:w="100" w:type="dxa"/>
            </w:tcMar>
            <w:vAlign w:val="center"/>
          </w:tcPr>
          <w:p w14:paraId="040749DA"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تُستبعد كتابات «الإعجاز العلمي» التي تُسقط اكتشافات حديثة على الآيات دون تحليل لغوي أو سياقي دقيق، لأنها تفتقر إلى الاتصال المنهجي مهما بلغت شهرتها.</w:t>
            </w:r>
          </w:p>
        </w:tc>
      </w:tr>
      <w:tr w:rsidR="00B149ED" w:rsidRPr="00A60245" w14:paraId="298CDFDC" w14:textId="77777777" w:rsidTr="00A011EA">
        <w:trPr>
          <w:gridAfter w:val="1"/>
          <w:wAfter w:w="100" w:type="dxa"/>
        </w:trPr>
        <w:tc>
          <w:tcPr>
            <w:tcW w:w="8640" w:type="dxa"/>
            <w:shd w:val="clear" w:color="auto" w:fill="156082"/>
            <w:tcMar>
              <w:top w:w="72" w:type="dxa"/>
              <w:left w:w="100" w:type="dxa"/>
              <w:bottom w:w="72" w:type="dxa"/>
              <w:right w:w="100" w:type="dxa"/>
            </w:tcMar>
            <w:vAlign w:val="center"/>
          </w:tcPr>
          <w:p w14:paraId="38838B89"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t xml:space="preserve">قاعدة التصنيف</w:t>
            </w:r>
          </w:p>
        </w:tc>
      </w:tr>
      <w:tr w:rsidR="00B149ED" w:rsidRPr="00A60245" w14:paraId="48E7F074" w14:textId="77777777" w:rsidTr="00A011EA">
        <w:trPr>
          <w:gridAfter w:val="1"/>
          <w:wAfter w:w="100" w:type="dxa"/>
        </w:trPr>
        <w:tc>
          <w:tcPr>
            <w:tcW w:w="8640" w:type="dxa"/>
            <w:shd w:val="clear" w:color="auto" w:fill="EBF5FB"/>
            <w:tcMar>
              <w:top w:w="72" w:type="dxa"/>
              <w:left w:w="100" w:type="dxa"/>
              <w:bottom w:w="72" w:type="dxa"/>
              <w:right w:w="100" w:type="dxa"/>
            </w:tcMar>
            <w:vAlign w:val="center"/>
          </w:tcPr>
          <w:p w14:paraId="1C74D3A4"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لا صلة مباشرة لعمر المفسّر الزمني بوزنه المعرفي. والحاسم: هل يتصل منهجيًا بتراكم علمي سابق موثّق؟ وهل يضيف إليه إضافة حقيقية يمكن تقييمها؟ فمن حقق الشرطين دخل الهرم، في أي قرن عاش.</w:t>
            </w:r>
          </w:p>
        </w:tc>
      </w:tr>
    </w:tbl>
    <w:p w14:paraId="05005CA0" w14:textId="77777777" w:rsidR="00B149ED" w:rsidRPr="00A60245" w:rsidRDefault="00B149ED" w:rsidP="00B149ED">
      <w:pPr>
        <w:bidi/>
        <w:spacing w:after="55"/>
        <w:rPr>
          <w:rFonts w:ascii="Sakkal Majalla" w:hAnsi="Sakkal Majalla" w:cs="Sakkal Majalla"/>
          <w:sz w:val="28"/>
          <w:szCs w:val="28"/>
        </w:rPr>
      </w:pPr>
    </w:p>
    <w:p w14:paraId="79EE085D"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p w14:paraId="39155E7E" w14:textId="77777777" w:rsidR="00B149ED" w:rsidRPr="00A60245" w:rsidRDefault="00B149ED" w:rsidP="00B149ED">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الهرم كاملًا في نظرة واحدة</w:t>
      </w:r>
    </w:p>
    <w:p w14:paraId="03D6E237"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وقبل الاعتراضات، هذا هو الهرم مجموعًا في جدول يربط كل مستوى بمصدره ووظيفته ودرجة اليقين فيه: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800"/>
        <w:gridCol w:w="2160"/>
        <w:gridCol w:w="2160"/>
        <w:gridCol w:w="2160"/>
      </w:tblGrid>
      <w:tr w:rsidR="00B149ED" w:rsidRPr="00A60245" w14:paraId="4E55A1D0" w14:textId="77777777" w:rsidTr="00A011EA">
        <w:tc>
          <w:tcPr>
            <w:tcW w:w="360" w:type="dxa"/>
            <w:shd w:val="clear" w:color="auto" w:fill="1F3864"/>
            <w:tcMar>
              <w:top w:w="72" w:type="dxa"/>
              <w:left w:w="100" w:type="dxa"/>
              <w:bottom w:w="72" w:type="dxa"/>
              <w:right w:w="100" w:type="dxa"/>
            </w:tcMar>
            <w:vAlign w:val="center"/>
          </w:tcPr>
          <w:p w14:paraId="65B114AC"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w:t>
            </w:r>
          </w:p>
        </w:tc>
        <w:tc>
          <w:tcPr>
            <w:tcW w:w="1800" w:type="dxa"/>
            <w:shd w:val="clear" w:color="auto" w:fill="1F3864"/>
            <w:tcMar>
              <w:top w:w="72" w:type="dxa"/>
              <w:left w:w="100" w:type="dxa"/>
              <w:bottom w:w="72" w:type="dxa"/>
              <w:right w:w="100" w:type="dxa"/>
            </w:tcMar>
            <w:vAlign w:val="center"/>
          </w:tcPr>
          <w:p w14:paraId="5572E945"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المستوى</w:t>
            </w:r>
          </w:p>
        </w:tc>
        <w:tc>
          <w:tcPr>
            <w:tcW w:w="2160" w:type="dxa"/>
            <w:shd w:val="clear" w:color="auto" w:fill="1F3864"/>
            <w:tcMar>
              <w:top w:w="72" w:type="dxa"/>
              <w:left w:w="100" w:type="dxa"/>
              <w:bottom w:w="72" w:type="dxa"/>
              <w:right w:w="100" w:type="dxa"/>
            </w:tcMar>
            <w:vAlign w:val="center"/>
          </w:tcPr>
          <w:p w14:paraId="346BCD4A"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المصدر الرئيسي</w:t>
            </w:r>
          </w:p>
        </w:tc>
        <w:tc>
          <w:tcPr>
            <w:tcW w:w="2160" w:type="dxa"/>
            <w:shd w:val="clear" w:color="auto" w:fill="1F3864"/>
            <w:tcMar>
              <w:top w:w="72" w:type="dxa"/>
              <w:left w:w="100" w:type="dxa"/>
              <w:bottom w:w="72" w:type="dxa"/>
              <w:right w:w="100" w:type="dxa"/>
            </w:tcMar>
            <w:vAlign w:val="center"/>
          </w:tcPr>
          <w:p w14:paraId="26AF65D4"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الوظيفة</w:t>
            </w:r>
          </w:p>
        </w:tc>
        <w:tc>
          <w:tcPr>
            <w:tcW w:w="2160" w:type="dxa"/>
            <w:shd w:val="clear" w:color="auto" w:fill="1F3864"/>
            <w:tcMar>
              <w:top w:w="72" w:type="dxa"/>
              <w:left w:w="100" w:type="dxa"/>
              <w:bottom w:w="72" w:type="dxa"/>
              <w:right w:w="100" w:type="dxa"/>
            </w:tcMar>
            <w:vAlign w:val="center"/>
          </w:tcPr>
          <w:p w14:paraId="31E2369B"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درجة اليقين</w:t>
            </w:r>
          </w:p>
        </w:tc>
      </w:tr>
      <w:tr w:rsidR="00B149ED" w:rsidRPr="00A60245" w14:paraId="7902AC48" w14:textId="77777777" w:rsidTr="00A011EA">
        <w:tc>
          <w:tcPr>
            <w:tcW w:w="360" w:type="dxa"/>
            <w:shd w:val="clear" w:color="auto" w:fill="1F3864"/>
            <w:tcMar>
              <w:top w:w="72" w:type="dxa"/>
              <w:left w:w="100" w:type="dxa"/>
              <w:bottom w:w="72" w:type="dxa"/>
              <w:right w:w="100" w:type="dxa"/>
            </w:tcMar>
            <w:vAlign w:val="center"/>
          </w:tcPr>
          <w:p w14:paraId="462D89AB" w14:textId="77777777" w:rsidR="00B149ED" w:rsidRPr="00A60245" w:rsidRDefault="00B149ED" w:rsidP="00A011EA">
            <w:pPr>
              <w:bidi/>
              <w:spacing w:before="48" w:after="48"/>
              <w:rPr>
                <w:rFonts w:ascii="Sakkal Majalla" w:hAnsi="Sakkal Majalla" w:cs="Sakkal Majalla"/>
                <w:sz w:val="28"/>
                <w:szCs w:val="28"/>
              </w:rPr>
            </w:pPr>
            <w:r>
              <w:rPr>
                <w:rFonts w:ascii="Cambria Math" w:hAnsi="Cambria Math" w:cs="Cambria Math" w:hint="cs"/>
                <w:b/>
                <w:bCs/>
                <w:color w:val="FFFFFF"/>
                <w:sz w:val="28"/>
                <w:szCs w:val="28"/>
                <w:rtl/>
              </w:rPr>
              <w:t xml:space="preserve">①</w:t>
            </w:r>
          </w:p>
        </w:tc>
        <w:tc>
          <w:tcPr>
            <w:tcW w:w="1800" w:type="dxa"/>
            <w:shd w:val="clear" w:color="auto" w:fill="F0F4FF"/>
            <w:tcMar>
              <w:top w:w="72" w:type="dxa"/>
              <w:left w:w="100" w:type="dxa"/>
              <w:bottom w:w="72" w:type="dxa"/>
              <w:right w:w="100" w:type="dxa"/>
            </w:tcMar>
            <w:vAlign w:val="center"/>
          </w:tcPr>
          <w:p w14:paraId="5C074E8B"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 xml:space="preserve">القرآن الكريم</w:t>
            </w:r>
          </w:p>
        </w:tc>
        <w:tc>
          <w:tcPr>
            <w:tcW w:w="2160" w:type="dxa"/>
            <w:shd w:val="clear" w:color="auto" w:fill="F5FAFF"/>
            <w:tcMar>
              <w:top w:w="72" w:type="dxa"/>
              <w:left w:w="100" w:type="dxa"/>
              <w:bottom w:w="72" w:type="dxa"/>
              <w:right w:w="100" w:type="dxa"/>
            </w:tcMar>
            <w:vAlign w:val="center"/>
          </w:tcPr>
          <w:p w14:paraId="1F5D1A24"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النص الكريم: الآيات المصدر</w:t>
            </w:r>
          </w:p>
        </w:tc>
        <w:tc>
          <w:tcPr>
            <w:tcW w:w="2160" w:type="dxa"/>
            <w:shd w:val="clear" w:color="auto" w:fill="EBF5E0"/>
            <w:tcMar>
              <w:top w:w="72" w:type="dxa"/>
              <w:left w:w="100" w:type="dxa"/>
              <w:bottom w:w="72" w:type="dxa"/>
              <w:right w:w="100" w:type="dxa"/>
            </w:tcMar>
            <w:vAlign w:val="center"/>
          </w:tcPr>
          <w:p w14:paraId="51C0A348"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الإنشاء والتأسيس، ولا يُقدَّم عليه مصدر</w:t>
            </w:r>
          </w:p>
        </w:tc>
        <w:tc>
          <w:tcPr>
            <w:tcW w:w="2160" w:type="dxa"/>
            <w:shd w:val="clear" w:color="auto" w:fill="FFF2CC"/>
            <w:tcMar>
              <w:top w:w="72" w:type="dxa"/>
              <w:left w:w="100" w:type="dxa"/>
              <w:bottom w:w="72" w:type="dxa"/>
              <w:right w:w="100" w:type="dxa"/>
            </w:tcMar>
            <w:vAlign w:val="center"/>
          </w:tcPr>
          <w:p w14:paraId="6644D094"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C49A00"/>
                <w:sz w:val="28"/>
                <w:szCs w:val="28"/>
                <w:rtl/>
              </w:rPr>
              <w:t xml:space="preserve">يقين مطلق (المسلّمة الأولى)</w:t>
            </w:r>
          </w:p>
        </w:tc>
      </w:tr>
      <w:tr w:rsidR="00B149ED" w:rsidRPr="00A60245" w14:paraId="22B5FB6B" w14:textId="77777777" w:rsidTr="00A011EA">
        <w:tc>
          <w:tcPr>
            <w:tcW w:w="360" w:type="dxa"/>
            <w:shd w:val="clear" w:color="auto" w:fill="FFFFFF"/>
            <w:tcMar>
              <w:top w:w="72" w:type="dxa"/>
              <w:left w:w="100" w:type="dxa"/>
              <w:bottom w:w="72" w:type="dxa"/>
              <w:right w:w="100" w:type="dxa"/>
            </w:tcMar>
            <w:vAlign w:val="center"/>
          </w:tcPr>
          <w:p w14:paraId="76984349" w14:textId="77777777" w:rsidR="00B149ED" w:rsidRPr="00A60245" w:rsidRDefault="00B149ED" w:rsidP="00A011EA">
            <w:pPr>
              <w:bidi/>
              <w:spacing w:before="48" w:after="48"/>
              <w:rPr>
                <w:rFonts w:ascii="Sakkal Majalla" w:hAnsi="Sakkal Majalla" w:cs="Sakkal Majalla"/>
                <w:sz w:val="28"/>
                <w:szCs w:val="28"/>
              </w:rPr>
            </w:pPr>
            <w:r>
              <w:rPr>
                <w:rFonts w:ascii="Cambria Math" w:hAnsi="Cambria Math" w:cs="Cambria Math" w:hint="cs"/>
                <w:b/>
                <w:bCs/>
                <w:color w:val="156082"/>
                <w:sz w:val="28"/>
                <w:szCs w:val="28"/>
                <w:rtl/>
              </w:rPr>
              <w:t xml:space="preserve">②</w:t>
            </w:r>
          </w:p>
        </w:tc>
        <w:tc>
          <w:tcPr>
            <w:tcW w:w="1800" w:type="dxa"/>
            <w:shd w:val="clear" w:color="auto" w:fill="FFFFFF"/>
            <w:tcMar>
              <w:top w:w="72" w:type="dxa"/>
              <w:left w:w="100" w:type="dxa"/>
              <w:bottom w:w="72" w:type="dxa"/>
              <w:right w:w="100" w:type="dxa"/>
            </w:tcMar>
            <w:vAlign w:val="center"/>
          </w:tcPr>
          <w:p w14:paraId="4A5A2E8C"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 xml:space="preserve">السنة النبوية</w:t>
            </w:r>
          </w:p>
        </w:tc>
        <w:tc>
          <w:tcPr>
            <w:tcW w:w="2160" w:type="dxa"/>
            <w:shd w:val="clear" w:color="auto" w:fill="FFFFFF"/>
            <w:tcMar>
              <w:top w:w="72" w:type="dxa"/>
              <w:left w:w="100" w:type="dxa"/>
              <w:bottom w:w="72" w:type="dxa"/>
              <w:right w:w="100" w:type="dxa"/>
            </w:tcMar>
            <w:vAlign w:val="center"/>
          </w:tcPr>
          <w:p w14:paraId="00B88169"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الصحيحان والسنن الأربعة (بإسناد صحيح أو حسن)</w:t>
            </w:r>
          </w:p>
        </w:tc>
        <w:tc>
          <w:tcPr>
            <w:tcW w:w="2160" w:type="dxa"/>
            <w:shd w:val="clear" w:color="auto" w:fill="FFFFFF"/>
            <w:tcMar>
              <w:top w:w="72" w:type="dxa"/>
              <w:left w:w="100" w:type="dxa"/>
              <w:bottom w:w="72" w:type="dxa"/>
              <w:right w:w="100" w:type="dxa"/>
            </w:tcMar>
            <w:vAlign w:val="center"/>
          </w:tcPr>
          <w:p w14:paraId="414956BC"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البيان: التأكيد والتفسير (ومنه تفصيل المجمل وتخصيص العام)، لا الإنشاء المستقل</w:t>
            </w:r>
          </w:p>
        </w:tc>
        <w:tc>
          <w:tcPr>
            <w:tcW w:w="2160" w:type="dxa"/>
            <w:shd w:val="clear" w:color="auto" w:fill="FFFFFF"/>
            <w:tcMar>
              <w:top w:w="72" w:type="dxa"/>
              <w:left w:w="100" w:type="dxa"/>
              <w:bottom w:w="72" w:type="dxa"/>
              <w:right w:w="100" w:type="dxa"/>
            </w:tcMar>
            <w:vAlign w:val="center"/>
          </w:tcPr>
          <w:p w14:paraId="35914FFA"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مرتفع جدًا (صحيح) ثم مرتفع (حسن)</w:t>
            </w:r>
          </w:p>
        </w:tc>
      </w:tr>
      <w:tr w:rsidR="00B149ED" w:rsidRPr="00A60245" w14:paraId="227522C3" w14:textId="77777777" w:rsidTr="00A011EA">
        <w:tc>
          <w:tcPr>
            <w:tcW w:w="360" w:type="dxa"/>
            <w:shd w:val="clear" w:color="auto" w:fill="EBF5FB"/>
            <w:tcMar>
              <w:top w:w="72" w:type="dxa"/>
              <w:left w:w="100" w:type="dxa"/>
              <w:bottom w:w="72" w:type="dxa"/>
              <w:right w:w="100" w:type="dxa"/>
            </w:tcMar>
            <w:vAlign w:val="center"/>
          </w:tcPr>
          <w:p w14:paraId="3A7B0A4B" w14:textId="77777777" w:rsidR="00B149ED" w:rsidRPr="00A60245" w:rsidRDefault="00B149ED" w:rsidP="00A011EA">
            <w:pPr>
              <w:bidi/>
              <w:spacing w:before="48" w:after="48"/>
              <w:rPr>
                <w:rFonts w:ascii="Sakkal Majalla" w:hAnsi="Sakkal Majalla" w:cs="Sakkal Majalla"/>
                <w:sz w:val="28"/>
                <w:szCs w:val="28"/>
              </w:rPr>
            </w:pPr>
            <w:r>
              <w:rPr>
                <w:rFonts w:ascii="Cambria Math" w:hAnsi="Cambria Math" w:cs="Cambria Math" w:hint="cs"/>
                <w:b/>
                <w:bCs/>
                <w:color w:val="156082"/>
                <w:sz w:val="28"/>
                <w:szCs w:val="28"/>
                <w:rtl/>
              </w:rPr>
              <w:t xml:space="preserve">③</w:t>
            </w:r>
          </w:p>
        </w:tc>
        <w:tc>
          <w:tcPr>
            <w:tcW w:w="1800" w:type="dxa"/>
            <w:shd w:val="clear" w:color="auto" w:fill="F5F5F5"/>
            <w:tcMar>
              <w:top w:w="72" w:type="dxa"/>
              <w:left w:w="100" w:type="dxa"/>
              <w:bottom w:w="72" w:type="dxa"/>
              <w:right w:w="100" w:type="dxa"/>
            </w:tcMar>
            <w:vAlign w:val="center"/>
          </w:tcPr>
          <w:p w14:paraId="1D46B198"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 xml:space="preserve">المصادر اللغوية</w:t>
            </w:r>
          </w:p>
        </w:tc>
        <w:tc>
          <w:tcPr>
            <w:tcW w:w="2160" w:type="dxa"/>
            <w:shd w:val="clear" w:color="auto" w:fill="F5FAFF"/>
            <w:tcMar>
              <w:top w:w="72" w:type="dxa"/>
              <w:left w:w="100" w:type="dxa"/>
              <w:bottom w:w="72" w:type="dxa"/>
              <w:right w:w="100" w:type="dxa"/>
            </w:tcMar>
            <w:vAlign w:val="center"/>
          </w:tcPr>
          <w:p w14:paraId="3C17DF99"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ابن فارس، والراغب، وابن منظور، والزمخشري</w:t>
            </w:r>
          </w:p>
        </w:tc>
        <w:tc>
          <w:tcPr>
            <w:tcW w:w="2160" w:type="dxa"/>
            <w:shd w:val="clear" w:color="auto" w:fill="EBF5E0"/>
            <w:tcMar>
              <w:top w:w="72" w:type="dxa"/>
              <w:left w:w="100" w:type="dxa"/>
              <w:bottom w:w="72" w:type="dxa"/>
              <w:right w:w="100" w:type="dxa"/>
            </w:tcMar>
            <w:vAlign w:val="center"/>
          </w:tcPr>
          <w:p w14:paraId="7AE9C014"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التأصيل الجذري، والخصوصية القرآنية، والاتساع، والبلاغة</w:t>
            </w:r>
          </w:p>
        </w:tc>
        <w:tc>
          <w:tcPr>
            <w:tcW w:w="2160" w:type="dxa"/>
            <w:shd w:val="clear" w:color="auto" w:fill="EBF5FB"/>
            <w:tcMar>
              <w:top w:w="72" w:type="dxa"/>
              <w:left w:w="100" w:type="dxa"/>
              <w:bottom w:w="72" w:type="dxa"/>
              <w:right w:w="100" w:type="dxa"/>
            </w:tcMar>
            <w:vAlign w:val="center"/>
          </w:tcPr>
          <w:p w14:paraId="747AB4C0"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لغوي تحكمه قواعد العربية</w:t>
            </w:r>
          </w:p>
        </w:tc>
      </w:tr>
      <w:tr w:rsidR="00B149ED" w:rsidRPr="00A60245" w14:paraId="562D9196" w14:textId="77777777" w:rsidTr="00A011EA">
        <w:tc>
          <w:tcPr>
            <w:tcW w:w="360" w:type="dxa"/>
            <w:shd w:val="clear" w:color="auto" w:fill="FFFFFF"/>
            <w:tcMar>
              <w:top w:w="72" w:type="dxa"/>
              <w:left w:w="100" w:type="dxa"/>
              <w:bottom w:w="72" w:type="dxa"/>
              <w:right w:w="100" w:type="dxa"/>
            </w:tcMar>
            <w:vAlign w:val="center"/>
          </w:tcPr>
          <w:p w14:paraId="02C353CF" w14:textId="77777777" w:rsidR="00B149ED" w:rsidRPr="00A60245" w:rsidRDefault="00B149ED" w:rsidP="00A011EA">
            <w:pPr>
              <w:bidi/>
              <w:spacing w:before="48" w:after="48"/>
              <w:rPr>
                <w:rFonts w:ascii="Sakkal Majalla" w:hAnsi="Sakkal Majalla" w:cs="Sakkal Majalla"/>
                <w:sz w:val="28"/>
                <w:szCs w:val="28"/>
              </w:rPr>
            </w:pPr>
            <w:r>
              <w:rPr>
                <w:rFonts w:ascii="Cambria Math" w:hAnsi="Cambria Math" w:cs="Cambria Math" w:hint="cs"/>
                <w:b/>
                <w:bCs/>
                <w:color w:val="156082"/>
                <w:sz w:val="28"/>
                <w:szCs w:val="28"/>
                <w:rtl/>
              </w:rPr>
              <w:t xml:space="preserve">④</w:t>
            </w:r>
          </w:p>
        </w:tc>
        <w:tc>
          <w:tcPr>
            <w:tcW w:w="1800" w:type="dxa"/>
            <w:shd w:val="clear" w:color="auto" w:fill="FFFFFF"/>
            <w:tcMar>
              <w:top w:w="72" w:type="dxa"/>
              <w:left w:w="100" w:type="dxa"/>
              <w:bottom w:w="72" w:type="dxa"/>
              <w:right w:w="100" w:type="dxa"/>
            </w:tcMar>
            <w:vAlign w:val="center"/>
          </w:tcPr>
          <w:p w14:paraId="1A72CBD2"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 xml:space="preserve">التفسير</w:t>
            </w:r>
          </w:p>
        </w:tc>
        <w:tc>
          <w:tcPr>
            <w:tcW w:w="2160" w:type="dxa"/>
            <w:shd w:val="clear" w:color="auto" w:fill="FFFFFF"/>
            <w:tcMar>
              <w:top w:w="72" w:type="dxa"/>
              <w:left w:w="100" w:type="dxa"/>
              <w:bottom w:w="72" w:type="dxa"/>
              <w:right w:w="100" w:type="dxa"/>
            </w:tcMar>
            <w:vAlign w:val="center"/>
          </w:tcPr>
          <w:p w14:paraId="410203CB"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المدارس الخمس، كلٌّ في موضع تخصصه</w:t>
            </w:r>
          </w:p>
        </w:tc>
        <w:tc>
          <w:tcPr>
            <w:tcW w:w="2160" w:type="dxa"/>
            <w:shd w:val="clear" w:color="auto" w:fill="FFFFFF"/>
            <w:tcMar>
              <w:top w:w="72" w:type="dxa"/>
              <w:left w:w="100" w:type="dxa"/>
              <w:bottom w:w="72" w:type="dxa"/>
              <w:right w:w="100" w:type="dxa"/>
            </w:tcMar>
            <w:vAlign w:val="center"/>
          </w:tcPr>
          <w:p w14:paraId="05585EB0"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الفهم: دلالة الألفاظ في السياق القرآني</w:t>
            </w:r>
          </w:p>
        </w:tc>
        <w:tc>
          <w:tcPr>
            <w:tcW w:w="2160" w:type="dxa"/>
            <w:shd w:val="clear" w:color="auto" w:fill="FFFFFF"/>
            <w:tcMar>
              <w:top w:w="72" w:type="dxa"/>
              <w:left w:w="100" w:type="dxa"/>
              <w:bottom w:w="72" w:type="dxa"/>
              <w:right w:w="100" w:type="dxa"/>
            </w:tcMar>
            <w:vAlign w:val="center"/>
          </w:tcPr>
          <w:p w14:paraId="2A35348B"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اجتهادي متفاوت، ويُصرَّح بالخلاف</w:t>
            </w:r>
          </w:p>
        </w:tc>
      </w:tr>
      <w:tr w:rsidR="00B149ED" w:rsidRPr="00A60245" w14:paraId="5D0AB119" w14:textId="77777777" w:rsidTr="00A011EA">
        <w:tc>
          <w:tcPr>
            <w:tcW w:w="360" w:type="dxa"/>
            <w:shd w:val="clear" w:color="auto" w:fill="EBF5FB"/>
            <w:tcMar>
              <w:top w:w="72" w:type="dxa"/>
              <w:left w:w="100" w:type="dxa"/>
              <w:bottom w:w="72" w:type="dxa"/>
              <w:right w:w="100" w:type="dxa"/>
            </w:tcMar>
            <w:vAlign w:val="center"/>
          </w:tcPr>
          <w:p w14:paraId="2D370035" w14:textId="77777777" w:rsidR="00B149ED" w:rsidRPr="00A60245" w:rsidRDefault="00B149ED" w:rsidP="00A011EA">
            <w:pPr>
              <w:bidi/>
              <w:spacing w:before="48" w:after="48"/>
              <w:rPr>
                <w:rFonts w:ascii="Sakkal Majalla" w:hAnsi="Sakkal Majalla" w:cs="Sakkal Majalla"/>
                <w:sz w:val="28"/>
                <w:szCs w:val="28"/>
              </w:rPr>
            </w:pPr>
            <w:r>
              <w:rPr>
                <w:rFonts w:ascii="Cambria Math" w:hAnsi="Cambria Math" w:cs="Cambria Math" w:hint="cs"/>
                <w:b/>
                <w:bCs/>
                <w:color w:val="156082"/>
                <w:sz w:val="28"/>
                <w:szCs w:val="28"/>
                <w:rtl/>
              </w:rPr>
              <w:t xml:space="preserve">⑤</w:t>
            </w:r>
          </w:p>
        </w:tc>
        <w:tc>
          <w:tcPr>
            <w:tcW w:w="1800" w:type="dxa"/>
            <w:shd w:val="clear" w:color="auto" w:fill="F5F5F5"/>
            <w:tcMar>
              <w:top w:w="72" w:type="dxa"/>
              <w:left w:w="100" w:type="dxa"/>
              <w:bottom w:w="72" w:type="dxa"/>
              <w:right w:w="100" w:type="dxa"/>
            </w:tcMar>
            <w:vAlign w:val="center"/>
          </w:tcPr>
          <w:p w14:paraId="320FCD7E"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 xml:space="preserve">السيرة النبوية</w:t>
            </w:r>
          </w:p>
        </w:tc>
        <w:tc>
          <w:tcPr>
            <w:tcW w:w="2160" w:type="dxa"/>
            <w:shd w:val="clear" w:color="auto" w:fill="F5FAFF"/>
            <w:tcMar>
              <w:top w:w="72" w:type="dxa"/>
              <w:left w:w="100" w:type="dxa"/>
              <w:bottom w:w="72" w:type="dxa"/>
              <w:right w:w="100" w:type="dxa"/>
            </w:tcMar>
            <w:vAlign w:val="center"/>
          </w:tcPr>
          <w:p w14:paraId="234B2541"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أربع مراتب: الصحاح، ثم ابن هشام، ثم محمد الغزالي والغضبان، ثم كتب السياق</w:t>
            </w:r>
          </w:p>
        </w:tc>
        <w:tc>
          <w:tcPr>
            <w:tcW w:w="2160" w:type="dxa"/>
            <w:shd w:val="clear" w:color="auto" w:fill="EBF5E0"/>
            <w:tcMar>
              <w:top w:w="72" w:type="dxa"/>
              <w:left w:w="100" w:type="dxa"/>
              <w:bottom w:w="72" w:type="dxa"/>
              <w:right w:w="100" w:type="dxa"/>
            </w:tcMar>
            <w:vAlign w:val="center"/>
          </w:tcPr>
          <w:p w14:paraId="14E0F739"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التطبيق والتجسيد: واقعة تُثبت ثم تُحلَّل</w:t>
            </w:r>
          </w:p>
        </w:tc>
        <w:tc>
          <w:tcPr>
            <w:tcW w:w="2160" w:type="dxa"/>
            <w:shd w:val="clear" w:color="auto" w:fill="EBF5FB"/>
            <w:tcMar>
              <w:top w:w="72" w:type="dxa"/>
              <w:left w:w="100" w:type="dxa"/>
              <w:bottom w:w="72" w:type="dxa"/>
              <w:right w:w="100" w:type="dxa"/>
            </w:tcMar>
            <w:vAlign w:val="center"/>
          </w:tcPr>
          <w:p w14:paraId="1578F98F"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متفاوت بحسب المرتبة</w:t>
            </w:r>
          </w:p>
        </w:tc>
      </w:tr>
      <w:tr w:rsidR="00B149ED" w:rsidRPr="00A60245" w14:paraId="0ADCD015" w14:textId="77777777" w:rsidTr="00A011EA">
        <w:tc>
          <w:tcPr>
            <w:tcW w:w="360" w:type="dxa"/>
            <w:shd w:val="clear" w:color="auto" w:fill="FFFFFF"/>
            <w:tcMar>
              <w:top w:w="72" w:type="dxa"/>
              <w:left w:w="100" w:type="dxa"/>
              <w:bottom w:w="72" w:type="dxa"/>
              <w:right w:w="100" w:type="dxa"/>
            </w:tcMar>
            <w:vAlign w:val="center"/>
          </w:tcPr>
          <w:p w14:paraId="7E38F73A" w14:textId="77777777" w:rsidR="00B149ED" w:rsidRPr="00A60245" w:rsidRDefault="00B149ED" w:rsidP="00A011EA">
            <w:pPr>
              <w:bidi/>
              <w:spacing w:before="48" w:after="48"/>
              <w:rPr>
                <w:rFonts w:ascii="Sakkal Majalla" w:hAnsi="Sakkal Majalla" w:cs="Sakkal Majalla"/>
                <w:sz w:val="28"/>
                <w:szCs w:val="28"/>
              </w:rPr>
            </w:pPr>
            <w:r>
              <w:rPr>
                <w:rFonts w:ascii="Cambria Math" w:hAnsi="Cambria Math" w:cs="Cambria Math" w:hint="cs"/>
                <w:b/>
                <w:bCs/>
                <w:color w:val="156082"/>
                <w:sz w:val="28"/>
                <w:szCs w:val="28"/>
                <w:rtl/>
              </w:rPr>
              <w:t xml:space="preserve">⑥</w:t>
            </w:r>
          </w:p>
        </w:tc>
        <w:tc>
          <w:tcPr>
            <w:tcW w:w="1800" w:type="dxa"/>
            <w:shd w:val="clear" w:color="auto" w:fill="FFFFFF"/>
            <w:tcMar>
              <w:top w:w="72" w:type="dxa"/>
              <w:left w:w="100" w:type="dxa"/>
              <w:bottom w:w="72" w:type="dxa"/>
              <w:right w:w="100" w:type="dxa"/>
            </w:tcMar>
            <w:vAlign w:val="center"/>
          </w:tcPr>
          <w:p w14:paraId="6A716288"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000000"/>
                <w:sz w:val="28"/>
                <w:szCs w:val="28"/>
                <w:rtl/>
              </w:rPr>
              <w:t xml:space="preserve">المبدأ الإداري</w:t>
            </w:r>
          </w:p>
        </w:tc>
        <w:tc>
          <w:tcPr>
            <w:tcW w:w="2160" w:type="dxa"/>
            <w:shd w:val="clear" w:color="auto" w:fill="FFFFFF"/>
            <w:tcMar>
              <w:top w:w="72" w:type="dxa"/>
              <w:left w:w="100" w:type="dxa"/>
              <w:bottom w:w="72" w:type="dxa"/>
              <w:right w:w="100" w:type="dxa"/>
            </w:tcMar>
            <w:vAlign w:val="center"/>
          </w:tcPr>
          <w:p w14:paraId="1ADDDBFE"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الناتج المشتق من المستويات السابقة</w:t>
            </w:r>
          </w:p>
        </w:tc>
        <w:tc>
          <w:tcPr>
            <w:tcW w:w="2160" w:type="dxa"/>
            <w:shd w:val="clear" w:color="auto" w:fill="FFFFFF"/>
            <w:tcMar>
              <w:top w:w="72" w:type="dxa"/>
              <w:left w:w="100" w:type="dxa"/>
              <w:bottom w:w="72" w:type="dxa"/>
              <w:right w:w="100" w:type="dxa"/>
            </w:tcMar>
            <w:vAlign w:val="center"/>
          </w:tcPr>
          <w:p w14:paraId="4C4D57EB"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المبدأ القابل للاختبار والتطبيق</w:t>
            </w:r>
          </w:p>
        </w:tc>
        <w:tc>
          <w:tcPr>
            <w:tcW w:w="2160" w:type="dxa"/>
            <w:shd w:val="clear" w:color="auto" w:fill="FFFFFF"/>
            <w:tcMar>
              <w:top w:w="72" w:type="dxa"/>
              <w:left w:w="100" w:type="dxa"/>
              <w:bottom w:w="72" w:type="dxa"/>
              <w:right w:w="100" w:type="dxa"/>
            </w:tcMar>
            <w:vAlign w:val="center"/>
          </w:tcPr>
          <w:p w14:paraId="4E32B87F"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اجتهاد بشري يخضع للفرضية الصفرية</w:t>
            </w:r>
          </w:p>
        </w:tc>
      </w:tr>
    </w:tbl>
    <w:p w14:paraId="54277757" w14:textId="77777777" w:rsidR="00B149ED" w:rsidRPr="00A60245" w:rsidRDefault="00B149ED" w:rsidP="00B149ED">
      <w:pPr>
        <w:bidi/>
        <w:spacing w:after="55"/>
        <w:rPr>
          <w:rFonts w:ascii="Sakkal Majalla" w:hAnsi="Sakkal Majalla" w:cs="Sakkal Majalla"/>
          <w:sz w:val="28"/>
          <w:szCs w:val="28"/>
        </w:rPr>
      </w:pPr>
      <w:r>
        <w:rPr>
          <w:rFonts w:ascii="Sakkal Majalla" w:hAnsi="Sakkal Majalla" w:cs="Sakkal Majalla"/>
          <w:i/>
          <w:iCs/>
          <w:color w:val="595959"/>
          <w:sz w:val="28"/>
          <w:szCs w:val="28"/>
          <w:rtl/>
        </w:rPr>
        <w:t xml:space="preserve">جدول 4.6 — الهرم كاملًا في نظرة واحدة: ستة مستويات بمصادرها ووظائفها ودرجة اليقين في كل منها.</w:t>
      </w:r>
    </w:p>
    <w:p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ولا ينبغي أن يُفهم الهرم خطًّا واحدًا يضع كل مصدر أعلى أو أدنى من غيره في كل الوظائف. فالمصدر قد يكون أعلى من غيره قطعيةً، لكنه لا يقدّم وحده التفصيل الإجرائي الذي يحتاجه القرار الإداري. وقد يكون مصدر آخر أدنى رتبة في السلطة النصية، لكنه مهم لفهم السياق التاريخي أو المقارنة المؤسسية. ولهذا ينظر الكتاب إلى المصادر من أربعة محاور متكاملة: درجة الثبوت، والقرب من النص، والوظيفة التفسيرية، وقابلية الاستعمال في بناء النموذج. وتقديم اللغة على التفسير في الجدول ترتيب استعمال، يوافق خطوات بروتوكول القراءة (الفصل السادس)، لا حكمًا بأن المعجم أعلى سلطة من المفسّر.</w:t>
      </w:r>
    </w:p>
    <w:p w14:paraId="091A29EA"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ويجمع هذا الجدول ما تفرّق في أقسام الفصل، وتظهر فيه درجة اليقين معلنة لكل مستوى، فلا يعطي المصادر كلها وزنًا واحدًا، ولا يوهم بيقين غير موجود في المستويات الاجتهادية.</w:t>
      </w:r>
    </w:p>
    <w:p w14:paraId="4BC6994C" w14:textId="77777777" w:rsidR="00B149ED" w:rsidRPr="00A60245" w:rsidRDefault="00B149ED" w:rsidP="00B149ED">
      <w:pPr>
        <w:bidi/>
        <w:spacing w:after="55"/>
        <w:rPr>
          <w:rFonts w:ascii="Sakkal Majalla" w:hAnsi="Sakkal Majalla" w:cs="Sakkal Majalla"/>
          <w:sz w:val="28"/>
          <w:szCs w:val="28"/>
        </w:rPr>
      </w:pPr>
    </w:p>
    <w:p w14:paraId="1CF3E7A8"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p w14:paraId="540AD2D9" w14:textId="77777777" w:rsidR="00B149ED" w:rsidRPr="00A60245" w:rsidRDefault="00B149ED" w:rsidP="00B149ED">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 xml:space="preserve">4.9  أربعة اعتراضات على هرم المصادر</w:t>
      </w:r>
    </w:p>
    <w:p w14:paraId="3E47BF3A" w14:textId="77777777" w:rsidR="00B149ED" w:rsidRPr="00A60245" w:rsidRDefault="00B149ED" w:rsidP="00B149ED">
      <w:pPr>
        <w:bidi/>
        <w:spacing w:before="70" w:after="38"/>
        <w:rPr>
          <w:rFonts w:ascii="Sakkal Majalla" w:hAnsi="Sakkal Majalla" w:cs="Sakkal Majalla"/>
          <w:sz w:val="28"/>
          <w:szCs w:val="28"/>
        </w:rPr>
      </w:pPr>
      <w:r>
        <w:rPr>
          <w:rFonts w:ascii="Sakkal Majalla" w:hAnsi="Sakkal Majalla" w:cs="Sakkal Majalla"/>
          <w:b/>
          <w:bCs/>
          <w:color w:val="C55A11"/>
          <w:sz w:val="28"/>
          <w:szCs w:val="28"/>
          <w:rtl/>
        </w:rPr>
        <w:t xml:space="preserve">الاعتراض الأول: أليس اختيار «خمس مدارس» تعسفيًا؟</w:t>
      </w:r>
    </w:p>
    <w:p w14:paraId="617FD93A"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لماذا خمس لا ثلاث أو سبع؟ العدد ليس مقدّسًا، بل هو نتيجة تطبيق معايير الاختيار الأربعة على تاريخ التفسير. ولا أدّعي أن «خمسة» رقم سحري، بل أن هذه الخمس تمثّل الأطياف المنهجية الرئيسية حين تُطبَّق المعايير بصرامة.</w:t>
      </w:r>
    </w:p>
    <w:p w14:paraId="00BD7904" w14:textId="77777777" w:rsidR="00B149ED" w:rsidRPr="00A60245" w:rsidRDefault="00B149ED" w:rsidP="00B149ED">
      <w:pPr>
        <w:bidi/>
        <w:spacing w:before="70" w:after="38"/>
        <w:rPr>
          <w:rFonts w:ascii="Sakkal Majalla" w:hAnsi="Sakkal Majalla" w:cs="Sakkal Majalla"/>
          <w:sz w:val="28"/>
          <w:szCs w:val="28"/>
        </w:rPr>
      </w:pPr>
      <w:r w:rsidRPr="00A60245">
        <w:rPr>
          <w:rFonts w:ascii="Sakkal Majalla" w:hAnsi="Sakkal Majalla" w:cs="Sakkal Majalla"/>
          <w:b/>
          <w:bCs/>
          <w:color w:val="C55A11"/>
          <w:sz w:val="28"/>
          <w:szCs w:val="28"/>
          <w:rtl/>
        </w:rPr>
        <w:t>الاعتراض الثاني: عدم اتساق التعامل مع الطباطبائي</w:t>
      </w:r>
    </w:p>
    <w:p w14:paraId="7FD833FD"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لماذا يُستفاد من الطباطبائي بضوابط (4.4)، بينما لا تُذكر مصادر معتزلية أو إباضية أو صوفية بالتفصيل نفسه؟ والجواب الصادق: هذا انتقاء واقعي لا مبدئي؛ فالميزان مصدر معاصر واسع التداول أكاديميًا. ولا يعني ذلك إغلاق الباب أمام مصادر أخرى، وأعدّ هذا قصورًا ينبغي تطويره، لا موقفًا نهائيًا.</w:t>
      </w:r>
    </w:p>
    <w:p w14:paraId="244F7131" w14:textId="77777777" w:rsidR="00B149ED" w:rsidRPr="00A60245" w:rsidRDefault="00B149ED" w:rsidP="00B149ED">
      <w:pPr>
        <w:bidi/>
        <w:spacing w:before="70" w:after="38"/>
        <w:rPr>
          <w:rFonts w:ascii="Sakkal Majalla" w:hAnsi="Sakkal Majalla" w:cs="Sakkal Majalla"/>
          <w:sz w:val="28"/>
          <w:szCs w:val="28"/>
        </w:rPr>
      </w:pPr>
      <w:r>
        <w:rPr>
          <w:rFonts w:ascii="Sakkal Majalla" w:hAnsi="Sakkal Majalla" w:cs="Sakkal Majalla"/>
          <w:b/>
          <w:bCs/>
          <w:color w:val="C55A11"/>
          <w:sz w:val="28"/>
          <w:szCs w:val="28"/>
          <w:rtl/>
        </w:rPr>
        <w:t xml:space="preserve">الاعتراض الثالث: هل يمكن الدفاع فلسفيًا عن السلطة اليقينية للقرآن أمام غير المسلم؟</w:t>
      </w:r>
    </w:p>
    <w:p w14:paraId="16B6229F"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لا يدّعي هذا الكتاب إثبات صحة القرآن فلسفيًا لغير المسلم، بل يعلن هذه المسلّمة ويبني عليها. ويستطيع القارئ غير المسلم أن يقيّم الفصل بمعيار الاتساق الداخلي (Coherentist Evaluation)، لا بمعيار إثبات المسلّمة نفسها، كما بيّن الفصل الثالث (3.1).</w:t>
      </w:r>
    </w:p>
    <w:p w14:paraId="645ADB9E" w14:textId="77777777" w:rsidR="00B149ED" w:rsidRPr="00A60245" w:rsidRDefault="00B149ED" w:rsidP="00B149ED">
      <w:pPr>
        <w:bidi/>
        <w:spacing w:before="70" w:after="38"/>
        <w:rPr>
          <w:rFonts w:ascii="Sakkal Majalla" w:hAnsi="Sakkal Majalla" w:cs="Sakkal Majalla"/>
          <w:sz w:val="28"/>
          <w:szCs w:val="28"/>
        </w:rPr>
      </w:pPr>
      <w:r>
        <w:rPr>
          <w:rFonts w:ascii="Sakkal Majalla" w:hAnsi="Sakkal Majalla" w:cs="Sakkal Majalla"/>
          <w:b/>
          <w:bCs/>
          <w:color w:val="C55A11"/>
          <w:sz w:val="28"/>
          <w:szCs w:val="28"/>
          <w:rtl/>
        </w:rPr>
        <w:t xml:space="preserve">الاعتراض الرابع، وهو الأعمق: الانتقائية في اختيار وقائع السيرة</w:t>
      </w:r>
    </w:p>
    <w:p w14:paraId="0CA81C89"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حتى لو التزم الباحث بتراتبية الثبوت التزامًا تامًا، يبقى اختيار الوقائع التي يبرزها من السيرة فعلًا انتقائيًا بطبيعته. ولا يمكن دفع هذا الاعتراض كليًا، فهو وجه آخر لمشكلة «التحميل النظري للملاحظة» (Hanson 1958). ويمكن التخفيف منه بإجراء واحد: الإفصاح عن معيار الاختيار قبل عرض المثال. وأقرّ بهذا القصور صراحة.</w:t>
      </w:r>
    </w:p>
    <w:p w14:paraId="285B68F8" w14:textId="77777777" w:rsidR="00B149ED" w:rsidRPr="00A60245" w:rsidRDefault="00B149ED" w:rsidP="00B149ED">
      <w:pPr>
        <w:bidi/>
        <w:spacing w:after="55"/>
        <w:rPr>
          <w:rFonts w:ascii="Sakkal Majalla" w:hAnsi="Sakkal Majalla" w:cs="Sakkal Majalla"/>
          <w:sz w:val="28"/>
          <w:szCs w:val="28"/>
        </w:rPr>
      </w:pPr>
    </w:p>
    <w:p w14:paraId="55D6CA95"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p w14:paraId="2C26A3D3" w14:textId="77777777" w:rsidR="00B149ED" w:rsidRPr="00A60245" w:rsidRDefault="00B149ED" w:rsidP="00B149ED">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وتحدد هذه الاعتراضات الأربعة حجم الادعاء المشروع لهرم المصادر: أداة منهجية مبنية على معايير معلنة يستطيع غيري تطبيقها، مع إقرار صريح بمواضع القصور، وتمييز بين ما يمكن إثباته فلسفيًا لمن هو خارج المنظومة وما يُبنى عليه داخلها.</w:t>
      </w:r>
    </w:p>
    <w:p w14:paraId="7A2F00C3" w14:textId="77777777" w:rsidR="00B149ED" w:rsidRPr="00A60245" w:rsidRDefault="00B149ED" w:rsidP="00B149ED">
      <w:pPr>
        <w:pBdr>
          <w:bottom w:val="single" w:sz="6" w:space="0" w:color="D6E4F0"/>
        </w:pBdr>
        <w:bidi/>
        <w:spacing w:before="20" w:after="65"/>
        <w:rPr>
          <w:rFonts w:ascii="Sakkal Majalla" w:hAnsi="Sakkal Majalla" w:cs="Sakkal Majalla"/>
          <w:sz w:val="28"/>
          <w:szCs w:val="28"/>
        </w:rPr>
      </w:pPr>
    </w:p>
    <w:p w14:paraId="24CA9EF7" w14:textId="77777777" w:rsidR="00B149ED" w:rsidRPr="00A60245" w:rsidRDefault="00B149ED" w:rsidP="00B149ED">
      <w:pPr>
        <w:bidi/>
        <w:spacing w:after="55"/>
        <w:rPr>
          <w:rFonts w:ascii="Sakkal Majalla" w:hAnsi="Sakkal Majalla" w:cs="Sakkal Majalla"/>
          <w:sz w:val="28"/>
          <w:szCs w:val="28"/>
        </w:rPr>
      </w:pPr>
    </w:p>
    <w:p w14:paraId="0C4127B3" w14:textId="77777777" w:rsidR="00B149ED" w:rsidRPr="00A60245" w:rsidRDefault="00B149ED" w:rsidP="00B149ED">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هرم المصادر في جمل: مستوىً مستوى</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7200"/>
      </w:tblGrid>
      <w:tr w:rsidR="00B149ED" w:rsidRPr="00A60245" w14:paraId="4EAF1206" w14:textId="77777777" w:rsidTr="00A011EA">
        <w:tc>
          <w:tcPr>
            <w:tcW w:w="1440" w:type="dxa"/>
            <w:shd w:val="clear" w:color="auto" w:fill="156082"/>
            <w:tcMar>
              <w:top w:w="72" w:type="dxa"/>
              <w:left w:w="100" w:type="dxa"/>
              <w:bottom w:w="72" w:type="dxa"/>
              <w:right w:w="100" w:type="dxa"/>
            </w:tcMar>
            <w:vAlign w:val="center"/>
          </w:tcPr>
          <w:p w14:paraId="3A9CB9D2"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المستوى</w:t>
            </w:r>
          </w:p>
        </w:tc>
        <w:tc>
          <w:tcPr>
            <w:tcW w:w="7200" w:type="dxa"/>
            <w:shd w:val="clear" w:color="auto" w:fill="156082"/>
            <w:tcMar>
              <w:top w:w="72" w:type="dxa"/>
              <w:left w:w="100" w:type="dxa"/>
              <w:bottom w:w="72" w:type="dxa"/>
              <w:right w:w="100" w:type="dxa"/>
            </w:tcMar>
            <w:vAlign w:val="center"/>
          </w:tcPr>
          <w:p w14:paraId="2991852F"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جملة التمييز المركزية</w:t>
            </w:r>
          </w:p>
        </w:tc>
      </w:tr>
      <w:tr w:rsidR="00B149ED" w:rsidRPr="00A60245" w14:paraId="7DCC080B" w14:textId="77777777" w:rsidTr="00A011EA">
        <w:tc>
          <w:tcPr>
            <w:tcW w:w="1440" w:type="dxa"/>
            <w:shd w:val="clear" w:color="auto" w:fill="EBF5FB"/>
            <w:tcMar>
              <w:top w:w="72" w:type="dxa"/>
              <w:left w:w="100" w:type="dxa"/>
              <w:bottom w:w="72" w:type="dxa"/>
              <w:right w:w="100" w:type="dxa"/>
            </w:tcMar>
            <w:vAlign w:val="center"/>
          </w:tcPr>
          <w:p w14:paraId="2D5341A1"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156082"/>
                <w:sz w:val="28"/>
                <w:szCs w:val="28"/>
                <w:rtl/>
              </w:rPr>
              <w:t xml:space="preserve">القرآن</w:t>
            </w:r>
          </w:p>
        </w:tc>
        <w:tc>
          <w:tcPr>
            <w:tcW w:w="7200" w:type="dxa"/>
            <w:shd w:val="clear" w:color="auto" w:fill="F5FAFF"/>
            <w:tcMar>
              <w:top w:w="72" w:type="dxa"/>
              <w:left w:w="100" w:type="dxa"/>
              <w:bottom w:w="72" w:type="dxa"/>
              <w:right w:w="100" w:type="dxa"/>
            </w:tcMar>
            <w:vAlign w:val="center"/>
          </w:tcPr>
          <w:p w14:paraId="6E0981F8"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السلطة المعرفية المطلقة، خارج فئة الشهادة البشرية القابلة للخطأ، وكل مستوى آخر يُرتَّب بالنسبة إليه.</w:t>
            </w:r>
          </w:p>
        </w:tc>
      </w:tr>
      <w:tr w:rsidR="00B149ED" w:rsidRPr="00A60245" w14:paraId="53C52BDF" w14:textId="77777777" w:rsidTr="00A011EA">
        <w:tc>
          <w:tcPr>
            <w:tcW w:w="1440" w:type="dxa"/>
            <w:shd w:val="clear" w:color="auto" w:fill="FFFFFF"/>
            <w:tcMar>
              <w:top w:w="72" w:type="dxa"/>
              <w:left w:w="100" w:type="dxa"/>
              <w:bottom w:w="72" w:type="dxa"/>
              <w:right w:w="100" w:type="dxa"/>
            </w:tcMar>
            <w:vAlign w:val="center"/>
          </w:tcPr>
          <w:p w14:paraId="175D7F11"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156082"/>
                <w:sz w:val="28"/>
                <w:szCs w:val="28"/>
                <w:rtl/>
              </w:rPr>
              <w:t xml:space="preserve">السنة</w:t>
            </w:r>
          </w:p>
        </w:tc>
        <w:tc>
          <w:tcPr>
            <w:tcW w:w="7200" w:type="dxa"/>
            <w:shd w:val="clear" w:color="auto" w:fill="FFFFFF"/>
            <w:tcMar>
              <w:top w:w="72" w:type="dxa"/>
              <w:left w:w="100" w:type="dxa"/>
              <w:bottom w:w="72" w:type="dxa"/>
              <w:right w:w="100" w:type="dxa"/>
            </w:tcMar>
            <w:vAlign w:val="center"/>
          </w:tcPr>
          <w:p w14:paraId="78E06665"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تبيّن ما أُجمل ولا تنشئ مستقلة؛ بيان تأكيدي وتفسيري، بتشدد فوق ما تشترطه الأصول.</w:t>
            </w:r>
          </w:p>
        </w:tc>
      </w:tr>
      <w:tr w:rsidR="00B149ED" w:rsidRPr="00A60245" w14:paraId="33001A7D" w14:textId="77777777" w:rsidTr="00A011EA">
        <w:tc>
          <w:tcPr>
            <w:tcW w:w="1440" w:type="dxa"/>
            <w:shd w:val="clear" w:color="auto" w:fill="EBF5FB"/>
            <w:tcMar>
              <w:top w:w="72" w:type="dxa"/>
              <w:left w:w="100" w:type="dxa"/>
              <w:bottom w:w="72" w:type="dxa"/>
              <w:right w:w="100" w:type="dxa"/>
            </w:tcMar>
            <w:vAlign w:val="center"/>
          </w:tcPr>
          <w:p w14:paraId="4E30FB87"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156082"/>
                <w:sz w:val="28"/>
                <w:szCs w:val="28"/>
                <w:rtl/>
              </w:rPr>
              <w:t xml:space="preserve">اللغة (الأربعة)</w:t>
            </w:r>
          </w:p>
        </w:tc>
        <w:tc>
          <w:tcPr>
            <w:tcW w:w="7200" w:type="dxa"/>
            <w:shd w:val="clear" w:color="auto" w:fill="F5FAFF"/>
            <w:tcMar>
              <w:top w:w="72" w:type="dxa"/>
              <w:left w:w="100" w:type="dxa"/>
              <w:bottom w:w="72" w:type="dxa"/>
              <w:right w:w="100" w:type="dxa"/>
            </w:tcMar>
            <w:vAlign w:val="center"/>
          </w:tcPr>
          <w:p w14:paraId="482E4B00"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لكل معجم سؤاله: ابن فارس للجذر، والراغب للقرآنية، وابن منظور للاتساع، والزمخشري للبلاغة.</w:t>
            </w:r>
          </w:p>
        </w:tc>
      </w:tr>
      <w:tr w:rsidR="00B149ED" w:rsidRPr="00A60245" w14:paraId="3E599443" w14:textId="77777777" w:rsidTr="00A011EA">
        <w:tc>
          <w:tcPr>
            <w:tcW w:w="1440" w:type="dxa"/>
            <w:shd w:val="clear" w:color="auto" w:fill="FFFFFF"/>
            <w:tcMar>
              <w:top w:w="72" w:type="dxa"/>
              <w:left w:w="100" w:type="dxa"/>
              <w:bottom w:w="72" w:type="dxa"/>
              <w:right w:w="100" w:type="dxa"/>
            </w:tcMar>
            <w:vAlign w:val="center"/>
          </w:tcPr>
          <w:p w14:paraId="2604FEEF"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156082"/>
                <w:sz w:val="28"/>
                <w:szCs w:val="28"/>
                <w:rtl/>
              </w:rPr>
              <w:t xml:space="preserve">التفسير (الخمس)</w:t>
            </w:r>
          </w:p>
        </w:tc>
        <w:tc>
          <w:tcPr>
            <w:tcW w:w="7200" w:type="dxa"/>
            <w:shd w:val="clear" w:color="auto" w:fill="FFFFFF"/>
            <w:tcMar>
              <w:top w:w="72" w:type="dxa"/>
              <w:left w:w="100" w:type="dxa"/>
              <w:bottom w:w="72" w:type="dxa"/>
              <w:right w:w="100" w:type="dxa"/>
            </w:tcMar>
            <w:vAlign w:val="center"/>
          </w:tcPr>
          <w:p w14:paraId="28B4E247"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لكل مدرسة سلطة مشتقة في موضع تخصصها؛ فلا سلطة واحدة تغطي كل الأسئلة، ولا تساوي في الوزن.</w:t>
            </w:r>
          </w:p>
        </w:tc>
      </w:tr>
      <w:tr w:rsidR="00B149ED" w:rsidRPr="00A60245" w14:paraId="0A7FA8A5" w14:textId="77777777" w:rsidTr="00A011EA">
        <w:tc>
          <w:tcPr>
            <w:tcW w:w="1440" w:type="dxa"/>
            <w:shd w:val="clear" w:color="auto" w:fill="EBF5FB"/>
            <w:tcMar>
              <w:top w:w="72" w:type="dxa"/>
              <w:left w:w="100" w:type="dxa"/>
              <w:bottom w:w="72" w:type="dxa"/>
              <w:right w:w="100" w:type="dxa"/>
            </w:tcMar>
            <w:vAlign w:val="center"/>
          </w:tcPr>
          <w:p w14:paraId="0D999959"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156082"/>
                <w:sz w:val="28"/>
                <w:szCs w:val="28"/>
                <w:rtl/>
              </w:rPr>
              <w:t xml:space="preserve">السيرة (الأربع)</w:t>
            </w:r>
          </w:p>
        </w:tc>
        <w:tc>
          <w:tcPr>
            <w:tcW w:w="7200" w:type="dxa"/>
            <w:shd w:val="clear" w:color="auto" w:fill="F5FAFF"/>
            <w:tcMar>
              <w:top w:w="72" w:type="dxa"/>
              <w:left w:w="100" w:type="dxa"/>
              <w:bottom w:w="72" w:type="dxa"/>
              <w:right w:w="100" w:type="dxa"/>
            </w:tcMar>
            <w:vAlign w:val="center"/>
          </w:tcPr>
          <w:p w14:paraId="589C97FD"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الثبوت التاريخي قبل التحليل؛ فلا يُستشهد بواقعة إداريًا قبل إثباتها بالمرتبة الأولى.</w:t>
            </w:r>
          </w:p>
        </w:tc>
      </w:tr>
      <w:tr w:rsidR="00B149ED" w:rsidRPr="00A60245" w14:paraId="4A4AB01D" w14:textId="77777777" w:rsidTr="00A011EA">
        <w:tc>
          <w:tcPr>
            <w:tcW w:w="1440" w:type="dxa"/>
            <w:shd w:val="clear" w:color="auto" w:fill="FFFFFF"/>
            <w:tcMar>
              <w:top w:w="72" w:type="dxa"/>
              <w:left w:w="100" w:type="dxa"/>
              <w:bottom w:w="72" w:type="dxa"/>
              <w:right w:w="100" w:type="dxa"/>
            </w:tcMar>
            <w:vAlign w:val="center"/>
          </w:tcPr>
          <w:p w14:paraId="5E756C59"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156082"/>
                <w:sz w:val="28"/>
                <w:szCs w:val="28"/>
                <w:rtl/>
              </w:rPr>
              <w:t xml:space="preserve">المبدأ الإداري</w:t>
            </w:r>
          </w:p>
        </w:tc>
        <w:tc>
          <w:tcPr>
            <w:tcW w:w="7200" w:type="dxa"/>
            <w:shd w:val="clear" w:color="auto" w:fill="FFFFFF"/>
            <w:tcMar>
              <w:top w:w="72" w:type="dxa"/>
              <w:left w:w="100" w:type="dxa"/>
              <w:bottom w:w="72" w:type="dxa"/>
              <w:right w:w="100" w:type="dxa"/>
            </w:tcMar>
            <w:vAlign w:val="center"/>
          </w:tcPr>
          <w:p w14:paraId="59CA8B31"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اجتهاد بشري يخضع للفرضية الصفرية، يقبل التصحيح والمراجعة، ولا يحمل قداسة ما فوقه.</w:t>
            </w:r>
          </w:p>
        </w:tc>
      </w:tr>
    </w:tbl>
    <w:p w14:paraId="2E533628" w14:textId="77777777" w:rsidR="00B149ED" w:rsidRPr="00A60245" w:rsidRDefault="00B149ED" w:rsidP="00B149ED">
      <w:pPr>
        <w:bidi/>
        <w:spacing w:after="55"/>
        <w:rPr>
          <w:rFonts w:ascii="Sakkal Majalla" w:hAnsi="Sakkal Majalla" w:cs="Sakkal Majalla"/>
          <w:sz w:val="28"/>
          <w:szCs w:val="28"/>
        </w:rPr>
      </w:pPr>
    </w:p>
    <w:p w14:paraId="783D331F" w14:textId="77777777" w:rsidR="00B149ED" w:rsidRPr="00A60245" w:rsidRDefault="00B149ED" w:rsidP="00B149ED">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 xml:space="preserve">4.10  حدود الادعاء: ما يثبته هذا الفصل وما لا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B149ED" w:rsidRPr="00A60245" w14:paraId="077710AC" w14:textId="77777777" w:rsidTr="00A011EA">
        <w:tc>
          <w:tcPr>
            <w:tcW w:w="4320" w:type="dxa"/>
            <w:shd w:val="clear" w:color="auto" w:fill="375623"/>
            <w:tcMar>
              <w:top w:w="72" w:type="dxa"/>
              <w:left w:w="100" w:type="dxa"/>
              <w:bottom w:w="72" w:type="dxa"/>
              <w:right w:w="100" w:type="dxa"/>
            </w:tcMar>
            <w:vAlign w:val="center"/>
          </w:tcPr>
          <w:p w14:paraId="5EDF16E2"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ما يُثبته هذا الفصل</w:t>
            </w:r>
          </w:p>
        </w:tc>
        <w:tc>
          <w:tcPr>
            <w:tcW w:w="4320" w:type="dxa"/>
            <w:shd w:val="clear" w:color="auto" w:fill="C00000"/>
            <w:tcMar>
              <w:top w:w="72" w:type="dxa"/>
              <w:left w:w="100" w:type="dxa"/>
              <w:bottom w:w="72" w:type="dxa"/>
              <w:right w:w="100" w:type="dxa"/>
            </w:tcMar>
            <w:vAlign w:val="center"/>
          </w:tcPr>
          <w:p w14:paraId="2F7DC839" w14:textId="77777777" w:rsidR="00B149ED" w:rsidRPr="00A60245" w:rsidRDefault="00B149ED" w:rsidP="00A011EA">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ما لا يُثبته هذا الفصل</w:t>
            </w:r>
          </w:p>
        </w:tc>
      </w:tr>
      <w:tr w:rsidR="00B149ED" w:rsidRPr="00A60245" w14:paraId="1A17157D" w14:textId="77777777" w:rsidTr="00A011EA">
        <w:tc>
          <w:tcPr>
            <w:tcW w:w="4320" w:type="dxa"/>
            <w:shd w:val="clear" w:color="auto" w:fill="EBF5E0"/>
            <w:tcMar>
              <w:top w:w="72" w:type="dxa"/>
              <w:left w:w="100" w:type="dxa"/>
              <w:bottom w:w="72" w:type="dxa"/>
              <w:right w:w="100" w:type="dxa"/>
            </w:tcMar>
            <w:vAlign w:val="center"/>
          </w:tcPr>
          <w:p w14:paraId="7DC7416A"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هرم المصادر مبني على نظرية فلسفية معاصرة (السلطة المعرفية)، لا على تفضيل تعسفي.</w:t>
            </w:r>
          </w:p>
        </w:tc>
        <w:tc>
          <w:tcPr>
            <w:tcW w:w="4320" w:type="dxa"/>
            <w:shd w:val="clear" w:color="auto" w:fill="FFF0F0"/>
            <w:tcMar>
              <w:top w:w="72" w:type="dxa"/>
              <w:left w:w="100" w:type="dxa"/>
              <w:bottom w:w="72" w:type="dxa"/>
              <w:right w:w="100" w:type="dxa"/>
            </w:tcMar>
            <w:vAlign w:val="center"/>
          </w:tcPr>
          <w:p w14:paraId="602582C8"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لا يثبت أن اختيار المدارس الخمس هو الوحيد الممكن، بل الأنسب وفق المعايير المعلنة.</w:t>
            </w:r>
          </w:p>
        </w:tc>
      </w:tr>
      <w:tr w:rsidR="00B149ED" w:rsidRPr="00A60245" w14:paraId="26D64A6B" w14:textId="77777777" w:rsidTr="00A011EA">
        <w:tc>
          <w:tcPr>
            <w:tcW w:w="4320" w:type="dxa"/>
            <w:shd w:val="clear" w:color="auto" w:fill="FFFFFF"/>
            <w:tcMar>
              <w:top w:w="72" w:type="dxa"/>
              <w:left w:w="100" w:type="dxa"/>
              <w:bottom w:w="72" w:type="dxa"/>
              <w:right w:w="100" w:type="dxa"/>
            </w:tcMar>
            <w:vAlign w:val="center"/>
          </w:tcPr>
          <w:p w14:paraId="02A0264B"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لكون السنة بيانًا لا منشأً تأصيل أصولي صريح من الشافعي وابن القيم.</w:t>
            </w:r>
          </w:p>
        </w:tc>
        <w:tc>
          <w:tcPr>
            <w:tcW w:w="4320" w:type="dxa"/>
            <w:shd w:val="clear" w:color="auto" w:fill="FFFFFF"/>
            <w:tcMar>
              <w:top w:w="72" w:type="dxa"/>
              <w:left w:w="100" w:type="dxa"/>
              <w:bottom w:w="72" w:type="dxa"/>
              <w:right w:w="100" w:type="dxa"/>
            </w:tcMar>
            <w:vAlign w:val="center"/>
          </w:tcPr>
          <w:p w14:paraId="54E9C278"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لا يثبت شمولًا كاملًا للمذاهب غير السنية، وهذا قصور معلن لا مخفي.</w:t>
            </w:r>
          </w:p>
        </w:tc>
      </w:tr>
      <w:tr w:rsidR="00B149ED" w:rsidRPr="00A60245" w14:paraId="14607F9F" w14:textId="77777777" w:rsidTr="00A011EA">
        <w:tc>
          <w:tcPr>
            <w:tcW w:w="4320" w:type="dxa"/>
            <w:shd w:val="clear" w:color="auto" w:fill="EBF5E0"/>
            <w:tcMar>
              <w:top w:w="72" w:type="dxa"/>
              <w:left w:w="100" w:type="dxa"/>
              <w:bottom w:w="72" w:type="dxa"/>
              <w:right w:w="100" w:type="dxa"/>
            </w:tcMar>
            <w:vAlign w:val="center"/>
          </w:tcPr>
          <w:p w14:paraId="05F1A6AB"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المدارس الخمس مختارة بمعايير صريحة، ولكلٍّ منها نقاط قوة وحدود معلنة.</w:t>
            </w:r>
          </w:p>
        </w:tc>
        <w:tc>
          <w:tcPr>
            <w:tcW w:w="4320" w:type="dxa"/>
            <w:shd w:val="clear" w:color="auto" w:fill="FFF0F0"/>
            <w:tcMar>
              <w:top w:w="72" w:type="dxa"/>
              <w:left w:w="100" w:type="dxa"/>
              <w:bottom w:w="72" w:type="dxa"/>
              <w:right w:w="100" w:type="dxa"/>
            </w:tcMar>
            <w:vAlign w:val="center"/>
          </w:tcPr>
          <w:p w14:paraId="22939FA7"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لا يثبت صحة المسلّمة القرآنية فلسفيًا لغير المسلم، بل يعلنها ويبني عليها.</w:t>
            </w:r>
          </w:p>
        </w:tc>
      </w:tr>
      <w:tr w:rsidR="00B149ED" w:rsidRPr="00A60245" w14:paraId="6C29EC03" w14:textId="77777777" w:rsidTr="00A011EA">
        <w:tc>
          <w:tcPr>
            <w:tcW w:w="4320" w:type="dxa"/>
            <w:shd w:val="clear" w:color="auto" w:fill="FFFFFF"/>
            <w:tcMar>
              <w:top w:w="72" w:type="dxa"/>
              <w:left w:w="100" w:type="dxa"/>
              <w:bottom w:w="72" w:type="dxa"/>
              <w:right w:w="100" w:type="dxa"/>
            </w:tcMar>
            <w:vAlign w:val="center"/>
          </w:tcPr>
          <w:p w14:paraId="550CA1D8"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مصادر السيرة مرتّبة بمعيار الثبوت التاريخي لا الشهرة الأدبية.</w:t>
            </w:r>
          </w:p>
        </w:tc>
        <w:tc>
          <w:tcPr>
            <w:tcW w:w="4320" w:type="dxa"/>
            <w:shd w:val="clear" w:color="auto" w:fill="FFFFFF"/>
            <w:tcMar>
              <w:top w:w="72" w:type="dxa"/>
              <w:left w:w="100" w:type="dxa"/>
              <w:bottom w:w="72" w:type="dxa"/>
              <w:right w:w="100" w:type="dxa"/>
            </w:tcMar>
            <w:vAlign w:val="center"/>
          </w:tcPr>
          <w:p w14:paraId="60A9C651"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لا يحل مشكلة الانتقائية في اختيار وقائع السيرة كليًا، ويكتفي بإجراء يخفّفها.</w:t>
            </w:r>
          </w:p>
        </w:tc>
      </w:tr>
      <w:tr w:rsidR="00B149ED" w:rsidRPr="00A60245" w14:paraId="6CD315F4" w14:textId="77777777" w:rsidTr="00A011EA">
        <w:tc>
          <w:tcPr>
            <w:tcW w:w="4320" w:type="dxa"/>
            <w:shd w:val="clear" w:color="auto" w:fill="EBF5E0"/>
            <w:tcMar>
              <w:top w:w="72" w:type="dxa"/>
              <w:left w:w="100" w:type="dxa"/>
              <w:bottom w:w="72" w:type="dxa"/>
              <w:right w:w="100" w:type="dxa"/>
            </w:tcMar>
            <w:vAlign w:val="center"/>
          </w:tcPr>
          <w:p w14:paraId="1F502016"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فيما دون القرآن، يتقاطع هرم المصادر مع نظريات الشهادة والخبرة في الإبستيمولوجيا المعاصرة.</w:t>
            </w:r>
          </w:p>
        </w:tc>
        <w:tc>
          <w:tcPr>
            <w:tcW w:w="4320" w:type="dxa"/>
            <w:shd w:val="clear" w:color="auto" w:fill="FFF0F0"/>
            <w:tcMar>
              <w:top w:w="72" w:type="dxa"/>
              <w:left w:w="100" w:type="dxa"/>
              <w:bottom w:w="72" w:type="dxa"/>
              <w:right w:w="100" w:type="dxa"/>
            </w:tcMar>
            <w:vAlign w:val="center"/>
          </w:tcPr>
          <w:p w14:paraId="5FEB9C2B"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لا يثبت أن هذا التقاطع يمنح الهرم صحة مستقلة؛ فهو قرينة على معقوليته لا برهان عليها.</w:t>
            </w:r>
          </w:p>
        </w:tc>
      </w:tr>
    </w:tbl>
    <w:p w14:paraId="78FE26E6" w14:textId="77777777" w:rsidR="00B149ED" w:rsidRPr="00A60245" w:rsidRDefault="00B149ED" w:rsidP="00B149ED">
      <w:pPr>
        <w:bidi/>
        <w:spacing w:after="55"/>
        <w:rPr>
          <w:rFonts w:ascii="Sakkal Majalla" w:hAnsi="Sakkal Majalla" w:cs="Sakkal Majalla"/>
          <w:sz w:val="28"/>
          <w:szCs w:val="28"/>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B149ED" w:rsidRPr="00A60245" w14:paraId="471A38CB" w14:textId="77777777" w:rsidTr="00A011EA">
        <w:tc>
          <w:tcPr>
            <w:tcW w:w="8640" w:type="dxa"/>
            <w:shd w:val="clear" w:color="auto" w:fill="7030A0"/>
            <w:tcMar>
              <w:top w:w="72" w:type="dxa"/>
              <w:left w:w="100" w:type="dxa"/>
              <w:bottom w:w="72" w:type="dxa"/>
              <w:right w:w="100" w:type="dxa"/>
            </w:tcMar>
            <w:vAlign w:val="center"/>
          </w:tcPr>
          <w:p w14:paraId="6E40CD8B" w14:textId="77777777" w:rsidR="00B149ED" w:rsidRPr="00A60245" w:rsidRDefault="00B149ED" w:rsidP="00A011EA">
            <w:pPr>
              <w:bidi/>
              <w:spacing w:before="48" w:after="48"/>
              <w:rPr>
                <w:rFonts w:ascii="Sakkal Majalla" w:hAnsi="Sakkal Majalla" w:cs="Sakkal Majalla"/>
                <w:sz w:val="28"/>
                <w:szCs w:val="28"/>
              </w:rPr>
            </w:pPr>
            <w:r>
              <w:rPr>
                <w:rFonts w:ascii="Segoe UI Emoji" w:hAnsi="Segoe UI Emoji" w:cs="Segoe UI Emoji" w:hint="cs"/>
                <w:b/>
                <w:bCs/>
                <w:color w:val="FFFFFF"/>
                <w:sz w:val="28"/>
                <w:szCs w:val="28"/>
                <w:rtl/>
              </w:rPr>
              <w:t xml:space="preserve">مرآة المدير: هل مصادرك في مكانها؟</w:t>
            </w:r>
          </w:p>
        </w:tc>
      </w:tr>
      <w:tr w:rsidR="00B149ED" w:rsidRPr="00A60245" w14:paraId="5F62FA01" w14:textId="77777777" w:rsidTr="00A011EA">
        <w:tc>
          <w:tcPr>
            <w:tcW w:w="8640" w:type="dxa"/>
            <w:shd w:val="clear" w:color="auto" w:fill="F2E8F8"/>
            <w:tcMar>
              <w:top w:w="72" w:type="dxa"/>
              <w:left w:w="100" w:type="dxa"/>
              <w:bottom w:w="72" w:type="dxa"/>
              <w:right w:w="100" w:type="dxa"/>
            </w:tcMar>
            <w:vAlign w:val="center"/>
          </w:tcPr>
          <w:p w14:paraId="5401AD52"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تمرين واحد قبل الانتقال إلى الفصل الخامس:</w:t>
            </w:r>
          </w:p>
          <w:p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اختر استشهادًا دينيًا واحدًا يتكرر في مؤسستك: في سياسة مكتوبة، أو برنامج تدريبي، أو خطاب للإدارة العليا.</w:t>
            </w:r>
          </w:p>
          <w:p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ثم ضعه في هرم هذا الفصل: هل هو آية في سياقها؟ أم حديث ثابت الإسناد؟ أم قول مفسّر؟ أم واقعة من السيرة، وفي أي مرتبة؟ أم عبارة مشهورة لا يُعرف مصدرها؟</w:t>
            </w:r>
          </w:p>
          <w:p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إن لم تستطع أن تحدد موضعه، فقد وجدت أول ما ينبغي مراجعته. وإن حددته، فاسأل: هل يؤدي في مؤسستك الوظيفة التي تسمح بها مرتبته، أم أكثر منها؟</w:t>
            </w:r>
          </w:p>
        </w:tc>
      </w:tr>
    </w:tbl>
    <w:p w14:paraId="731DE2AF" w14:textId="77777777" w:rsidR="00B149ED" w:rsidRPr="00A60245" w:rsidRDefault="00B149ED" w:rsidP="00B149ED">
      <w:pPr>
        <w:bidi/>
        <w:spacing w:after="55"/>
        <w:rPr>
          <w:rFonts w:ascii="Sakkal Majalla" w:hAnsi="Sakkal Majalla" w:cs="Sakkal Majalla"/>
          <w:sz w:val="28"/>
          <w:szCs w:val="28"/>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B149ED" w:rsidRPr="00A60245" w14:paraId="6C7A9D01" w14:textId="77777777" w:rsidTr="00A011EA">
        <w:tc>
          <w:tcPr>
            <w:tcW w:w="8640" w:type="dxa"/>
            <w:shd w:val="clear" w:color="auto" w:fill="156082"/>
            <w:tcMar>
              <w:top w:w="72" w:type="dxa"/>
              <w:left w:w="100" w:type="dxa"/>
              <w:bottom w:w="72" w:type="dxa"/>
              <w:right w:w="100" w:type="dxa"/>
            </w:tcMar>
            <w:vAlign w:val="center"/>
          </w:tcPr>
          <w:p w14:paraId="53B89D62"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b/>
                <w:bCs/>
                <w:color w:val="FFFFFF"/>
                <w:sz w:val="28"/>
                <w:szCs w:val="28"/>
                <w:rtl/>
              </w:rPr>
              <w:t xml:space="preserve">خاتمة الفصل</w:t>
            </w:r>
          </w:p>
        </w:tc>
      </w:tr>
      <w:tr w:rsidR="00B149ED" w:rsidRPr="00A60245" w14:paraId="34464742" w14:textId="77777777" w:rsidTr="00A011EA">
        <w:tc>
          <w:tcPr>
            <w:tcW w:w="8640" w:type="dxa"/>
            <w:shd w:val="clear" w:color="auto" w:fill="EBF5FB"/>
            <w:tcMar>
              <w:top w:w="72" w:type="dxa"/>
              <w:left w:w="100" w:type="dxa"/>
              <w:bottom w:w="72" w:type="dxa"/>
              <w:right w:w="100" w:type="dxa"/>
            </w:tcMar>
            <w:vAlign w:val="center"/>
          </w:tcPr>
          <w:p w14:paraId="36E6187D" w14:textId="77777777" w:rsidR="00B149ED" w:rsidRPr="00A60245" w:rsidRDefault="00B149ED" w:rsidP="00A011EA">
            <w:pPr>
              <w:bidi/>
              <w:spacing w:before="48" w:after="48"/>
              <w:rPr>
                <w:rFonts w:ascii="Sakkal Majalla" w:hAnsi="Sakkal Majalla" w:cs="Sakkal Majalla"/>
                <w:sz w:val="28"/>
                <w:szCs w:val="28"/>
              </w:rPr>
            </w:pPr>
            <w:r>
              <w:rPr>
                <w:rFonts w:ascii="Sakkal Majalla" w:hAnsi="Sakkal Majalla" w:cs="Sakkal Majalla"/>
                <w:i/>
                <w:iCs/>
                <w:color w:val="000000"/>
                <w:sz w:val="28"/>
                <w:szCs w:val="28"/>
                <w:rtl/>
              </w:rPr>
              <w:t xml:space="preserve">يمنح هرم المصادر الباحث خريطة عمل، لكنه لا يعفيه من مسؤولية القراءة؛ فلا توجد قائمة مصادر تمنع الانتقاء إذا كان القارئ يبحث عن نتيجة محددة. والحماية الحقيقية أن يصرّح الباحث بمصدر كل خطوة، وأن يميّز بين الدليل والتفسير والاقتراح، وأن يترك للقارئ طريق العودة إلى الأصل وفحص النقل والترجيح. ومن ينهي هذا الفصل لا يملك بعد مبدأً إداريًا جديدًا، لكنه يملك معيارًا يميّز به، وهو يقرأ ما بعده، بين ادعاء مسنَد إلى مصدر في مرتبته الصحيحة، وادعاء يتوسّل بمصدر ضعيف أو خارج نطاق سلطته. أما الفصل الخامس فيبني على هذا الأساس سلم الاشتقاق السباعي، الذي يبيّن كيف ننتقل من الدلالة القرآنية (المستوى الأول في السلم) إلى التطبيق والاختبار (المستوى السابع)، خطوة خطوة، مع إعلان درجة الاجتهاد في كل انتقال.</w:t>
            </w:r>
          </w:p>
        </w:tc>
      </w:tr>
    </w:tbl>
    <w:p w14:paraId="07286C46" w14:textId="77777777" w:rsidR="00B149ED" w:rsidRPr="00A60245" w:rsidRDefault="00B149ED" w:rsidP="00B149ED">
      <w:pPr>
        <w:bidi/>
        <w:rPr>
          <w:rFonts w:ascii="Sakkal Majalla" w:hAnsi="Sakkal Majalla" w:cs="Sakkal Majalla"/>
          <w:sz w:val="28"/>
          <w:szCs w:val="28"/>
        </w:rPr>
      </w:pPr>
    </w:p>
    <w:p w14:paraId="3D43682B" w14:textId="77777777" w:rsidR="00B149ED" w:rsidRPr="00A60245" w:rsidRDefault="00B149ED" w:rsidP="00B149ED">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 xml:space="preserve">4.11  قائمة المراجع المذكورة في هذا الفصل</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1.  </w:t>
      </w:r>
      <w:r>
        <w:rPr>
          <w:rFonts w:ascii="Sakkal Majalla" w:hAnsi="Sakkal Majalla" w:cs="Sakkal Majalla"/>
          <w:sz w:val="28"/>
          <w:szCs w:val="28"/>
          <w:rtl/>
        </w:rPr>
        <w:t xml:space="preserve">Coady, C.A.J. (1992). Testimony: A Philosophical Study. Oxford University Press.</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2.  </w:t>
      </w:r>
      <w:r>
        <w:rPr>
          <w:rFonts w:ascii="Sakkal Majalla" w:hAnsi="Sakkal Majalla" w:cs="Sakkal Majalla"/>
          <w:sz w:val="28"/>
          <w:szCs w:val="28"/>
          <w:rtl/>
        </w:rPr>
        <w:t xml:space="preserve">Goldman, A. (1999). Knowledge in a Social World. Oxford University Press.</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3.  </w:t>
      </w:r>
      <w:r>
        <w:rPr>
          <w:rFonts w:ascii="Sakkal Majalla" w:hAnsi="Sakkal Majalla" w:cs="Sakkal Majalla"/>
          <w:sz w:val="28"/>
          <w:szCs w:val="28"/>
          <w:rtl/>
        </w:rPr>
        <w:t xml:space="preserve">Goldman, A. (2001). Experts: Which Ones Should You Trust? Philosophy and Phenomenological Research, 63(1), 85-110.</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4.  </w:t>
      </w:r>
      <w:r>
        <w:rPr>
          <w:rFonts w:ascii="Sakkal Majalla" w:hAnsi="Sakkal Majalla" w:cs="Sakkal Majalla"/>
          <w:sz w:val="28"/>
          <w:szCs w:val="28"/>
          <w:rtl/>
        </w:rPr>
        <w:t xml:space="preserve">McGrath, A. (2007). Christianity's Dangerous Idea: The Protestant Revolution. HarperOne.</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5.  </w:t>
      </w:r>
      <w:r>
        <w:rPr>
          <w:rFonts w:ascii="Sakkal Majalla" w:hAnsi="Sakkal Majalla" w:cs="Sakkal Majalla"/>
          <w:sz w:val="28"/>
          <w:szCs w:val="28"/>
          <w:rtl/>
        </w:rPr>
        <w:t xml:space="preserve">Neusner, J. (1994). Introduction to Rabbinic Literature. Doubleday.</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6.  </w:t>
      </w:r>
      <w:r>
        <w:rPr>
          <w:rFonts w:ascii="Sakkal Majalla" w:hAnsi="Sakkal Majalla" w:cs="Sakkal Majalla"/>
          <w:sz w:val="28"/>
          <w:szCs w:val="28"/>
          <w:rtl/>
        </w:rPr>
        <w:t xml:space="preserve">Second Vatican Council (1965). Dei Verbum (Dogmatic Constitution on Divine Revelation). §10.</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7.  </w:t>
      </w:r>
      <w:r>
        <w:rPr>
          <w:rFonts w:ascii="Sakkal Majalla" w:hAnsi="Sakkal Majalla" w:cs="Sakkal Majalla"/>
          <w:sz w:val="28"/>
          <w:szCs w:val="28"/>
          <w:rtl/>
        </w:rPr>
        <w:t xml:space="preserve">Zagzebski, L. (2012). Epistemic Authority: A Theory of Trust, Authority, and Autonomy in Belief. Oxford University Press.</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8.  </w:t>
      </w:r>
      <w:r>
        <w:rPr>
          <w:rFonts w:ascii="Sakkal Majalla" w:hAnsi="Sakkal Majalla" w:cs="Sakkal Majalla"/>
          <w:sz w:val="28"/>
          <w:szCs w:val="28"/>
          <w:rtl/>
        </w:rPr>
        <w:t xml:space="preserve">الأعظمي، محمد مصطفى (1978). دراسات في الحديث النبوي وتاريخ تدوينه. المكتب الإسلامي.</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9.  </w:t>
      </w:r>
      <w:r>
        <w:rPr>
          <w:rFonts w:ascii="Sakkal Majalla" w:hAnsi="Sakkal Majalla" w:cs="Sakkal Majalla"/>
          <w:sz w:val="28"/>
          <w:szCs w:val="28"/>
          <w:rtl/>
        </w:rPr>
        <w:t xml:space="preserve">ابن تيمية، أحمد بن عبد الحليم (ت.728ه). مقدمة في أصول التفسير. تحقيق عدنان زرزور، دار القرآن الكريم، الكويت، 1971.</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10.  </w:t>
      </w:r>
      <w:r>
        <w:rPr>
          <w:rFonts w:ascii="Sakkal Majalla" w:hAnsi="Sakkal Majalla" w:cs="Sakkal Majalla"/>
          <w:sz w:val="28"/>
          <w:szCs w:val="28"/>
          <w:rtl/>
        </w:rPr>
        <w:t xml:space="preserve">ابن فارس، أحمد (ت.395ه). مقاييس اللغة.</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11.  </w:t>
      </w:r>
      <w:r>
        <w:rPr>
          <w:rFonts w:ascii="Sakkal Majalla" w:hAnsi="Sakkal Majalla" w:cs="Sakkal Majalla"/>
          <w:sz w:val="28"/>
          <w:szCs w:val="28"/>
          <w:rtl/>
        </w:rPr>
        <w:t xml:space="preserve">ابن قيم الجوزية، محمد بن أبي بكر (ت.751ه). إعلام الموقعين عن رب العالمين. تحقيق طه عبد الرؤوف سعد، دار الجيل، بيروت.</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12.  </w:t>
      </w:r>
      <w:r>
        <w:rPr>
          <w:rFonts w:ascii="Sakkal Majalla" w:hAnsi="Sakkal Majalla" w:cs="Sakkal Majalla"/>
          <w:sz w:val="28"/>
          <w:szCs w:val="28"/>
          <w:rtl/>
        </w:rPr>
        <w:t xml:space="preserve">ابن كثير، إسماعيل بن عمر (ت.774ه). تفسير القرآن العظيم. تحقيق سامي بن محمد سلامة، دار طيبة.</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13.  </w:t>
      </w:r>
      <w:r>
        <w:rPr>
          <w:rFonts w:ascii="Sakkal Majalla" w:hAnsi="Sakkal Majalla" w:cs="Sakkal Majalla"/>
          <w:sz w:val="28"/>
          <w:szCs w:val="28"/>
          <w:rtl/>
        </w:rPr>
        <w:t xml:space="preserve">ابن ماجه، محمد بن يزيد (ت.273ه). سنن ابن ماجه.</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14.  </w:t>
      </w:r>
      <w:r>
        <w:rPr>
          <w:rFonts w:ascii="Sakkal Majalla" w:hAnsi="Sakkal Majalla" w:cs="Sakkal Majalla"/>
          <w:sz w:val="28"/>
          <w:szCs w:val="28"/>
          <w:rtl/>
        </w:rPr>
        <w:t xml:space="preserve">ابن منظور، محمد بن مكرم (ت.711ه). لسان العرب.</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15.  </w:t>
      </w:r>
      <w:r>
        <w:rPr>
          <w:rFonts w:ascii="Sakkal Majalla" w:hAnsi="Sakkal Majalla" w:cs="Sakkal Majalla"/>
          <w:sz w:val="28"/>
          <w:szCs w:val="28"/>
          <w:rtl/>
        </w:rPr>
        <w:t xml:space="preserve">ابن هشام، عبد الملك (ت.213ه). السيرة النبوية.</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16.  </w:t>
      </w:r>
      <w:r>
        <w:rPr>
          <w:rFonts w:ascii="Sakkal Majalla" w:hAnsi="Sakkal Majalla" w:cs="Sakkal Majalla"/>
          <w:sz w:val="28"/>
          <w:szCs w:val="28"/>
          <w:rtl/>
        </w:rPr>
        <w:t xml:space="preserve">ابن عاشور، محمد الطاهر (ت.1393ه). التحرير والتنوير. الدار التونسية للنشر.</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17.  </w:t>
      </w:r>
      <w:r>
        <w:rPr>
          <w:rFonts w:ascii="Sakkal Majalla" w:hAnsi="Sakkal Majalla" w:cs="Sakkal Majalla"/>
          <w:sz w:val="28"/>
          <w:szCs w:val="28"/>
          <w:rtl/>
        </w:rPr>
        <w:t xml:space="preserve">البخاري، محمد بن إسماعيل (ت.256ه). صحيح البخاري.</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18.  </w:t>
      </w:r>
      <w:r>
        <w:rPr>
          <w:rFonts w:ascii="Sakkal Majalla" w:hAnsi="Sakkal Majalla" w:cs="Sakkal Majalla"/>
          <w:sz w:val="28"/>
          <w:szCs w:val="28"/>
          <w:rtl/>
        </w:rPr>
        <w:t xml:space="preserve">الراغب الأصفهاني، الحسين بن محمد (ت.502ه). المفردات في غريب القرآن.</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19.  </w:t>
      </w:r>
      <w:r>
        <w:rPr>
          <w:rFonts w:ascii="Sakkal Majalla" w:hAnsi="Sakkal Majalla" w:cs="Sakkal Majalla"/>
          <w:sz w:val="28"/>
          <w:szCs w:val="28"/>
          <w:rtl/>
        </w:rPr>
        <w:t xml:space="preserve">الرازي، فخر الدين (ت.606ه). مفاتيح الغيب (التفسير الكبير).</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20.  </w:t>
      </w:r>
      <w:r>
        <w:rPr>
          <w:rFonts w:ascii="Sakkal Majalla" w:hAnsi="Sakkal Majalla" w:cs="Sakkal Majalla"/>
          <w:sz w:val="28"/>
          <w:szCs w:val="28"/>
          <w:rtl/>
        </w:rPr>
        <w:t xml:space="preserve">الزركشي، بدر الدين (ت.794ه). البرهان في علوم القرآن.</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21.  </w:t>
      </w:r>
      <w:r>
        <w:rPr>
          <w:rFonts w:ascii="Sakkal Majalla" w:hAnsi="Sakkal Majalla" w:cs="Sakkal Majalla"/>
          <w:sz w:val="28"/>
          <w:szCs w:val="28"/>
          <w:rtl/>
        </w:rPr>
        <w:t xml:space="preserve">الزمخشري، محمود بن عمر (ت.538ه). الكشّاف عن حقائق التنزيل.</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22.  </w:t>
      </w:r>
      <w:r>
        <w:rPr>
          <w:rFonts w:ascii="Sakkal Majalla" w:hAnsi="Sakkal Majalla" w:cs="Sakkal Majalla"/>
          <w:sz w:val="28"/>
          <w:szCs w:val="28"/>
          <w:rtl/>
        </w:rPr>
        <w:t xml:space="preserve">الزحيلي، وهبة بن مصطفى (ت.2015م). التفسير المنير في العقيدة والشريعة والمنهج. دار الفكر المعاصر، بيروت.</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23.  </w:t>
      </w:r>
      <w:r>
        <w:rPr>
          <w:rFonts w:ascii="Sakkal Majalla" w:hAnsi="Sakkal Majalla" w:cs="Sakkal Majalla"/>
          <w:sz w:val="28"/>
          <w:szCs w:val="28"/>
          <w:rtl/>
        </w:rPr>
        <w:t xml:space="preserve">الشافعي، محمد بن إدريس (ت.204ه). الرسالة. تحقيق أحمد شاكر، مكتبة الحلبي، القاهرة، 1940.</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24.  </w:t>
      </w:r>
      <w:r>
        <w:rPr>
          <w:rFonts w:ascii="Sakkal Majalla" w:hAnsi="Sakkal Majalla" w:cs="Sakkal Majalla"/>
          <w:sz w:val="28"/>
          <w:szCs w:val="28"/>
          <w:rtl/>
        </w:rPr>
        <w:t xml:space="preserve">الطباطبائي، محمد حسين (ت.1981م). الميزان في تفسير القرآن. مؤسسة الأعلمي للمطبوعات، بيروت.</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25.  </w:t>
      </w:r>
      <w:r>
        <w:rPr>
          <w:rFonts w:ascii="Sakkal Majalla" w:hAnsi="Sakkal Majalla" w:cs="Sakkal Majalla"/>
          <w:sz w:val="28"/>
          <w:szCs w:val="28"/>
          <w:rtl/>
        </w:rPr>
        <w:t xml:space="preserve">الطبري، محمد بن جرير (ت.310ه). جامع البيان عن تأويل آي القرآن. تحقيق أحمد شاكر ومحمود شاكر، مؤسسة الرسالة.</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26.  </w:t>
      </w:r>
      <w:r>
        <w:rPr>
          <w:rFonts w:ascii="Sakkal Majalla" w:hAnsi="Sakkal Majalla" w:cs="Sakkal Majalla"/>
          <w:sz w:val="28"/>
          <w:szCs w:val="28"/>
          <w:rtl/>
        </w:rPr>
        <w:t xml:space="preserve">الغزالي، محمد (ت.1996م). فقه السيرة.</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27.  </w:t>
      </w:r>
      <w:r>
        <w:rPr>
          <w:rFonts w:ascii="Sakkal Majalla" w:hAnsi="Sakkal Majalla" w:cs="Sakkal Majalla"/>
          <w:sz w:val="28"/>
          <w:szCs w:val="28"/>
          <w:rtl/>
        </w:rPr>
        <w:t xml:space="preserve">الغضبان، منير محمد. الفقه الحركي للسيرة النبوية.</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28.  </w:t>
      </w:r>
      <w:r>
        <w:rPr>
          <w:rFonts w:ascii="Sakkal Majalla" w:hAnsi="Sakkal Majalla" w:cs="Sakkal Majalla"/>
          <w:sz w:val="28"/>
          <w:szCs w:val="28"/>
          <w:rtl/>
        </w:rPr>
        <w:t xml:space="preserve">القرطبي، محمد بن أحمد (ت.671ه). الجامع لأحكام القرآن.</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29.  </w:t>
      </w:r>
      <w:r>
        <w:rPr>
          <w:rFonts w:ascii="Sakkal Majalla" w:hAnsi="Sakkal Majalla" w:cs="Sakkal Majalla"/>
          <w:sz w:val="28"/>
          <w:szCs w:val="28"/>
          <w:rtl/>
        </w:rPr>
        <w:t xml:space="preserve">المباركفوري، صفي الرحمن. الرحيق المختوم.</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30.  </w:t>
      </w:r>
      <w:r>
        <w:rPr>
          <w:rFonts w:ascii="Sakkal Majalla" w:hAnsi="Sakkal Majalla" w:cs="Sakkal Majalla"/>
          <w:sz w:val="28"/>
          <w:szCs w:val="28"/>
          <w:rtl/>
        </w:rPr>
        <w:t xml:space="preserve">السيوطي، جلال الدين (ت.911ه). الإتقان في علوم القرآن.</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31.  </w:t>
      </w:r>
      <w:r>
        <w:rPr>
          <w:rFonts w:ascii="Sakkal Majalla" w:hAnsi="Sakkal Majalla" w:cs="Sakkal Majalla"/>
          <w:sz w:val="28"/>
          <w:szCs w:val="28"/>
          <w:rtl/>
        </w:rPr>
        <w:t xml:space="preserve">سيد قطب، إبراهيم حسين (ت.1966م). في ظلال القرآن. دار الشروق، القاهرة.</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32.  </w:t>
      </w:r>
      <w:r>
        <w:rPr>
          <w:rFonts w:ascii="Sakkal Majalla" w:hAnsi="Sakkal Majalla" w:cs="Sakkal Majalla"/>
          <w:sz w:val="28"/>
          <w:szCs w:val="28"/>
          <w:rtl/>
        </w:rPr>
        <w:t xml:space="preserve">مسلم بن الحجاج (ت.261ه). صحيح مسلم.</w:t>
      </w:r>
    </w:p>
    <w:p w:rsidR="00B149ED" w:rsidRPr="00A60245" w:rsidRDefault="00B149ED" w:rsidP="00B149ED">
      <w:pPr>
        <w:bidi/>
        <w:spacing w:after="40"/>
        <w:ind w:right="380"/>
        <w:rPr>
          <w:rFonts w:ascii="Sakkal Majalla" w:hAnsi="Sakkal Majalla" w:cs="Sakkal Majalla"/>
          <w:sz w:val="28"/>
          <w:szCs w:val="28"/>
        </w:rPr>
      </w:pPr>
      <w:r>
        <w:rPr>
          <w:rFonts w:ascii="Sakkal Majalla" w:hAnsi="Sakkal Majalla" w:cs="Sakkal Majalla"/>
          <w:b/>
          <w:bCs/>
          <w:color w:val="156082"/>
          <w:sz w:val="28"/>
          <w:szCs w:val="28"/>
        </w:rPr>
        <w:t xml:space="preserve">33.  </w:t>
      </w:r>
      <w:r>
        <w:rPr>
          <w:rFonts w:ascii="Sakkal Majalla" w:hAnsi="Sakkal Majalla" w:cs="Sakkal Majalla"/>
          <w:sz w:val="28"/>
          <w:szCs w:val="28"/>
          <w:rtl/>
        </w:rPr>
        <w:t xml:space="preserve">مهدي رزق الله أحمد. السيرة النبوية في ضوء المصادر الأصلية.</w:t>
      </w: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