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实时视频模块设计方案与方案选择说明</w:t>
      </w:r>
    </w:p>
    <w:p>
      <w:pPr>
        <w:jc w:val="center"/>
      </w:pPr>
      <w:r>
        <w:rPr>
          <w:rFonts w:ascii="Arial" w:hAnsi="Arial" w:eastAsia="微软雅黑"/>
          <w:color w:val="606060"/>
          <w:sz w:val="22"/>
        </w:rPr>
        <w:t>具身智能装备集成管理平台 / 媒体服务模块</w:t>
      </w:r>
    </w:p>
    <w:p>
      <w:pPr>
        <w:pStyle w:val="Heading1"/>
      </w:pPr>
      <w:r>
        <w:t>1. 背景与设计结论</w:t>
      </w:r>
    </w:p>
    <w:p>
      <w:r>
        <w:t>本方案面向具身智能装备集成管理平台中的媒体服务模块，重点讨论实时视频能力的接入方式、平台职责和后续语音对讲扩展。当前架构已经规划在机器人端统一部署云接入客户端，客户端承担协议转换、接入认证、通信保护、消息转发和网络流量管理等职责。机器人上装设备中的双光云台支持 RTSP 协议，因此需要在统一实时媒体体系和设备协议兼容之间取得平衡。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268"/>
        <w:gridCol w:w="6803"/>
      </w:tblGrid>
      <w:tr>
        <w:tc>
          <w:tcPr>
            <w:tcW w:type="dxa" w:w="7172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推荐结论</w:t>
            </w:r>
          </w:p>
        </w:tc>
        <w:tc>
          <w:tcPr>
            <w:tcW w:type="dxa" w:w="717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选择方案 A 作为平台主方案：机器人端云接入客户端作为 LiveKit Publisher，统一发布视频/音频 Track。</w:t>
            </w:r>
          </w:p>
        </w:tc>
      </w:tr>
      <w:tr>
        <w:tc>
          <w:tcPr>
            <w:tcW w:type="dxa" w:w="7172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关键限定</w:t>
            </w:r>
          </w:p>
        </w:tc>
        <w:tc>
          <w:tcPr>
            <w:tcW w:type="dxa" w:w="717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方案 A 不是要求双光云台或所有上装设备直接接入 LiveKit，而是由机器人端统一客户端完成 RTSP、厂商 SDK、本地设备等差异适配。</w:t>
            </w:r>
          </w:p>
        </w:tc>
      </w:tr>
      <w:tr>
        <w:tc>
          <w:tcPr>
            <w:tcW w:type="dxa" w:w="7172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方案 B 定位</w:t>
            </w:r>
          </w:p>
        </w:tc>
        <w:tc>
          <w:tcPr>
            <w:tcW w:type="dxa" w:w="717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方案 B 保留为设备兼容和兜底能力，主要位于云接入客户端内部，必要时也可在平台侧提供旁路接入。</w:t>
            </w:r>
          </w:p>
        </w:tc>
      </w:tr>
      <w:tr>
        <w:tc>
          <w:tcPr>
            <w:tcW w:type="dxa" w:w="7172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一期落地</w:t>
            </w:r>
          </w:p>
        </w:tc>
        <w:tc>
          <w:tcPr>
            <w:tcW w:type="dxa" w:w="717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双光云台 RTSP -&gt; 云接入客户端 RTSP Adapter -&gt; LiveKit Video Track -&gt; 平台 Media Service/LiveKit SFU -&gt; Web/App 观看。</w:t>
            </w:r>
          </w:p>
        </w:tc>
      </w:tr>
    </w:tbl>
    <w:p/>
    <w:p>
      <w:pPr>
        <w:pStyle w:val="Heading1"/>
      </w:pPr>
      <w:r>
        <w:t>2. 方案 A 与方案 B 的区别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4781"/>
        <w:gridCol w:w="4781"/>
        <w:gridCol w:w="4781"/>
      </w:tblGrid>
      <w:tr>
        <w:tc>
          <w:tcPr>
            <w:tcW w:type="dxa" w:w="478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维度</w:t>
            </w:r>
          </w:p>
        </w:tc>
        <w:tc>
          <w:tcPr>
            <w:tcW w:type="dxa" w:w="478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sz w:val="18"/>
              </w:rPr>
              <w:t>方案 A：云接入客户端作为 LiveKit Publisher</w:t>
            </w:r>
          </w:p>
        </w:tc>
        <w:tc>
          <w:tcPr>
            <w:tcW w:type="dxa" w:w="478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sz w:val="18"/>
              </w:rPr>
              <w:t>方案 B：平台侧拉取 RTSP/RTMP/GB28181</w:t>
            </w:r>
          </w:p>
        </w:tc>
      </w:tr>
      <w:tr>
        <w:tc>
          <w:tcPr>
            <w:tcW w:type="dxa" w:w="4781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核心思路</w:t>
            </w:r>
          </w:p>
        </w:tc>
        <w:tc>
          <w:tcPr>
            <w:tcW w:type="dxa" w:w="478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机器人端统一客户端屏蔽设备差异，向平台发布标准音视频 Track。</w:t>
            </w:r>
          </w:p>
        </w:tc>
        <w:tc>
          <w:tcPr>
            <w:tcW w:type="dxa" w:w="478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机器人或设备提供标准流地址，平台媒体服务集中拉流、转码或转推。</w:t>
            </w:r>
          </w:p>
        </w:tc>
      </w:tr>
      <w:tr>
        <w:tc>
          <w:tcPr>
            <w:tcW w:type="dxa" w:w="4781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与当前架构匹配度</w:t>
            </w:r>
          </w:p>
        </w:tc>
        <w:tc>
          <w:tcPr>
            <w:tcW w:type="dxa" w:w="478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高。原架构已有云接入客户端、WebRTC(SRTP)、SFU、接入认证与通信保护。</w:t>
            </w:r>
          </w:p>
        </w:tc>
        <w:tc>
          <w:tcPr>
            <w:tcW w:type="dxa" w:w="478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中。适合作为兼容能力，但会弱化云接入客户端的媒体抽象作用。</w:t>
            </w:r>
          </w:p>
        </w:tc>
      </w:tr>
      <w:tr>
        <w:tc>
          <w:tcPr>
            <w:tcW w:type="dxa" w:w="4781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多机器人接入</w:t>
            </w:r>
          </w:p>
        </w:tc>
        <w:tc>
          <w:tcPr>
            <w:tcW w:type="dxa" w:w="478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平台只面对统一媒体协议，新增机器人主要扩展客户端适配器。</w:t>
            </w:r>
          </w:p>
        </w:tc>
        <w:tc>
          <w:tcPr>
            <w:tcW w:type="dxa" w:w="478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平台要管理多协议、多网络、多拉流任务，接入复杂度集中到云侧。</w:t>
            </w:r>
          </w:p>
        </w:tc>
      </w:tr>
      <w:tr>
        <w:tc>
          <w:tcPr>
            <w:tcW w:type="dxa" w:w="4781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实时视频</w:t>
            </w:r>
          </w:p>
        </w:tc>
        <w:tc>
          <w:tcPr>
            <w:tcW w:type="dxa" w:w="478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低延迟链路更直接，前端统一订阅 LiveKit Room/Track。</w:t>
            </w:r>
          </w:p>
        </w:tc>
        <w:tc>
          <w:tcPr>
            <w:tcW w:type="dxa" w:w="478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可快速兼容 RTSP，但需要转码/转推，延迟与资源消耗更高。</w:t>
            </w:r>
          </w:p>
        </w:tc>
      </w:tr>
      <w:tr>
        <w:tc>
          <w:tcPr>
            <w:tcW w:type="dxa" w:w="4781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语音对讲</w:t>
            </w:r>
          </w:p>
        </w:tc>
        <w:tc>
          <w:tcPr>
            <w:tcW w:type="dxa" w:w="478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天然适合。音频 Track、房间、权限和会话控制可复用。</w:t>
            </w:r>
          </w:p>
        </w:tc>
        <w:tc>
          <w:tcPr>
            <w:tcW w:type="dxa" w:w="478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不理想。RTSP 类协议不适合双向语音，需要额外通道补齐。</w:t>
            </w:r>
          </w:p>
        </w:tc>
      </w:tr>
      <w:tr>
        <w:tc>
          <w:tcPr>
            <w:tcW w:type="dxa" w:w="4781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网络适应性</w:t>
            </w:r>
          </w:p>
        </w:tc>
        <w:tc>
          <w:tcPr>
            <w:tcW w:type="dxa" w:w="478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机器人主动出站连接平台，适合 4G/5G、NAT 和移动网络。</w:t>
            </w:r>
          </w:p>
        </w:tc>
        <w:tc>
          <w:tcPr>
            <w:tcW w:type="dxa" w:w="478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平台访问机器人内网 RTSP 往往受网络、端口和安全策略限制。</w:t>
            </w:r>
          </w:p>
        </w:tc>
      </w:tr>
      <w:tr>
        <w:tc>
          <w:tcPr>
            <w:tcW w:type="dxa" w:w="4781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平台运维压力</w:t>
            </w:r>
          </w:p>
        </w:tc>
        <w:tc>
          <w:tcPr>
            <w:tcW w:type="dxa" w:w="478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媒体转接压力分散到机器人端/边缘端，平台侧以 SFU 转发为主。</w:t>
            </w:r>
          </w:p>
        </w:tc>
        <w:tc>
          <w:tcPr>
            <w:tcW w:type="dxa" w:w="478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平台侧容易成为 FFmpeg/Ingress 拉流中心，资源和故障排查压力更大。</w:t>
            </w:r>
          </w:p>
        </w:tc>
      </w:tr>
      <w:tr>
        <w:tc>
          <w:tcPr>
            <w:tcW w:type="dxa" w:w="4781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设备兼容</w:t>
            </w:r>
          </w:p>
        </w:tc>
        <w:tc>
          <w:tcPr>
            <w:tcW w:type="dxa" w:w="478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客户端内部仍需支持 RTSP、厂商 SDK、本地摄像头、麦克风等适配。</w:t>
            </w:r>
          </w:p>
        </w:tc>
        <w:tc>
          <w:tcPr>
            <w:tcW w:type="dxa" w:w="478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兼容存量视频设备更直接，是必要的兜底方式。</w:t>
            </w:r>
          </w:p>
        </w:tc>
      </w:tr>
    </w:tbl>
    <w:p/>
    <w:p>
      <w:pPr>
        <w:pStyle w:val="Heading1"/>
      </w:pPr>
      <w:r>
        <w:t>3. 为什么选择方案 A</w:t>
      </w:r>
    </w:p>
    <w:p>
      <w:pPr>
        <w:pStyle w:val="ListNumber"/>
        <w:spacing w:after="60"/>
      </w:pPr>
      <w:r>
        <w:rPr>
          <w:rFonts w:ascii="Arial" w:hAnsi="Arial" w:eastAsia="微软雅黑"/>
          <w:sz w:val="21"/>
        </w:rPr>
        <w:t>与现有总体架构一致。架构图中已经规划云接入客户端、WebRTC(SRTP)、SFU、通信保护和接入认证，方案 A 正好让这些能力成为主链路。</w:t>
      </w:r>
    </w:p>
    <w:p>
      <w:pPr>
        <w:pStyle w:val="ListNumber"/>
        <w:spacing w:after="60"/>
      </w:pPr>
      <w:r>
        <w:rPr>
          <w:rFonts w:ascii="Arial" w:hAnsi="Arial" w:eastAsia="微软雅黑"/>
          <w:sz w:val="21"/>
        </w:rPr>
        <w:t>更适合 N 个机器人接入。平台不需要理解每种机器人或上装设备的视频协议，只需要管理统一的 Room、Participant、Track、Token 和状态。</w:t>
      </w:r>
    </w:p>
    <w:p>
      <w:pPr>
        <w:pStyle w:val="ListNumber"/>
        <w:spacing w:after="60"/>
      </w:pPr>
      <w:r>
        <w:rPr>
          <w:rFonts w:ascii="Arial" w:hAnsi="Arial" w:eastAsia="微软雅黑"/>
          <w:sz w:val="21"/>
        </w:rPr>
        <w:t>更适合实时视频与语音对讲一体化。后续双向语音对讲可以复用 LiveKit 房间、音频 Track、权限和会话控制模型。</w:t>
      </w:r>
    </w:p>
    <w:p>
      <w:pPr>
        <w:pStyle w:val="ListNumber"/>
        <w:spacing w:after="60"/>
      </w:pPr>
      <w:r>
        <w:rPr>
          <w:rFonts w:ascii="Arial" w:hAnsi="Arial" w:eastAsia="微软雅黑"/>
          <w:sz w:val="21"/>
        </w:rPr>
        <w:t>更适合移动网络。机器人端主动出站连接平台，比平台反向访问机器人内网 RTSP 地址更容易穿透 4G/5G、NAT 和现场网络隔离。</w:t>
      </w:r>
    </w:p>
    <w:p>
      <w:pPr>
        <w:pStyle w:val="ListNumber"/>
        <w:spacing w:after="60"/>
      </w:pPr>
      <w:r>
        <w:rPr>
          <w:rFonts w:ascii="Arial" w:hAnsi="Arial" w:eastAsia="微软雅黑"/>
          <w:sz w:val="21"/>
        </w:rPr>
        <w:t>降低平台媒体服务压力。平台媒体服务负责会话、鉴权、状态和调度，媒体转接由云接入客户端/边缘端承担，避免云侧集中维护大量拉流进程。</w:t>
      </w:r>
    </w:p>
    <w:p>
      <w:pPr>
        <w:pStyle w:val="ListNumber"/>
        <w:spacing w:after="60"/>
      </w:pPr>
      <w:r>
        <w:rPr>
          <w:rFonts w:ascii="Arial" w:hAnsi="Arial" w:eastAsia="微软雅黑"/>
          <w:sz w:val="21"/>
        </w:rPr>
        <w:t>仍保留存量设备兼容。双光云台 RTSP 不被否定，而是作为客户端内部媒体源接入，经过适配后统一发布到 LiveKit。</w:t>
      </w:r>
    </w:p>
    <w:p>
      <w:pPr>
        <w:pStyle w:val="Heading1"/>
      </w:pPr>
      <w:r>
        <w:t>4. 推荐总体架构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4344"/>
      </w:tblGrid>
      <w:tr>
        <w:tc>
          <w:tcPr>
            <w:tcW w:type="dxa" w:w="14344"/>
            <w:shd w:fill="F4F7FA"/>
          </w:tcPr>
          <w:p>
            <w:pPr>
              <w:spacing w:before="80" w:after="80"/>
            </w:pPr>
            <w:r>
              <w:rPr>
                <w:rFonts w:ascii="Consolas" w:hAnsi="Consolas" w:eastAsia="微软雅黑"/>
                <w:sz w:val="18"/>
              </w:rPr>
              <w:t>双光云台 RTSP / 本地摄像头 / 麦克风 / 厂商 SDK</w:t>
            </w:r>
            <w:r>
              <w:br/>
            </w:r>
            <w:r>
              <w:rPr>
                <w:rFonts w:ascii="Consolas" w:hAnsi="Consolas" w:eastAsia="微软雅黑"/>
                <w:sz w:val="18"/>
              </w:rPr>
              <w:t xml:space="preserve">        |</w:t>
            </w:r>
            <w:r>
              <w:br/>
            </w:r>
            <w:r>
              <w:rPr>
                <w:rFonts w:ascii="Consolas" w:hAnsi="Consolas" w:eastAsia="微软雅黑"/>
                <w:sz w:val="18"/>
              </w:rPr>
              <w:t>机器人端云接入客户端</w:t>
            </w:r>
            <w:r>
              <w:br/>
            </w:r>
            <w:r>
              <w:rPr>
                <w:rFonts w:ascii="Consolas" w:hAnsi="Consolas" w:eastAsia="微软雅黑"/>
                <w:sz w:val="18"/>
              </w:rPr>
              <w:t xml:space="preserve">  - 设备协议适配：RTSP、SDK、本地采集</w:t>
            </w:r>
            <w:r>
              <w:br/>
            </w:r>
            <w:r>
              <w:rPr>
                <w:rFonts w:ascii="Consolas" w:hAnsi="Consolas" w:eastAsia="微软雅黑"/>
                <w:sz w:val="18"/>
              </w:rPr>
              <w:t xml:space="preserve">  - 媒体编码与转发：视频 Track、音频 Track</w:t>
            </w:r>
            <w:r>
              <w:br/>
            </w:r>
            <w:r>
              <w:rPr>
                <w:rFonts w:ascii="Consolas" w:hAnsi="Consolas" w:eastAsia="微软雅黑"/>
                <w:sz w:val="18"/>
              </w:rPr>
              <w:t xml:space="preserve">  - 接入认证与通信保护</w:t>
            </w:r>
            <w:r>
              <w:br/>
            </w:r>
            <w:r>
              <w:rPr>
                <w:rFonts w:ascii="Consolas" w:hAnsi="Consolas" w:eastAsia="微软雅黑"/>
                <w:sz w:val="18"/>
              </w:rPr>
              <w:t xml:space="preserve">  - 状态上报与指令接收</w:t>
            </w:r>
            <w:r>
              <w:br/>
            </w:r>
            <w:r>
              <w:rPr>
                <w:rFonts w:ascii="Consolas" w:hAnsi="Consolas" w:eastAsia="微软雅黑"/>
                <w:sz w:val="18"/>
              </w:rPr>
              <w:t xml:space="preserve">        |</w:t>
            </w:r>
            <w:r>
              <w:br/>
            </w:r>
            <w:r>
              <w:rPr>
                <w:rFonts w:ascii="Consolas" w:hAnsi="Consolas" w:eastAsia="微软雅黑"/>
                <w:sz w:val="18"/>
              </w:rPr>
              <w:t>LiveKit Publisher</w:t>
            </w:r>
            <w:r>
              <w:br/>
            </w:r>
            <w:r>
              <w:rPr>
                <w:rFonts w:ascii="Consolas" w:hAnsi="Consolas" w:eastAsia="微软雅黑"/>
                <w:sz w:val="18"/>
              </w:rPr>
              <w:t xml:space="preserve">        |</w:t>
            </w:r>
            <w:r>
              <w:br/>
            </w:r>
            <w:r>
              <w:rPr>
                <w:rFonts w:ascii="Consolas" w:hAnsi="Consolas" w:eastAsia="微软雅黑"/>
                <w:sz w:val="18"/>
              </w:rPr>
              <w:t>平台 Media Service + LiveKit SFU</w:t>
            </w:r>
            <w:r>
              <w:br/>
            </w:r>
            <w:r>
              <w:rPr>
                <w:rFonts w:ascii="Consolas" w:hAnsi="Consolas" w:eastAsia="微软雅黑"/>
                <w:sz w:val="18"/>
              </w:rPr>
              <w:t xml:space="preserve">        |</w:t>
            </w:r>
            <w:r>
              <w:br/>
            </w:r>
            <w:r>
              <w:rPr>
                <w:rFonts w:ascii="Consolas" w:hAnsi="Consolas" w:eastAsia="微软雅黑"/>
                <w:sz w:val="18"/>
              </w:rPr>
              <w:t>Web 管理控制台 / 手机 App / 业务应用</w:t>
            </w:r>
          </w:p>
        </w:tc>
      </w:tr>
    </w:tbl>
    <w:p/>
    <w:p>
      <w:pPr>
        <w:pStyle w:val="Heading1"/>
      </w:pPr>
      <w:r>
        <w:t>5. 实时视频模块设计</w:t>
      </w:r>
    </w:p>
    <w:p>
      <w:pPr>
        <w:pStyle w:val="Heading2"/>
      </w:pPr>
      <w:r>
        <w:t>5.1 核心职责</w:t>
      </w:r>
    </w:p>
    <w:p>
      <w:pPr>
        <w:pStyle w:val="ListBullet"/>
        <w:spacing w:after="60"/>
      </w:pPr>
      <w:r>
        <w:rPr>
          <w:rFonts w:ascii="Arial" w:hAnsi="Arial" w:eastAsia="微软雅黑"/>
          <w:sz w:val="21"/>
        </w:rPr>
        <w:t>平台前端：发起观看、展示视频画面、接收会话状态、执行停止观看和通道切换。</w:t>
      </w:r>
    </w:p>
    <w:p>
      <w:pPr>
        <w:pStyle w:val="ListBullet"/>
        <w:spacing w:after="60"/>
      </w:pPr>
      <w:r>
        <w:rPr>
          <w:rFonts w:ascii="Arial" w:hAnsi="Arial" w:eastAsia="微软雅黑"/>
          <w:sz w:val="21"/>
        </w:rPr>
        <w:t>Media Service：创建视频会话、校验权限、生成 LiveKit Token、管理 Room/Track 元数据、推送 WebSocket 状态。</w:t>
      </w:r>
    </w:p>
    <w:p>
      <w:pPr>
        <w:pStyle w:val="ListBullet"/>
        <w:spacing w:after="60"/>
      </w:pPr>
      <w:r>
        <w:rPr>
          <w:rFonts w:ascii="Arial" w:hAnsi="Arial" w:eastAsia="微软雅黑"/>
          <w:sz w:val="21"/>
        </w:rPr>
        <w:t>LiveKit：承载 SFU 转发、房间、Participant、Track、订阅和断连事件。</w:t>
      </w:r>
    </w:p>
    <w:p>
      <w:pPr>
        <w:pStyle w:val="ListBullet"/>
        <w:spacing w:after="60"/>
      </w:pPr>
      <w:r>
        <w:rPr>
          <w:rFonts w:ascii="Arial" w:hAnsi="Arial" w:eastAsia="微软雅黑"/>
          <w:sz w:val="21"/>
        </w:rPr>
        <w:t>云接入客户端：连接双光云台 RTSP，发布 LiveKit 视频 Track，并接收平台控制指令。</w:t>
      </w:r>
    </w:p>
    <w:p>
      <w:pPr>
        <w:pStyle w:val="ListBullet"/>
        <w:spacing w:after="60"/>
      </w:pPr>
      <w:r>
        <w:rPr>
          <w:rFonts w:ascii="Arial" w:hAnsi="Arial" w:eastAsia="微软雅黑"/>
          <w:sz w:val="21"/>
        </w:rPr>
        <w:t>Robot Control Service / MQTT：承载设备在线状态、媒体启动/停止指令、回执和异常上报。</w:t>
      </w:r>
    </w:p>
    <w:p>
      <w:pPr>
        <w:pStyle w:val="Heading2"/>
      </w:pPr>
      <w:r>
        <w:t>5.2 会话状态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4344"/>
      </w:tblGrid>
      <w:tr>
        <w:tc>
          <w:tcPr>
            <w:tcW w:type="dxa" w:w="14344"/>
            <w:shd w:fill="F4F7FA"/>
          </w:tcPr>
          <w:p>
            <w:pPr>
              <w:spacing w:before="80" w:after="80"/>
            </w:pPr>
            <w:r>
              <w:rPr>
                <w:rFonts w:ascii="Consolas" w:hAnsi="Consolas" w:eastAsia="微软雅黑"/>
                <w:sz w:val="18"/>
              </w:rPr>
              <w:t>INIT -&gt; REQUESTING_CLIENT -&gt; CLIENT_ACKED -&gt; ROOM_READY -&gt; STREAMING -&gt; STOPPING -&gt; CLOSED</w:t>
            </w:r>
            <w:r>
              <w:br/>
            </w:r>
            <w:r>
              <w:rPr>
                <w:rFonts w:ascii="Consolas" w:hAnsi="Consolas" w:eastAsia="微软雅黑"/>
                <w:sz w:val="18"/>
              </w:rPr>
            </w:r>
            <w:r>
              <w:br/>
            </w:r>
            <w:r>
              <w:rPr>
                <w:rFonts w:ascii="Consolas" w:hAnsi="Consolas" w:eastAsia="微软雅黑"/>
                <w:sz w:val="18"/>
              </w:rPr>
              <w:t>异常状态：</w:t>
            </w:r>
            <w:r>
              <w:br/>
            </w:r>
            <w:r>
              <w:rPr>
                <w:rFonts w:ascii="Consolas" w:hAnsi="Consolas" w:eastAsia="微软雅黑"/>
                <w:sz w:val="18"/>
              </w:rPr>
              <w:t>INIT / REQUESTING_CLIENT / ROOM_READY -&gt; TIMEOUT / FAILED</w:t>
            </w:r>
            <w:r>
              <w:br/>
            </w:r>
            <w:r>
              <w:rPr>
                <w:rFonts w:ascii="Consolas" w:hAnsi="Consolas" w:eastAsia="微软雅黑"/>
                <w:sz w:val="18"/>
              </w:rPr>
              <w:t>STREAMING -&gt; INTERRUPTED -&gt; STREAMING 或 FAILED</w:t>
            </w:r>
          </w:p>
        </w:tc>
      </w:tr>
    </w:tbl>
    <w:p/>
    <w:p>
      <w:pPr>
        <w:pStyle w:val="Heading2"/>
      </w:pPr>
      <w:r>
        <w:t>5.3 关键接口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268"/>
        <w:gridCol w:w="6803"/>
      </w:tblGrid>
      <w:tr>
        <w:tc>
          <w:tcPr>
            <w:tcW w:type="dxa" w:w="7172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sz w:val="18"/>
              </w:rPr>
              <w:t>POST /api/media/video-sessions</w:t>
            </w:r>
          </w:p>
        </w:tc>
        <w:tc>
          <w:tcPr>
            <w:tcW w:type="dxa" w:w="717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创建实时视频会话，参数包括 robotId、deviceId、channel、quality、reuse。</w:t>
            </w:r>
          </w:p>
        </w:tc>
      </w:tr>
      <w:tr>
        <w:tc>
          <w:tcPr>
            <w:tcW w:type="dxa" w:w="7172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sz w:val="18"/>
              </w:rPr>
              <w:t>GET /api/media/video-sessions/{sessionId}</w:t>
            </w:r>
          </w:p>
        </w:tc>
        <w:tc>
          <w:tcPr>
            <w:tcW w:type="dxa" w:w="717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查询会话状态、Room、Track、观看人数、错误原因等。</w:t>
            </w:r>
          </w:p>
        </w:tc>
      </w:tr>
      <w:tr>
        <w:tc>
          <w:tcPr>
            <w:tcW w:type="dxa" w:w="7172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sz w:val="18"/>
              </w:rPr>
              <w:t>POST /api/media/video-sessions/{sessionId}/token</w:t>
            </w:r>
          </w:p>
        </w:tc>
        <w:tc>
          <w:tcPr>
            <w:tcW w:type="dxa" w:w="717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获取观看 Token，前端凭 Token 加入 LiveKit Room。</w:t>
            </w:r>
          </w:p>
        </w:tc>
      </w:tr>
      <w:tr>
        <w:tc>
          <w:tcPr>
            <w:tcW w:type="dxa" w:w="7172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sz w:val="18"/>
              </w:rPr>
              <w:t>POST /api/media/video-sessions/{sessionId}/switch-channel</w:t>
            </w:r>
          </w:p>
        </w:tc>
        <w:tc>
          <w:tcPr>
            <w:tcW w:type="dxa" w:w="717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切换双光云台通道，如 visible、thermal、fusion。</w:t>
            </w:r>
          </w:p>
        </w:tc>
      </w:tr>
      <w:tr>
        <w:tc>
          <w:tcPr>
            <w:tcW w:type="dxa" w:w="7172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sz w:val="18"/>
              </w:rPr>
              <w:t>POST /api/media/video-sessions/{sessionId}/stop</w:t>
            </w:r>
          </w:p>
        </w:tc>
        <w:tc>
          <w:tcPr>
            <w:tcW w:type="dxa" w:w="717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停止实时视频会话，释放观看会话和客户端媒体资源。</w:t>
            </w:r>
          </w:p>
        </w:tc>
      </w:tr>
    </w:tbl>
    <w:p/>
    <w:p>
      <w:pPr>
        <w:pStyle w:val="Heading2"/>
      </w:pPr>
      <w:r>
        <w:t>5.4 双光云台通道模型</w:t>
      </w:r>
    </w:p>
    <w:p>
      <w:pPr>
        <w:pStyle w:val="ListBullet"/>
        <w:spacing w:after="60"/>
      </w:pPr>
      <w:r>
        <w:rPr>
          <w:rFonts w:ascii="Arial" w:hAnsi="Arial" w:eastAsia="微软雅黑"/>
          <w:sz w:val="21"/>
        </w:rPr>
        <w:t>visible：可见光通道，适合常规巡检与人工观察。</w:t>
      </w:r>
    </w:p>
    <w:p>
      <w:pPr>
        <w:pStyle w:val="ListBullet"/>
        <w:spacing w:after="60"/>
      </w:pPr>
      <w:r>
        <w:rPr>
          <w:rFonts w:ascii="Arial" w:hAnsi="Arial" w:eastAsia="微软雅黑"/>
          <w:sz w:val="21"/>
        </w:rPr>
        <w:t>thermal：热成像/红外通道，适合夜间、烟雾、温度异常等场景。</w:t>
      </w:r>
    </w:p>
    <w:p>
      <w:pPr>
        <w:pStyle w:val="ListBullet"/>
        <w:spacing w:after="60"/>
      </w:pPr>
      <w:r>
        <w:rPr>
          <w:rFonts w:ascii="Arial" w:hAnsi="Arial" w:eastAsia="微软雅黑"/>
          <w:sz w:val="21"/>
        </w:rPr>
        <w:t>fusion：融合通道，如果云台或客户端具备融合能力，可作为扩展通道。</w:t>
      </w:r>
    </w:p>
    <w:p>
      <w:pPr>
        <w:pStyle w:val="ListBullet"/>
        <w:spacing w:after="60"/>
      </w:pPr>
      <w:r>
        <w:rPr>
          <w:rFonts w:ascii="Arial" w:hAnsi="Arial" w:eastAsia="微软雅黑"/>
          <w:sz w:val="21"/>
        </w:rPr>
        <w:t>quality 建议支持 main、sub、auto。视频墙优先使用 sub，单路详情优先使用 main。</w:t>
      </w:r>
    </w:p>
    <w:p>
      <w:pPr>
        <w:pStyle w:val="Heading1"/>
      </w:pPr>
      <w:r>
        <w:t>6. 与语音对讲的衔接</w:t>
      </w:r>
    </w:p>
    <w:p>
      <w:r>
        <w:t>选择方案 A 后，语音对讲不需要另起一套完全独立的实时通信体系。云接入客户端可以同时作为音频 Publisher/Subscriber，平台通过 LiveKit 房间和音频 Track 实现单机器人对讲、分组广播和少量多方协作。</w:t>
      </w:r>
    </w:p>
    <w:p>
      <w:pPr>
        <w:pStyle w:val="ListBullet"/>
        <w:spacing w:after="60"/>
      </w:pPr>
      <w:r>
        <w:rPr>
          <w:rFonts w:ascii="Arial" w:hAnsi="Arial" w:eastAsia="微软雅黑"/>
          <w:sz w:val="21"/>
        </w:rPr>
        <w:t>单机器人对讲：操作员与某台机器人建立双向音频。</w:t>
      </w:r>
    </w:p>
    <w:p>
      <w:pPr>
        <w:pStyle w:val="ListBullet"/>
        <w:spacing w:after="60"/>
      </w:pPr>
      <w:r>
        <w:rPr>
          <w:rFonts w:ascii="Arial" w:hAnsi="Arial" w:eastAsia="微软雅黑"/>
          <w:sz w:val="21"/>
        </w:rPr>
        <w:t>分组广播：操作员向一组机器人下发语音，机器人端可按策略回传。</w:t>
      </w:r>
    </w:p>
    <w:p>
      <w:pPr>
        <w:pStyle w:val="ListBullet"/>
        <w:spacing w:after="60"/>
      </w:pPr>
      <w:r>
        <w:rPr>
          <w:rFonts w:ascii="Arial" w:hAnsi="Arial" w:eastAsia="微软雅黑"/>
          <w:sz w:val="21"/>
        </w:rPr>
        <w:t>监听/抢占：默认视频墙静音，选中机器人后开启监听或主控对讲。</w:t>
      </w:r>
    </w:p>
    <w:p>
      <w:pPr>
        <w:pStyle w:val="ListBullet"/>
        <w:spacing w:after="60"/>
      </w:pPr>
      <w:r>
        <w:rPr>
          <w:rFonts w:ascii="Arial" w:hAnsi="Arial" w:eastAsia="微软雅黑"/>
          <w:sz w:val="21"/>
        </w:rPr>
        <w:t>占用规则：同一机器人同一时间建议只允许一个主控对讲，其他用户可监听、排队或申请接管。</w:t>
      </w:r>
    </w:p>
    <w:p>
      <w:pPr>
        <w:pStyle w:val="Heading1"/>
      </w:pPr>
      <w:r>
        <w:t>7. 方案 B 的保留方式</w:t>
      </w:r>
    </w:p>
    <w:p>
      <w:r>
        <w:t>方案 B 不作为平台第一阶段主链路，但仍然是必要的兼容能力。它应主要下沉到云接入客户端内部，作为不同媒体源的适配方式；在少数不具备客户端部署条件的机器人或固定摄像头场景中，平台侧也可以提供旁路 Media Adapter。</w:t>
      </w:r>
    </w:p>
    <w:p>
      <w:pPr>
        <w:pStyle w:val="ListBullet"/>
        <w:spacing w:after="60"/>
      </w:pPr>
      <w:r>
        <w:rPr>
          <w:rFonts w:ascii="Arial" w:hAnsi="Arial" w:eastAsia="微软雅黑"/>
          <w:sz w:val="21"/>
        </w:rPr>
        <w:t>客户端内部适配：RTSP、RTMP、GB28181、厂商 SDK、本地摄像头、本地麦克风。</w:t>
      </w:r>
    </w:p>
    <w:p>
      <w:pPr>
        <w:pStyle w:val="ListBullet"/>
        <w:spacing w:after="60"/>
      </w:pPr>
      <w:r>
        <w:rPr>
          <w:rFonts w:ascii="Arial" w:hAnsi="Arial" w:eastAsia="微软雅黑"/>
          <w:sz w:val="21"/>
        </w:rPr>
        <w:t>平台侧旁路适配：用于无法部署云接入客户端的存量设备或临时接入设备。</w:t>
      </w:r>
    </w:p>
    <w:p>
      <w:pPr>
        <w:pStyle w:val="ListBullet"/>
        <w:spacing w:after="60"/>
      </w:pPr>
      <w:r>
        <w:rPr>
          <w:rFonts w:ascii="Arial" w:hAnsi="Arial" w:eastAsia="微软雅黑"/>
          <w:sz w:val="21"/>
        </w:rPr>
        <w:t>对上保持统一：无论底层来源如何，平台都输出 video_session、audio_session、room、track、token、status。</w:t>
      </w:r>
    </w:p>
    <w:p>
      <w:pPr>
        <w:pStyle w:val="Heading1"/>
      </w:pPr>
      <w:r>
        <w:t>8. 一期实施建议</w:t>
      </w:r>
    </w:p>
    <w:p>
      <w:pPr>
        <w:pStyle w:val="ListNumber"/>
        <w:spacing w:after="60"/>
      </w:pPr>
      <w:r>
        <w:rPr>
          <w:rFonts w:ascii="Arial" w:hAnsi="Arial" w:eastAsia="微软雅黑"/>
          <w:sz w:val="21"/>
        </w:rPr>
        <w:t>先完成云接入客户端到 LiveKit 的最小发布链路，验证双光云台 RTSP 转 LiveKit Video Track。</w:t>
      </w:r>
    </w:p>
    <w:p>
      <w:pPr>
        <w:pStyle w:val="ListNumber"/>
        <w:spacing w:after="60"/>
      </w:pPr>
      <w:r>
        <w:rPr>
          <w:rFonts w:ascii="Arial" w:hAnsi="Arial" w:eastAsia="微软雅黑"/>
          <w:sz w:val="21"/>
        </w:rPr>
        <w:t>Media Service 先实现会话创建、Token 分发、Room/Track 状态管理、WebSocket 状态推送。</w:t>
      </w:r>
    </w:p>
    <w:p>
      <w:pPr>
        <w:pStyle w:val="ListNumber"/>
        <w:spacing w:after="60"/>
      </w:pPr>
      <w:r>
        <w:rPr>
          <w:rFonts w:ascii="Arial" w:hAnsi="Arial" w:eastAsia="微软雅黑"/>
          <w:sz w:val="21"/>
        </w:rPr>
        <w:t>先支持 visible 和 thermal 两个通道，fusion 作为扩展字段预留。</w:t>
      </w:r>
    </w:p>
    <w:p>
      <w:pPr>
        <w:pStyle w:val="ListNumber"/>
        <w:spacing w:after="60"/>
      </w:pPr>
      <w:r>
        <w:rPr>
          <w:rFonts w:ascii="Arial" w:hAnsi="Arial" w:eastAsia="微软雅黑"/>
          <w:sz w:val="21"/>
        </w:rPr>
        <w:t>先支持多人观看复用同一路 Track，避免同一机器人重复拉流和重复发布。</w:t>
      </w:r>
    </w:p>
    <w:p>
      <w:pPr>
        <w:pStyle w:val="ListNumber"/>
        <w:spacing w:after="60"/>
      </w:pPr>
      <w:r>
        <w:rPr>
          <w:rFonts w:ascii="Arial" w:hAnsi="Arial" w:eastAsia="微软雅黑"/>
          <w:sz w:val="21"/>
        </w:rPr>
        <w:t>先定义异常处理：机器人离线、客户端 ACK 超时、Track 中断、重复请求、观看人数为 0 后延迟释放。</w:t>
      </w:r>
    </w:p>
    <w:p>
      <w:pPr>
        <w:pStyle w:val="ListNumber"/>
        <w:spacing w:after="60"/>
      </w:pPr>
      <w:r>
        <w:rPr>
          <w:rFonts w:ascii="Arial" w:hAnsi="Arial" w:eastAsia="微软雅黑"/>
          <w:sz w:val="21"/>
        </w:rPr>
        <w:t>语音对讲在实时视频稳定后复用同一房间/会话模型扩展，避免重复设计状态机。</w:t>
      </w:r>
    </w:p>
    <w:p>
      <w:pPr>
        <w:pStyle w:val="Heading1"/>
      </w:pPr>
      <w:r>
        <w:t>9. 建议评审关注点</w:t>
      </w:r>
    </w:p>
    <w:p>
      <w:pPr>
        <w:pStyle w:val="ListBullet"/>
        <w:spacing w:after="60"/>
      </w:pPr>
      <w:r>
        <w:rPr>
          <w:rFonts w:ascii="Arial" w:hAnsi="Arial" w:eastAsia="微软雅黑"/>
          <w:sz w:val="21"/>
        </w:rPr>
        <w:t>云接入客户端是否具备稳定运行 FFmpeg/GStreamer/LiveKit SDK 的资源条件。</w:t>
      </w:r>
    </w:p>
    <w:p>
      <w:pPr>
        <w:pStyle w:val="ListBullet"/>
        <w:spacing w:after="60"/>
      </w:pPr>
      <w:r>
        <w:rPr>
          <w:rFonts w:ascii="Arial" w:hAnsi="Arial" w:eastAsia="微软雅黑"/>
          <w:sz w:val="21"/>
        </w:rPr>
        <w:t>机器人端 4G/5G 网络下的上行带宽、丢包、重连和码率自适应策略。</w:t>
      </w:r>
    </w:p>
    <w:p>
      <w:pPr>
        <w:pStyle w:val="ListBullet"/>
        <w:spacing w:after="60"/>
      </w:pPr>
      <w:r>
        <w:rPr>
          <w:rFonts w:ascii="Arial" w:hAnsi="Arial" w:eastAsia="微软雅黑"/>
          <w:sz w:val="21"/>
        </w:rPr>
        <w:t>双光云台 RTSP 主码流/子码流地址获取方式、认证方式和通道切换方式。</w:t>
      </w:r>
    </w:p>
    <w:p>
      <w:pPr>
        <w:pStyle w:val="ListBullet"/>
        <w:spacing w:after="60"/>
      </w:pPr>
      <w:r>
        <w:rPr>
          <w:rFonts w:ascii="Arial" w:hAnsi="Arial" w:eastAsia="微软雅黑"/>
          <w:sz w:val="21"/>
        </w:rPr>
        <w:t>LiveKit 部署规模、TURN/STUN、Nginx 代理、证书、端口和内外网访问策略。</w:t>
      </w:r>
    </w:p>
    <w:p>
      <w:pPr>
        <w:pStyle w:val="ListBullet"/>
        <w:spacing w:after="60"/>
      </w:pPr>
      <w:r>
        <w:rPr>
          <w:rFonts w:ascii="Arial" w:hAnsi="Arial" w:eastAsia="微软雅黑"/>
          <w:sz w:val="21"/>
        </w:rPr>
        <w:t>录制、抓拍、回放是否从 LiveKit/Egress 获取，还是由客户端或平台侧另行拉流处理。</w:t>
      </w:r>
    </w:p>
    <w:p>
      <w:pPr>
        <w:pStyle w:val="Heading1"/>
      </w:pPr>
      <w:r>
        <w:t>10. 最终结论</w:t>
      </w:r>
    </w:p>
    <w:p>
      <w:r>
        <w:t>在当前架构已经规划机器人端统一云接入客户端的前提下，实时视频模块应选择方案 A 作为主方案。该方案能够把平台实时媒体能力统一到 LiveKit/WebRTC 体系内，同时通过云接入客户端吸收 RTSP、厂商 SDK、本地设备等差异。因此，方案 A 负责平台标准化，方案 B 负责设备兼容；两者不是互斥关系，而是分层关系。</w:t>
      </w:r>
    </w:p>
    <w:sectPr w:rsidR="00FC693F" w:rsidRPr="0006063C" w:rsidSect="00034616">
      <w:pgSz w:w="16838" w:h="11906" w:orient="landscape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20"/>
    </w:pPr>
    <w:rPr>
      <w:rFonts w:ascii="Arial" w:hAnsi="Arial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微软雅黑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微软雅黑"/>
      <w:b/>
      <w:bCs/>
      <w:color w:val="30549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 w:eastAsia="微软雅黑"/>
      <w:b/>
      <w:bCs/>
      <w:color w:val="40404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微软雅黑"/>
      <w:b/>
      <w:color w:val="1F3651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