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FREELANCE PRODUCT DESIGN SERVICES AGREEMENT</w:t>
      </w:r>
    </w:p>
    <w:p>
      <w:pPr>
        <w:jc w:val="center"/>
      </w:pPr>
      <w:r>
        <w:rPr>
          <w:b/>
        </w:rPr>
        <w:t>ALTERNATIVE REVISED VERSION</w:t>
      </w:r>
    </w:p>
    <w:p>
      <w:r>
        <w:t>This Freelance Product Design Services Agreement (the “Agreement”) is entered into between Northstar Labs Ltd. (the “Company”) and Maya Okafor (the “Designer”).</w:t>
      </w:r>
    </w:p>
    <w:p>
      <w:r>
        <w:rPr>
          <w:b/>
        </w:rPr>
        <w:t>1. Services and Deliverables</w:t>
      </w:r>
    </w:p>
    <w:p>
      <w:r>
        <w:t>The Designer will provide freelance product design services for the Company, including approximately 12 product screens, a reusable component library, presentation and feedback sessions, and delivery of final editable Figma files (the “Deliverables”). The Designer will provide up to three (3) rounds of revisions for each major deliverable. Any request that materially changes the agreed scope, functionality, or design direction will be treated as additional work and will require written agreement on the additional fee and timeline before the Designer is required to perform it.</w:t>
      </w:r>
    </w:p>
    <w:p>
      <w:r>
        <w:rPr>
          <w:b/>
        </w:rPr>
        <w:t>2. Fees and Payment</w:t>
      </w:r>
    </w:p>
    <w:p>
      <w:r>
        <w:t>The total fee is ₦1,200,000. The Company will pay ₦400,000 upon execution, ₦400,000 upon delivery of the first complete design milestone, and ₦400,000 upon final delivery. Invoices are payable within fourteen (14) days. The Designer may pause work on an overdue undisputed invoice after three (3) business days’ written notice.</w:t>
      </w:r>
    </w:p>
    <w:p>
      <w:r>
        <w:rPr>
          <w:b/>
        </w:rPr>
        <w:t>3. Review and Acceptance</w:t>
      </w:r>
    </w:p>
    <w:p>
      <w:r>
        <w:t>The Company will review each milestone and provide written, reasonably detailed feedback within five (5) business days. A milestone is deemed accepted if the Company does not provide written rejection or specific requested changes within that period. Rejection must relate to the agreed scope or documented requirements.</w:t>
      </w:r>
    </w:p>
    <w:p>
      <w:r>
        <w:rPr>
          <w:b/>
        </w:rPr>
        <w:t>4. Timeline and Client Cooperation</w:t>
      </w:r>
    </w:p>
    <w:p>
      <w:r>
        <w:t>The parties will agree on a project schedule after execution. Deadlines will be reasonably extended where delays are caused by the Company’s failure to provide required information, access, decisions, materials, or feedback on time.</w:t>
      </w:r>
    </w:p>
    <w:p>
      <w:r>
        <w:rPr>
          <w:b/>
        </w:rPr>
        <w:t>5. Intellectual Property</w:t>
      </w:r>
    </w:p>
    <w:p>
      <w:r>
        <w:t>Upon full payment of all undisputed amounts due for the relevant Deliverables, the Designer assigns to the Company all right, title, and interest in the final Deliverables specifically created for the Company. The Designer retains ownership of pre-existing materials, tools, methods, templates, know-how, and reusable design components developed independently. For incorporated pre-existing materials, the Designer grants the Company a perpetual, worldwide, royalty-free licence to use them as part of the Deliverables. Unused drafts, general methodologies, and independently developed materials remain the Designer’s property.</w:t>
      </w:r>
    </w:p>
    <w:p>
      <w:r>
        <w:rPr>
          <w:b/>
        </w:rPr>
        <w:t>6. Portfolio Rights</w:t>
      </w:r>
    </w:p>
    <w:p>
      <w:r>
        <w:t>After the relevant work has been publicly released by the Company, the Designer may display completed Deliverables in the Designer’s portfolio, website, social media, and professional presentations, provided confidential and unreleased information is not disclosed. Unreleased work requires the Company’s prior written consent.</w:t>
      </w:r>
    </w:p>
    <w:p>
      <w:r>
        <w:rPr>
          <w:b/>
        </w:rPr>
        <w:t>7. Confidentiality</w:t>
      </w:r>
    </w:p>
    <w:p>
      <w:r>
        <w:t>Each party will keep confidential non-public information received from the other party and use it only for purposes of this Agreement. This obligation continues for three (3) years after termination or expiry, except that trade secrets remain protected while they qualify as trade secrets under applicable law.</w:t>
      </w:r>
    </w:p>
    <w:p>
      <w:r>
        <w:rPr>
          <w:b/>
        </w:rPr>
        <w:t>8. Non-Solicitation</w:t>
      </w:r>
    </w:p>
    <w:p>
      <w:r>
        <w:t>During the term and for twelve (12) months after termination, neither party will knowingly solicit for employment or direct engagement any employee or independent contractor of the other party with whom it had material contact through the project. General advertisements not specifically directed at such personnel are excluded.</w:t>
      </w:r>
    </w:p>
    <w:p>
      <w:r>
        <w:rPr>
          <w:b/>
        </w:rPr>
        <w:t>9. Termination</w:t>
      </w:r>
    </w:p>
    <w:p>
      <w:r>
        <w:t>Either party may terminate for convenience on seven (7) days’ written notice. If the Company terminates, it will pay for Services and Deliverables completed up to termination, together with approved non-cancellable project expenses. If the Designer terminates for convenience, the Designer will deliver completed work for which payment has been made and reasonably cooperate in an orderly handover.</w:t>
      </w:r>
    </w:p>
    <w:p>
      <w:r>
        <w:rPr>
          <w:b/>
        </w:rPr>
        <w:t>10. Indemnity</w:t>
      </w:r>
    </w:p>
    <w:p>
      <w:r>
        <w:t>Each party will indemnify the other against third-party claims to the extent directly arising from that party’s material breach, gross negligence, wilful misconduct, or infringement of third-party intellectual property rights. Neither party is responsible for claims caused by the other party’s modification, combination, or use of Deliverables outside the agreed scope.</w:t>
      </w:r>
    </w:p>
    <w:p>
      <w:r>
        <w:rPr>
          <w:b/>
        </w:rPr>
        <w:t>11. Limitation of Liability</w:t>
      </w:r>
    </w:p>
    <w:p>
      <w:r>
        <w:t>Except for fraud, wilful misconduct, or payment obligations, each party’s aggregate liability will not exceed the total fees paid or payable under this Agreement. Neither party will be liable for indirect, incidental, special, or consequential damages except where prohibited by applicable law.</w:t>
      </w:r>
    </w:p>
    <w:p>
      <w:r>
        <w:rPr>
          <w:b/>
        </w:rPr>
        <w:t>12. Non-Disparagement</w:t>
      </w:r>
    </w:p>
    <w:p>
      <w:r>
        <w:t>During the term and for one (1) year thereafter, neither party will knowingly make materially false or defamatory statements about the other in connection with the Services. Truthful statements required by law and participation in legal or regulatory proceedings are permitted.</w:t>
      </w:r>
    </w:p>
    <w:p>
      <w:r>
        <w:rPr>
          <w:b/>
        </w:rPr>
        <w:t>13. Assignment</w:t>
      </w:r>
    </w:p>
    <w:p>
      <w:r>
        <w:t>Neither party may assign this Agreement without the other party’s prior written consent, except in connection with a merger, acquisition, corporate reorganisation, or sale of substantially all relevant assets, provided the assignee assumes the assigning party’s obligations.</w:t>
      </w:r>
    </w:p>
    <w:p>
      <w:r>
        <w:rPr>
          <w:b/>
        </w:rPr>
        <w:t>14. Independent Contractor</w:t>
      </w:r>
    </w:p>
    <w:p>
      <w:r>
        <w:t>The Designer is an independent contractor and not an employee, partner, agent, or joint venturer of the Company. The Designer is responsible for applicable taxes and business expenses except for expenses expressly approved in writing.</w:t>
      </w:r>
    </w:p>
    <w:p>
      <w:r>
        <w:rPr>
          <w:b/>
        </w:rPr>
        <w:t>15. Dispute Resolution and Governing Law</w:t>
      </w:r>
    </w:p>
    <w:p>
      <w:r>
        <w:t>This Agreement is governed by the laws of the Federal Republic of Nigeria. The parties will first attempt in good faith to resolve disputes through discussion. If unresolved, the courts of Lagos State, Nigeria will have jurisdiction.</w:t>
      </w:r>
    </w:p>
    <w:p>
      <w:r>
        <w:rPr>
          <w:b/>
        </w:rPr>
        <w:t>16. Entire Agreement</w:t>
      </w:r>
    </w:p>
    <w:p>
      <w:r>
        <w:t>This Agreement constitutes the entire agreement between the parties concerning the Services and supersedes prior discussions concerning the same subject matter. Amendments must be in writing and agreed by both parties.</w:t>
      </w:r>
    </w:p>
    <w:p>
      <w:r>
        <w:rPr>
          <w:b/>
        </w:rPr>
        <w:t>17. Change Control</w:t>
      </w:r>
    </w:p>
    <w:p>
      <w:r>
        <w:t>Any material change to the scope, Deliverables, project timeline, or fees must be agreed in writing by both parties before the additional work is required.</w:t>
      </w:r>
    </w:p>
    <w:p>
      <w:r>
        <w:br/>
        <w:t>SIGNED by the parties:</w:t>
      </w:r>
    </w:p>
    <w:p>
      <w:r>
        <w:t>For Northstar Labs Ltd.</w:t>
        <w:br/>
        <w:t>Name: __________________________</w:t>
        <w:br/>
        <w:t>Signature: ______________________</w:t>
        <w:br/>
        <w:t>Date: ___________________________</w:t>
      </w:r>
    </w:p>
    <w:p>
      <w:r>
        <w:t>Maya Okafor</w:t>
        <w:br/>
        <w:t>Signature: ______________________</w:t>
        <w:b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