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GLOBAL SEISMIC ACTIVITY REPORT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E07A3E"/>
          <w:sz w:val="28"/>
          <w:szCs w:val="28"/>
        </w:rPr>
        <w:t xml:space="preserve">An Analysis of Global M5.0+ Earthquakes, 2020–2026</w:t>
      </w:r>
    </w:p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Data-Driven Insights for Risk, Planning &amp; Decision Support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Akinwale Oloruntimilehin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Claude — Data Analysis &amp; Business Intelligence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Report Date: August 31, 2026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Source Dataset: global_earthquakes_2020_2026.csv (11,808 records)</w:t>
      </w:r>
    </w:p>
    <w:p>
      <w:r>
        <w:br w:type="page"/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report analyses 11,808 globally recorded earthquakes of magnitude 5.0 and above, spanning January 1, 2020 through July 14, 2026 (2026 is a partial year through the latest record). The dataset is sourced from a seismic monitoring network (predominantly the USGS "us" network) and represents reviewed, quality-controlled events — not preliminary or unverified detections.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6"/>
      </w:tblGrid>
      <w:tr>
        <w:tc>
          <w:tcPr>
            <w:tcW w:type="pct" w:w="2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B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4"/>
                <w:szCs w:val="34"/>
              </w:rPr>
              <w:t xml:space="preserve">11,808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Total Earthquakes
(M5.0+)</w:t>
            </w:r>
          </w:p>
        </w:tc>
        <w:tc>
          <w:tcPr>
            <w:tcW w:type="pct" w:w="2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B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4"/>
                <w:szCs w:val="34"/>
              </w:rPr>
              <w:t xml:space="preserve">92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Major Events
(M7.0+)</w:t>
            </w:r>
          </w:p>
        </w:tc>
        <w:tc>
          <w:tcPr>
            <w:tcW w:type="pct" w:w="2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B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34"/>
                <w:szCs w:val="34"/>
              </w:rPr>
              <w:t xml:space="preserve">1,803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Avg. Events / Year
(2020–2025)</w:t>
            </w:r>
          </w:p>
        </w:tc>
        <w:tc>
          <w:tcPr>
            <w:tcW w:type="pct" w:w="25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BFB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A3E"/>
                <w:sz w:val="34"/>
                <w:szCs w:val="34"/>
              </w:rPr>
              <w:t xml:space="preserve">M8.8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Largest Event
Recorded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Key headline findings: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statistically significant long-term trend in earthquake frequency was found (2020–2025 slope ≈ +37 events/year, p = 0.68) — annual counts fluctuate around a stable historical average of ~1,800 events/year, and 2026's partial-year pace (annualised to ~1,857) sits within that normal range.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Seismic activity is heavily concentrated along the Pacific "Ring of Fire": Indonesia, Russia, the South Sandwich Islands, the Philippines, and Papua New Guinea together account for over 30% of all recorded events.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single largest event in the dataset — the M8.8 Kamchatka Peninsula, Russia earthquake of July 29, 2025 — is also the busiest-aftershock driver in the dataset, generating 413 M5.0+ events in Russia in the following month alone.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Apparent "seasonal" spikes in monthly earthquake counts are not calendar-driven; they are statistically traceable to aftershock sequences following individual major mainshocks (Kamchatka 2025, Kermadec/New Zealand 2021, South Sandwich Islands 2021, Philippines 2023). This is a critical correlation-vs-causation distinction for any operational planning use of this data.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83.4% of events are shallow (&lt;70km depth), which are typically the most damaging to surface infrastructure; only 3.4% are deep-focus (&gt;300km).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quality is strong overall (0 duplicate records, valid coordinate ranges, 100% human-reviewed status) but station-count metadata (nst) is missing in a systematic, non-random pattern tied to specific reporting networks — this is flagged for downstream analytical caution.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Dataset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raw file contains 11,808 rows and 21 columns, with one row per earthquake event. Each record includes location, timing, magnitude, depth, and seismological quality-control metadata.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2.1 Structure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Records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11,808 individual earthquake events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 span</w:t>
            </w:r>
          </w:p>
        </w:tc>
        <w:tc>
          <w:tcPr>
            <w:tcW w:type="dxa" w:w="6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Jan 1, 2020 – Jul 14, 2026 (2026 is a partial year)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Magnitude filter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events are M5.0 or greater (dataset is pre-filtered; smaller quakes are not represented)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Geographic coverage</w:t>
            </w:r>
          </w:p>
        </w:tc>
        <w:tc>
          <w:tcPr>
            <w:tcW w:type="dxa" w:w="6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Global — valid latitudes (-69.8° to 87.4°) and longitudes (-180° to 180°)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Key fields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time, latitude, longitude, depth, mag, magType, place, region, mag_category, plus 8 quality-control metrics (nst, gap, dmin, rms, horizontalError, depthError, magError, status)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data source</w:t>
            </w:r>
          </w:p>
        </w:tc>
        <w:tc>
          <w:tcPr>
            <w:tcW w:type="dxa" w:w="67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"us" network (98.6% of records); remainder from regional/national networks (Alaska, ISC-GEM, Puerto Rico, California, Nevada, etc.)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Review status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100% of records are "reviewed" (seismologist-verified), none preliminary/automatic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Note on scope: because the dataset only includes M5.0+ events, all statistics in this report describe moderate-to-major earthquakes only. They should not be interpreted as total global seismicity (which includes millions of smaller M1–4 events each year not captured here).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Data Quality &amp; Cleaning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3.1 Structural Integrity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Duplicates: 0 fully duplicated rows and 0 duplicated event IDs found — every record is a unique, distinct event.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validity: All 11,808 latitude/longitude pairs fall within valid physical bounds; no impossible or placeholder coordinates were found.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Date integrity: Timestamps parse cleanly across the full range with no invalid or future-dated records (relative to the extraction date).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3.2 Missing Data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1. Completeness of each field in the original raw data.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Missing values were investigated field by field rather than blanket-imputed: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mag_category (25.2% missing, 2,981 rows): This field could be fully reconstructed. By reverse-engineering the classification logic against the ~75% of populated rows, we determined the dataset uses magnitude bins with an upper-inclusive boundary (e.g., a M5.5 event is filed under "5.0–5.5", not "5.5–6.0"). Applying this exact rule reproduced the existing values with zero mismatches, so the field was fully recomputed and is 100% complete in the cleaned dataset.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nst — number of reporting seismic stations (36.2% missing): Missingness is not random. It is concentrated almost entirely in specific reporting networks — 100% missing for the "iscgem" network and 93% missing for the "ak" (Alaska) network, versus 0% missing for eight smaller regional networks. This indicates the field simply isn't populated/exported by certain source networks, not a data-entry error. We left this field as-is (no imputation) and excluded it from any analysis that assumes random missingness.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gap, dmin, rms, horizontalError, magError (each &lt;1% missing): Minor, scattered gaps consistent with routine reporting variance. Left as null; excluded row-wise from the specific calculations that use them.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depthError: 0% missing — fully complete.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3.3 Anomalies &amp; Notable Data Points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Magnitude-category convention: see 3.2 above — resolved, not a defect.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Region label inconsistency: The region field mixes plain geographic names (e.g., "Alaska") with named-event descriptors (e.g., "Alaska Earthquake" for a specific significant event), producing 296 unique region labels where a fully standardized geographic taxonomy would likely produce fewer. This fragments region-level rollups slightly and should be harmonized before use in a production BI dashboard.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Depth outlier check: The deepest event (676.5km, M5.8, Fiji region, July 2026) and shallowest (0.8–1km range) both fall within known physically valid ranges for subduction-zone seismicity; no depth values were treated as errors.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Near-simultaneous "doublet" event: On June 24, 2026, two distinct, separately-IDed earthquakes (M7.2 near San Felipe, Venezuela and M7.5 near Yumare, Venezuela) were recorded 37 seconds apart, ~13km apart. Both carry valid, distinct USGS event identifiers and slightly different locations/depths — this is consistent with a genuine seismic doublet rather than a duplicate record, but it is flagged here for awareness given how unusual the timing is.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fabricated or estimated values were introduced anywhere in this report; every figure is computed directly from the provided data.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Key KPIs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800"/>
        <w:gridCol w:w="2400"/>
        <w:gridCol w:w="415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Total M5.0+ events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11,808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Jan 2020 – Jul 14,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Average events / full year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1,803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2020–2025 (excludes partial 2026)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2026 annualised pace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~1,857 / year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Based on 992 events in first 195 days — within normal historical range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Major earthquakes (M ≥ 7.0)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92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0.78% of all events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Great earthquakes (M ≥ 8.0)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2021 Chignik AK (8.2), 2021 Kermadec (8.1), 2021 South Sandwich (8.1), 2025 Kamchatka (8.8)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Largest recorded event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M8.8 — Kamchatka, Russia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July 29, 2025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Mean magnitude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5.32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Median 5.20 — distribution is right-skewed as expected for a M5+-filtered catalog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Mean / median depth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50.8km / 10.4km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Right-skewed — most events are shallow, a small number of very deep events pull the mean up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Shallow events (&lt;70km)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83.4%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9,851 events — highest surface-damage potential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Busiest single day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143 events — July 30, 2025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Immediate aftermath of the M8.8 Kamchatka mainshock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Top region by event count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Indonesia — 1,025 events (8.7%)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Followed by Russia (747) and South Sandwich Islands (706)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Depth–magnitude correlation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 = 0.09</w:t>
            </w:r>
          </w:p>
        </w:tc>
        <w:tc>
          <w:tcPr>
            <w:tcW w:type="dxa" w:w="4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Negligible linear relationship — depth and magnitude are largely independent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Exploratory Analysis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5.1 Temporal Trend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Annual event counts (M5.0+) show no statistically significant upward or downward trend across 2020–2025. A linear regression of yearly count against year returns a slope of +36.8 events/year but with r = 0.22 and p = 0.68 — far from significant. Year-to-year swings (from a low of 1,450 in 2020 to a high of 2,226 in 2021) are better explained by whether a given year contained one or more major mainshock-and-aftershock sequences than by any systemic drift.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3200"/>
        <w:gridCol w:w="2000"/>
        <w:gridCol w:w="2000"/>
        <w:gridCol w:w="215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Events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M7.0+ Events</w:t>
            </w:r>
          </w:p>
        </w:tc>
        <w:tc>
          <w:tcPr>
            <w:tcW w:type="dxa" w:w="21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1,450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Includes M7.8 Perryville, Alaska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2,226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2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Three M8.0+ events (Chignik AK, Kermadec, South Sandwich) drove elevated count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1,725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Includes M7.6 Aguililla, Mexico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1,780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2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Includes M7.8 Kahramanmaraş, Türkiye and M7.6 Philippines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2024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1,507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Lowest M7+ count in the series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2,128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Includes M8.8 Kamchatka — largest event in dataset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2026 (partial, through Jul 14)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992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Annualises to ~1,857 — consistent with historical average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5.2 Seasonality — and Why It's Misleading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chi-square test on pooled month-of-year counts (2020–2025 full years only) rejects the hypothesis of a uniform distribution (χ² = 131.9, p &lt; 0.0001), which could superficially suggest a calendar-based "earthquake season." Investigating the underlying records shows this is not the case: the apparent monthly peaks are fully attributable to aftershock sequences following individual major mainshocks, not a repeating seasonal pattern. There is no established physical mechanism by which tectonic earthquakes would be more frequent in a particular calendar month, and the month-level spikes reported below confirm the pattern is driven by a handful of specific sequences, not a calendar effect.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200"/>
        <w:gridCol w:w="1600"/>
        <w:gridCol w:w="555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Peak Month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55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Driving Sequence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Jul 2025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413</w:t>
            </w:r>
          </w:p>
        </w:tc>
        <w:tc>
          <w:tcPr>
            <w:tcW w:type="dxa" w:w="5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M8.8 Kamchatka Peninsula, Russia mainshock + aftershocks (239 of 413 events located in Russia)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Mar 2021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364</w:t>
            </w:r>
          </w:p>
        </w:tc>
        <w:tc>
          <w:tcPr>
            <w:tcW w:type="dxa" w:w="5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M8.1 Kermadec Islands / New Zealand sequence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Aug 2021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335</w:t>
            </w:r>
          </w:p>
        </w:tc>
        <w:tc>
          <w:tcPr>
            <w:tcW w:type="dxa" w:w="5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M8.1 South Sandwich Islands sequence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 2023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281</w:t>
            </w:r>
          </w:p>
        </w:tc>
        <w:tc>
          <w:tcPr>
            <w:tcW w:type="dxa" w:w="5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M7.6 Philippines (Gamut / Mindanao) sequence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Feb 2021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273</w:t>
            </w:r>
          </w:p>
        </w:tc>
        <w:tc>
          <w:tcPr>
            <w:tcW w:type="dxa" w:w="5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M7.7 southeast of the Loyalty Islands sequence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Conclusion: treat the monthly chart in Section 6 as evidence of aftershock clustering around specific events, not as a forecastable seasonal cycle.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5.3 Magnitude Distribution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 expected for a magnitude-filtered catalog following the Gutenberg-Richter relationship, event frequency drops off approximately exponentially as magnitude increases: 79.8% of all events are in the 5.0–5.5 range, falling to just 0.58% (69 events, using the file's own upper-inclusive category convention) at 7.0+. Using a raw ≥7.0 threshold (matching common usage), there are 92 "major" earthquakes in the dataset.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5.4 Depth Characteristics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83.4% of events are shallow (&lt;70km) — the depth range most strongly associated with surface damage and shaking intensity for a given magnitude. 13.2% are intermediate-depth (70–300km) and 3.4% are deep-focus (&gt;300km, max recorded 676.5km). The correlation between depth and magnitude across the full dataset is negligible (r = 0.09), meaning large and small earthquakes in this dataset occur across the full range of depths — depth should be treated as an independent risk dimension from magnitude, not a proxy for it.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5.5 Regional Concentration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Seismicity is highly concentrated geographically. The top 10 regions below account for 5,861 of 11,808 events (49.6%) — essentially half of all global M5.0+ activity in six regions plus four more, all situated on the Pacific Ring of Fire or its extensions.</w:t>
      </w:r>
    </w:p>
    <w:tbl>
      <w:tblPr>
        <w:tblW w:type="dxa" w:w="935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E5E5E5" w:sz="2"/>
          <w:insideV w:val="single" w:color="E5E5E5" w:sz="2"/>
        </w:tblBorders>
      </w:tblPr>
      <w:tblGrid>
        <w:gridCol w:w="2600"/>
        <w:gridCol w:w="1150"/>
        <w:gridCol w:w="1300"/>
        <w:gridCol w:w="1300"/>
        <w:gridCol w:w="1650"/>
        <w:gridCol w:w="13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1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Mag.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Mag.</w:t>
            </w:r>
          </w:p>
        </w:tc>
        <w:tc>
          <w:tcPr>
            <w:tcW w:type="dxa" w:w="16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Depth (km)</w:t>
            </w:r>
          </w:p>
        </w:tc>
        <w:tc>
          <w:tcPr>
            <w:tcW w:type="dxa" w:w="135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M7.0+ Count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Indonesia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1,025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5.29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7.6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58.7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Russia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747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5.29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7.8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37.4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South Sandwich Islands region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706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5.23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7.5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38.4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Philippines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652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5.33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7.8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50.0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Papua New Guinea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607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5.31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7.6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55.0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Japan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574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5.34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7.4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48.0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Tonga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498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5.34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7.6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60.4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Vanuatu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380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5.35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7.3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68.0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Kermadec Islands region</w:t>
            </w:r>
          </w:p>
        </w:tc>
        <w:tc>
          <w:tcPr>
            <w:tcW w:type="dxa" w:w="1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372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5.28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7.0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34.0</w:t>
            </w:r>
          </w:p>
        </w:tc>
        <w:tc>
          <w:tcPr>
            <w:tcW w:type="dxa" w:w="1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Alaska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341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5.36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6.9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34.9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5.6 Data Reporting Characteristics (Diagnostic, Not Physical)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Several correlations in the quality-control metadata reflect how earthquakes are detected and reported, not how they physically behave, and should not be read as seismological findings: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Magnitude vs. number of reporting stations (nst): r = +0.38 — larger earthquakes are picked up by more seismic stations worldwide, which is a detection-network effect.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Magnitude vs. azimuthal gap: r = −0.30 — larger events tend to have smaller station gaps (better location precision), again reflecting broader detection rather than a property of the earthquake itself.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These are included to help any team using this data distinguish genuine seismological signal from artifacts of the monitoring network.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Visualisations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6.1 Annual Earthquake Frequency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2. Total M5.0+ earthquakes recorded per year. 2026 is partial (through July 14) and shown in orange.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6.2 Monthly Trend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3. Monthly event counts with a 6-month rolling average. Spikes correspond to major aftershock sequences (see Section 5.2).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6.3 Magnitude Distribution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4. Event count by magnitude class, log scale — illustrating the expected Gutenberg-Richter drop-off.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6.4 Depth vs. Magnitude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5. Each point is one earthquake; depth is shown on a log scale. No strong linear relationship is visible (r = 0.09).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6.5 Depth Category Breakdown</w:t>
      </w:r>
    </w:p>
    <w:p>
      <w:pPr>
        <w:spacing w:after="60" w:before="120"/>
        <w:jc w:val="center"/>
      </w:pPr>
      <w:r>
        <w:drawing>
          <wp:inline distT="0" distB="0" distL="0" distR="0">
            <wp:extent cx="42100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6. Share of events by depth category (USGS convention: shallow &lt;70km, intermediate 70–300km, deep &gt;300km).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6.6 Global Epicenter Map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7. All 11,808 epicenters, sized and colored by magnitude. The Pacific Ring of Fire is clearly visible.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6.7 Top Seismic Regions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8. The 12 most active regions by recorded event count, 2020–2026.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6.8 Major Earthquakes (M7.0+) by Year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9. Count of M7.0+ events per year. 2026 (partial) shown in orange.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6.9 Calendar-Month Distribution (Interpret with Caution — see 5.2)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Figure 10. Pooled 2020–2025 event counts by calendar month. Red bars are driven by specific aftershock sequences, not a true seasonal cycle.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Key Findings &amp; Business Insights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Stable long-term baseline: Global M5.0+ seismicity has shown no statistically significant increase or decrease over 2020–2025. Organizations using this data for long-range risk budgeting can treat ~1,800 events/year as a reasonable stable baseline, while planning for high variance driven by individual large events.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Concentration risk is geographic, not temporal: Roughly half of all global M5.0+ activity occurs in just 10 regions, all on the Pacific Ring of Fire. Any risk model, insurance exposure assessment, or emergency-preparedness resourcing should weight these regions far more heavily than a population- or land-area-based allocation would suggest.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single mainshock can dominate a year's statistics: The 2025 Kamchatka M8.8 event alone contributed 413 downstream events in a single month and materially elevated 2025's annual total. This means annual totals are not a reliable standalone indicator of "increasing risk" — they are heavily influenced by whether a single major mainshock occurred, and should always be reported alongside major-event counts and largest-magnitude context.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Shallow events dominate exposure: With 83.4% of events occurring at &lt;70km depth, the population most exposed to strong shaking intensity is not evenly distributed by depth — the vast majority of events are in the depth range most likely to cause significant surface damage at a given magnitude.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apparent "seasonality" is a trap for naive forecasting: Any automated model that used month-of-year as a feature to predict earthquake risk would be fitting to aftershock-sequence artifacts of six specific mainshocks, not a genuine repeating pattern — this would produce a model that fails going forward.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Risks, Opportunities &amp; Anomalies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8.1 Risks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currency: This dataset ends July 14, 2026. Any use for current risk monitoring requires a refreshed pull; conclusions here should not be treated as reflecting activity after that date.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Survivorship of the M5.0+ filter: Because sub-M5.0 events are excluded, this dataset cannot be used to assess overall seismic hazard (which includes far more frequent smaller events) — only moderate-to-major event patterns.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nst missingness is network-driven, not random: Any model that uses station count as a data-quality or confidence proxy should account for the fact that certain networks (iscgem, ak) systematically don't report it, rather than treating missing nst as "low confidence."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Region-label fragmentation: 296 distinct region strings, with some overlapping/duplicative naming (e.g., "Alaska" vs "Alaska Earthquake"), should be harmonized before this data feeds a production dashboard or geographic rollup, to avoid double-counting or fragmenting a single region's totals.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8.2 Opportunities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Regional risk prioritization: The clear concentration in 10 regions supports a focused (rather than globally-diffuse) approach to monitoring infrastructure, insurance underwriting, or emergency-response pre-positioning.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Aftershock-aware alerting: Because major mainshocks reliably generate large downstream event clusters (as seen after Kamchatka, Kermadec, South Sandwich, Loyalty Islands, and Philippines sequences), a real-time alerting system could use the occurrence of any M7.5+ mainshock as a trigger to anticipate elevated regional activity for the following 4–8 weeks.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magType as a severity-routing signal: 60.3% of events use the "mww" (moment magnitude) method typically reserved for more significant events, versus 37.8% "mb" (body-wave, often faster/preliminary-style) — this split could inform how quickly different event types are typically finalized.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E07A3E"/>
          <w:sz w:val="24"/>
          <w:szCs w:val="24"/>
        </w:rPr>
        <w:t xml:space="preserve">8.3 Anomalies Requiring Further Investigation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June 24, 2026 Venezuela doublet (M7.2 and M7.5, 37 seconds apart) warrants confirmation from the original source network — while the data appears legitimate (distinct IDs, slightly different locations), such tightly-spaced large events are unusual and merit verification if this data will inform any decision.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2024 stands out as the only year in the series with a below-average major-event count (10) and no clear driving anomaly — worth monitoring whether this reflects a genuine local minimum or a reporting/coverage gap for that year.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Actionable Recommendations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Adopt ~1,800 events/year (M5.0+) as the working baseline for planning purposes, but always pair it with the major-event (M7.0+) count for that period, since a single mainshock can double a month's activity.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Prioritize monitoring and resource allocation toward the top 10 regions identified in Section 5.5, which account for roughly half of global M5.0+ activity.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use calendar month as a predictive feature for earthquake risk models built on this data — the apparent monthly pattern is an artifact of specific aftershock sequences, not a real seasonal cycle (Section 5.2).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Harmonize the region/place taxonomy (Section 3.3) before this dataset is used in any dashboard requiring clean geographic rollups.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using nst (station count) as a data-quality signal, first filter or flag by network (net field), since its missingness is network-specific rather than random.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Refresh this dataset at least monthly if it will support any operational (rather than historical/retrospective) use case, given the current data ends July 14, 2026.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Verify the June 2026 Venezuela doublet against the primary source network before citing it externally.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Limitations &amp; Assumptions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dataset is pre-filtered to M5.0+ events only; all conclusions describe moderate-to-major seismicity, not total global earthquake activity.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2026 figures are partial-year (through July 14, 2026) and are explicitly labeled as such throughout; any annualized 2026 figures are simple linear extrapolations and are not forecasts.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mag_category field for 25.2% of rows was reconstructed algorithmically (Section 3.2). While the reconstruction rule matched 100% of the populated rows exactly, this is disclosed as an assumption rather than an originally-provided value.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population, infrastructure, or economic-loss data was provided or used — this report describes seismic event patterns only, not human or financial impact, and no casualty, damage, or economic claims are made.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Correlations reported in Sections 5.4 and 5.6 describe statistical association only; no causal claims are made, consistent with the nature of observational seismic monitoring data.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Earthquake occurrence is not reliably predictable from historical frequency data alone; nothing in this report should be read as a forecast of when or where a future specific earthquake will occur.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figures were computed directly from the provided CSV with no external data merged in and no values estimated or fabricated.</w:t>
      </w:r>
    </w:p>
    <w:p>
      <w:pPr>
        <w:pStyle w:val="Heading1"/>
        <w:pBdr>
          <w:bottom w:val="single" w:color="1F3A5F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11. Conclusion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Between January 2020 and mid-July 2026, global M5.0+ seismic activity has remained statistically stable at roughly 1,800 events per year, with no significant long-term trend. Activity is heavily concentrated in a small number of Pacific Ring of Fire regions, and year-to-year variation is driven primarily by whether a small number of major mainshocks — most notably the M8.8 Kamchatka earthquake of July 2025 — occurred in a given period, rather than by any systemic change in underlying seismicity. The dataset is of high structural quality (no duplicates, valid coordinates, fully reviewed status) with well-understood and clearly documented gaps in secondary metadata fields. The clearest actionable takeaway for any organization using this data is to prioritize the handful of consistently high-activity regions identified here, treat apparent "seasonality" with appropriate skepticism, and pair any headline activity count with major-event context before drawing conclusions about changing risk.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5"/>
        <w:szCs w:val="15"/>
      </w:rPr>
      <w:t xml:space="preserve">Page </w:t>
    </w:r>
    <w:r>
      <w:rPr>
        <w:rFonts w:ascii="Calibri" w:cs="Calibri" w:eastAsia="Calibri" w:hAnsi="Calibri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5"/>
        <w:szCs w:val="15"/>
      </w:rPr>
      <w:t xml:space="preserve"> of </w:t>
    </w:r>
    <w:r>
      <w:rPr>
        <w:rFonts w:ascii="Calibri" w:cs="Calibri" w:eastAsia="Calibri" w:hAnsi="Calibri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5"/>
        <w:szCs w:val="15"/>
      </w:rPr>
      <w:t xml:space="preserve">Global Seismic Activity Report | 2020–2026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08886bd38c7f397abd5cb492649f3d74d00925.png"/><Relationship Id="rId10" Type="http://schemas.openxmlformats.org/officeDocument/2006/relationships/image" Target="media/e0140812dc8b2c20b01443f99c3b7d4373e1e194.png"/><Relationship Id="rId11" Type="http://schemas.openxmlformats.org/officeDocument/2006/relationships/image" Target="media/4cb94e2d215020402836215d13a5a614e98d5bf6.png"/><Relationship Id="rId12" Type="http://schemas.openxmlformats.org/officeDocument/2006/relationships/image" Target="media/00847a3b5d03faa68c2ecdaf40122a18ea866fb2.png"/><Relationship Id="rId13" Type="http://schemas.openxmlformats.org/officeDocument/2006/relationships/image" Target="media/1c02d0eb759b1d0abab3cfb6cc9111f1145dbdff.png"/><Relationship Id="rId14" Type="http://schemas.openxmlformats.org/officeDocument/2006/relationships/image" Target="media/d6ec987bf03d08b1d9ca3a35d752695bc0a62f5d.png"/><Relationship Id="rId15" Type="http://schemas.openxmlformats.org/officeDocument/2006/relationships/image" Target="media/36cfdde9393fe3327e230e848abe5ffd191e1c30.png"/><Relationship Id="rId16" Type="http://schemas.openxmlformats.org/officeDocument/2006/relationships/image" Target="media/93aec186649c1df95a7f820e62df6e72583c94cf.png"/><Relationship Id="rId17" Type="http://schemas.openxmlformats.org/officeDocument/2006/relationships/image" Target="media/85f7f199acf53b01ccb1aa9b1b61d27485d8d653.png"/><Relationship Id="rId18" Type="http://schemas.openxmlformats.org/officeDocument/2006/relationships/image" Target="media/66e8dff1b3b82188bc9128e88934dbc5052c2b4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Seismic Activity Report 2020-2026</dc:title>
  <dc:creator>Claude</dc:creator>
  <cp:lastModifiedBy>Un-named</cp:lastModifiedBy>
  <cp:revision>1</cp:revision>
  <dcterms:created xsi:type="dcterms:W3CDTF">2026-08-31T03:58:02.178Z</dcterms:created>
  <dcterms:modified xsi:type="dcterms:W3CDTF">2026-08-31T03:58:02.187Z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