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00"/>
        <w:gridCol w:w="1600"/>
        <w:gridCol w:w="1960"/>
        <w:gridCol w:w="1860"/>
        <w:gridCol w:w="2000"/>
        <w:gridCol w:w="880"/>
        <w:gridCol w:w="760"/>
        <w:gridCol w:w="40"/>
        <w:gridCol w:w="1"/>
      </w:tblGrid>
      <w:tr>
        <w:trPr>
          <w:trHeight w:hRule="exact" w:val="1440"/>
        </w:trPr>
        <w:tc>
          <w:tcPr>
            <w:gridSpan w:val="11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780"/>
              <w:gridCol w:w="4680"/>
              <w:gridCol w:w="440"/>
            </w:tblGrid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36"/>
                      <w:b w:val="true"/>
                    </w:rPr>
                    <w:t xml:space="preserve">فاتورة مشتريات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تاريخ الانشاء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رقم المورد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المورد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الموظف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المخزن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6699"/>
                <w:sz w:val="28"/>
                <w:b w:val="true"/>
              </w:rPr>
              <w:t xml:space="preserve">المعرف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01/06/20 08:19 م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0123456784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عثمان فاروق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superaadmin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المخزن الرئيسي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الاثنين 01 يونيو 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