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1BB6" w:rsidRPr="00C31BB6" w:rsidRDefault="00C31BB6" w:rsidP="00C31BB6">
      <w:pPr>
        <w:spacing w:after="100" w:afterAutospacing="1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Project Proposal</w:t>
      </w:r>
    </w:p>
    <w:p w:rsidR="00C10B5B" w:rsidRDefault="00C10B5B" w:rsidP="00C31BB6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:rsidR="00C31BB6" w:rsidRPr="00C10B5B" w:rsidRDefault="00C31BB6" w:rsidP="00C31BB6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10B5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1. Project Overview</w:t>
      </w:r>
    </w:p>
    <w:p w:rsidR="00C31BB6" w:rsidRPr="00C31BB6" w:rsidRDefault="00C31BB6" w:rsidP="00C31BB6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kern w:val="0"/>
          <w14:ligatures w14:val="none"/>
        </w:rPr>
        <w:t xml:space="preserve">This project proposes the development of </w:t>
      </w:r>
      <w:r w:rsidRPr="00C40119">
        <w:rPr>
          <w:rFonts w:ascii="Arial" w:eastAsia="Times New Roman" w:hAnsi="Arial" w:cs="Arial"/>
          <w:kern w:val="0"/>
          <w14:ligatures w14:val="none"/>
        </w:rPr>
        <w:t>OmniForecast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, a unified analytical engine designed to evaluate the performance of </w:t>
      </w:r>
      <w:r w:rsidRPr="00C40119">
        <w:rPr>
          <w:rFonts w:ascii="Arial" w:eastAsia="Times New Roman" w:hAnsi="Arial" w:cs="Arial"/>
          <w:kern w:val="0"/>
          <w14:ligatures w14:val="none"/>
        </w:rPr>
        <w:t>Time Series Foundation Models (TSFMs)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across two distinct domains: Quantitative Finance and Supply Chain Logistics.</w:t>
      </w:r>
    </w:p>
    <w:p w:rsidR="00C31BB6" w:rsidRPr="00C31BB6" w:rsidRDefault="00C31BB6" w:rsidP="00C31BB6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kern w:val="0"/>
          <w14:ligatures w14:val="none"/>
        </w:rPr>
        <w:t>Traditionally, these domains require disparate modeling techniques. OmniForecast utilizes a "Zero-Shot" architecture to provide high-accuracy forecasting and structural anomaly detection without the need for domain-specific model training or extensive historical data.</w:t>
      </w:r>
    </w:p>
    <w:p w:rsidR="00C31BB6" w:rsidRPr="00C10B5B" w:rsidRDefault="00C31BB6" w:rsidP="00C31BB6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10B5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2. Problem Statement &amp; Research Objectives</w:t>
      </w:r>
    </w:p>
    <w:p w:rsidR="00C31BB6" w:rsidRPr="00C31BB6" w:rsidRDefault="00C31BB6" w:rsidP="00C31BB6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 The "Cold-Start" and Baseline Challenges</w:t>
      </w:r>
    </w:p>
    <w:p w:rsidR="00C31BB6" w:rsidRPr="00C31BB6" w:rsidRDefault="00C31BB6" w:rsidP="00C31BB6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kern w:val="0"/>
          <w14:ligatures w14:val="none"/>
        </w:rPr>
        <w:t>Standard deep learning models (e.g., LSTMs) struggle when historical data is sparse</w:t>
      </w:r>
      <w:r w:rsidR="00C40119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a frequent occurrence in new product launches or emerging financial assets. Furthermore, data scientists often lack a rigorous, high-performance </w:t>
      </w:r>
      <w:r w:rsidRPr="00C40119">
        <w:rPr>
          <w:rFonts w:ascii="Arial" w:eastAsia="Times New Roman" w:hAnsi="Arial" w:cs="Arial"/>
          <w:kern w:val="0"/>
          <w14:ligatures w14:val="none"/>
        </w:rPr>
        <w:t>baseline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to benchmark their custom models against.</w:t>
      </w:r>
    </w:p>
    <w:p w:rsidR="00C31BB6" w:rsidRPr="00C31BB6" w:rsidRDefault="00C31BB6" w:rsidP="00C31BB6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2.2 Objectives</w:t>
      </w:r>
    </w:p>
    <w:p w:rsidR="00C31BB6" w:rsidRPr="00C31BB6" w:rsidRDefault="00C31BB6" w:rsidP="00C31BB6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Evaluate Zero-Shot Transferability: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Determine how well models trained on diverse global datasets (like Amazon Chronos or Google TimesFM) generalize to specific financial and inventory tasks.</w:t>
      </w:r>
    </w:p>
    <w:p w:rsidR="00C31BB6" w:rsidRPr="00C31BB6" w:rsidRDefault="00C31BB6" w:rsidP="00C31BB6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Establish a "Foundation Baseline":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Provide a performance floor that any future domain-specific models must exceed.</w:t>
      </w:r>
    </w:p>
    <w:p w:rsidR="00C31BB6" w:rsidRPr="00C31BB6" w:rsidRDefault="00C31BB6" w:rsidP="00C31BB6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Unified Anomaly Detection: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Implement a latent-space anomaly detector that identifies structural breaks rather than simple statistical outliers.</w:t>
      </w:r>
    </w:p>
    <w:p w:rsidR="00C31BB6" w:rsidRPr="00C10B5B" w:rsidRDefault="00C31BB6" w:rsidP="00C31BB6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10B5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3. Methodology &amp; Technical Approach</w:t>
      </w:r>
    </w:p>
    <w:p w:rsidR="00C31BB6" w:rsidRPr="00C31BB6" w:rsidRDefault="00C31BB6" w:rsidP="00C31BB6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kern w:val="0"/>
          <w14:ligatures w14:val="none"/>
        </w:rPr>
        <w:t>The project follows a modular pipeline architecture:</w:t>
      </w:r>
    </w:p>
    <w:p w:rsidR="00C31BB6" w:rsidRPr="00C31BB6" w:rsidRDefault="00C31BB6" w:rsidP="00C31BB6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Data Ingestion: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Automated fetching of multivariate time-series data.</w:t>
      </w:r>
    </w:p>
    <w:p w:rsidR="00C31BB6" w:rsidRPr="00C31BB6" w:rsidRDefault="00C31BB6" w:rsidP="00C31BB6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Inference Engine: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Utilizing </w:t>
      </w: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Google TimesFM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Amazon Chronos-2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as the primary forecasting backbones.</w:t>
      </w:r>
    </w:p>
    <w:p w:rsidR="00C31BB6" w:rsidRPr="00C31BB6" w:rsidRDefault="00C31BB6" w:rsidP="00C31BB6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Anomaly Identification: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Leveraging </w:t>
      </w: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MOMENT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(Multi-task Foundation Model) to identify segments of data that deviate from universal temporal patterns.</w:t>
      </w:r>
    </w:p>
    <w:p w:rsidR="00C31BB6" w:rsidRDefault="00C31BB6" w:rsidP="00C31BB6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31BB6" w:rsidRPr="00C10B5B" w:rsidRDefault="00C31BB6" w:rsidP="00C31BB6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10B5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4. Evaluation &amp; Test Datasets</w:t>
      </w:r>
    </w:p>
    <w:p w:rsidR="00C31BB6" w:rsidRPr="00C31BB6" w:rsidRDefault="00C31BB6" w:rsidP="00C31BB6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kern w:val="0"/>
          <w14:ligatures w14:val="none"/>
        </w:rPr>
        <w:t>To validate the model's universality, the project will be tested against the following open-source and real-world datasets:</w:t>
      </w:r>
    </w:p>
    <w:p w:rsidR="00C31BB6" w:rsidRPr="00C31BB6" w:rsidRDefault="00C31BB6" w:rsidP="00C31BB6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4.1 Financial Domain (High Volatility)</w:t>
      </w:r>
    </w:p>
    <w:p w:rsidR="00C31BB6" w:rsidRPr="00C31BB6" w:rsidRDefault="00C31BB6" w:rsidP="00C31BB6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yfinance API: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We will programmatically fetch 5–10 years of daily Adjusted Closing prices for diverse assets:</w:t>
      </w:r>
    </w:p>
    <w:p w:rsidR="00C31BB6" w:rsidRPr="00C31BB6" w:rsidRDefault="00C31BB6" w:rsidP="00C31BB6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i/>
          <w:iCs/>
          <w:kern w:val="0"/>
          <w14:ligatures w14:val="none"/>
        </w:rPr>
        <w:t>Equity: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31BB6">
        <w:rPr>
          <w:rFonts w:ascii="Arial" w:eastAsia="Times New Roman" w:hAnsi="Arial" w:cs="Arial"/>
          <w:kern w:val="0"/>
          <w:sz w:val="20"/>
          <w:szCs w:val="20"/>
          <w14:ligatures w14:val="none"/>
        </w:rPr>
        <w:t>AAPL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31BB6">
        <w:rPr>
          <w:rFonts w:ascii="Arial" w:eastAsia="Times New Roman" w:hAnsi="Arial" w:cs="Arial"/>
          <w:kern w:val="0"/>
          <w:sz w:val="20"/>
          <w:szCs w:val="20"/>
          <w14:ligatures w14:val="none"/>
        </w:rPr>
        <w:t>NVDA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(High Growth), </w:t>
      </w:r>
      <w:r w:rsidRPr="00C31BB6">
        <w:rPr>
          <w:rFonts w:ascii="Arial" w:eastAsia="Times New Roman" w:hAnsi="Arial" w:cs="Arial"/>
          <w:kern w:val="0"/>
          <w:sz w:val="20"/>
          <w:szCs w:val="20"/>
          <w14:ligatures w14:val="none"/>
        </w:rPr>
        <w:t>KO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(Low Volatility).</w:t>
      </w:r>
    </w:p>
    <w:p w:rsidR="00C31BB6" w:rsidRPr="00C31BB6" w:rsidRDefault="00C31BB6" w:rsidP="00C31BB6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i/>
          <w:iCs/>
          <w:kern w:val="0"/>
          <w14:ligatures w14:val="none"/>
        </w:rPr>
        <w:t>Indices: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31BB6">
        <w:rPr>
          <w:rFonts w:ascii="Arial" w:eastAsia="Times New Roman" w:hAnsi="Arial" w:cs="Arial"/>
          <w:kern w:val="0"/>
          <w:sz w:val="20"/>
          <w:szCs w:val="20"/>
          <w14:ligatures w14:val="none"/>
        </w:rPr>
        <w:t>^GSPC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(S&amp;P 500) to test macroeconomic trend capture.</w:t>
      </w:r>
    </w:p>
    <w:p w:rsidR="00C31BB6" w:rsidRPr="00C31BB6" w:rsidRDefault="00C31BB6" w:rsidP="00C31BB6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i/>
          <w:iCs/>
          <w:kern w:val="0"/>
          <w14:ligatures w14:val="none"/>
        </w:rPr>
        <w:t>Crypto: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31BB6">
        <w:rPr>
          <w:rFonts w:ascii="Arial" w:eastAsia="Times New Roman" w:hAnsi="Arial" w:cs="Arial"/>
          <w:kern w:val="0"/>
          <w:sz w:val="20"/>
          <w:szCs w:val="20"/>
          <w14:ligatures w14:val="none"/>
        </w:rPr>
        <w:t>BTC-USD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to evaluate performance on extremely high-noise data.</w:t>
      </w:r>
    </w:p>
    <w:p w:rsidR="00C31BB6" w:rsidRPr="00C31BB6" w:rsidRDefault="00C31BB6" w:rsidP="00C31BB6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4.2 Inventory &amp; Retail Domain (High Seasonality)</w:t>
      </w:r>
    </w:p>
    <w:p w:rsidR="00C31BB6" w:rsidRPr="00C31BB6" w:rsidRDefault="00C31BB6" w:rsidP="00C31BB6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M5 Forecasting Dataset (Walmart):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An industry-standard dataset from the Makridakis competition. We will use a subset of unit sales data to test the model's ability to handle intermittent demand and hierarchical structures.</w:t>
      </w:r>
    </w:p>
    <w:p w:rsidR="00C31BB6" w:rsidRPr="00C31BB6" w:rsidRDefault="00C31BB6" w:rsidP="00C31BB6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UCI Online Retail Dataset: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 public dataset containing transactions from a UK-based non-store online retail, used to test forecasting on aggregated daily sales.</w:t>
      </w:r>
    </w:p>
    <w:p w:rsidR="00C31BB6" w:rsidRPr="00C31BB6" w:rsidRDefault="00C31BB6" w:rsidP="00C31BB6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4.3 Baseline Comparison</w:t>
      </w:r>
    </w:p>
    <w:p w:rsidR="00C31BB6" w:rsidRPr="00C31BB6" w:rsidRDefault="00C31BB6" w:rsidP="00C31BB6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kern w:val="0"/>
          <w14:ligatures w14:val="none"/>
        </w:rPr>
        <w:t>Performance will be measured against traditional statistical baselines, specifically:</w:t>
      </w:r>
    </w:p>
    <w:p w:rsidR="00C31BB6" w:rsidRPr="00C31BB6" w:rsidRDefault="00C31BB6" w:rsidP="00C31BB6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ARIMA: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To test if foundation models outperform traditional linear estimation.</w:t>
      </w:r>
    </w:p>
    <w:p w:rsidR="00C31BB6" w:rsidRPr="00C31BB6" w:rsidRDefault="00C31BB6" w:rsidP="00C31BB6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Prophet: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To compare against industry-standard additive models for seasonality.</w:t>
      </w:r>
    </w:p>
    <w:p w:rsidR="00C31BB6" w:rsidRDefault="00C31BB6" w:rsidP="00C31BB6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31BB6" w:rsidRPr="00C10B5B" w:rsidRDefault="00C31BB6" w:rsidP="00C31BB6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10B5B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5. Prototype Implementation: Streamlit Dashboard</w:t>
      </w:r>
    </w:p>
    <w:p w:rsidR="00C31BB6" w:rsidRPr="00C31BB6" w:rsidRDefault="00C31BB6" w:rsidP="00C31BB6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kern w:val="0"/>
          <w14:ligatures w14:val="none"/>
        </w:rPr>
        <w:t>The final deliverable is an interactive dashboard that serves as a proof-of-concept for end-users.</w:t>
      </w:r>
    </w:p>
    <w:p w:rsidR="00C31BB6" w:rsidRPr="00C31BB6" w:rsidRDefault="00C31BB6" w:rsidP="00C31BB6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Feature A: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 domain toggle allowing users to switch between "Financial Risk" and "Inventory Optimization" logic.</w:t>
      </w:r>
    </w:p>
    <w:p w:rsidR="00C31BB6" w:rsidRPr="00C31BB6" w:rsidRDefault="00C31BB6" w:rsidP="00C31BB6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Feature B: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Interactive </w:t>
      </w: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Plotly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charts displaying the forecast horizon with shaded</w:t>
      </w:r>
      <w:r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r w:rsidRPr="00C31BB6">
        <w:rPr>
          <w:rFonts w:ascii="Arial" w:eastAsia="Times New Roman" w:hAnsi="Arial" w:cs="Arial"/>
          <w:kern w:val="0"/>
          <w14:ligatures w14:val="none"/>
        </w:rPr>
        <w:t>confidence intervals.</w:t>
      </w:r>
    </w:p>
    <w:p w:rsidR="00C31BB6" w:rsidRPr="00C31BB6" w:rsidRDefault="00C31BB6" w:rsidP="00C31BB6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31BB6">
        <w:rPr>
          <w:rFonts w:ascii="Arial" w:eastAsia="Times New Roman" w:hAnsi="Arial" w:cs="Arial"/>
          <w:b/>
          <w:bCs/>
          <w:kern w:val="0"/>
          <w14:ligatures w14:val="none"/>
        </w:rPr>
        <w:t>Feature C:</w:t>
      </w:r>
      <w:r w:rsidRPr="00C31BB6">
        <w:rPr>
          <w:rFonts w:ascii="Arial" w:eastAsia="Times New Roman" w:hAnsi="Arial" w:cs="Arial"/>
          <w:kern w:val="0"/>
          <w14:ligatures w14:val="none"/>
        </w:rPr>
        <w:t xml:space="preserve"> Anomaly "Heatmaps" that visually flag time segments where the actual data diverges significantly from the foundation model's expectations.</w:t>
      </w:r>
    </w:p>
    <w:p w:rsidR="00C31BB6" w:rsidRDefault="00C31BB6"/>
    <w:sectPr w:rsidR="00C31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940"/>
    <w:multiLevelType w:val="multilevel"/>
    <w:tmpl w:val="18A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2E02"/>
    <w:multiLevelType w:val="multilevel"/>
    <w:tmpl w:val="7318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187B"/>
    <w:multiLevelType w:val="multilevel"/>
    <w:tmpl w:val="B2A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A0157"/>
    <w:multiLevelType w:val="multilevel"/>
    <w:tmpl w:val="23B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63F60"/>
    <w:multiLevelType w:val="multilevel"/>
    <w:tmpl w:val="2664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053BB"/>
    <w:multiLevelType w:val="multilevel"/>
    <w:tmpl w:val="E03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16475">
    <w:abstractNumId w:val="2"/>
  </w:num>
  <w:num w:numId="2" w16cid:durableId="1449616854">
    <w:abstractNumId w:val="4"/>
  </w:num>
  <w:num w:numId="3" w16cid:durableId="558321933">
    <w:abstractNumId w:val="1"/>
  </w:num>
  <w:num w:numId="4" w16cid:durableId="415518681">
    <w:abstractNumId w:val="3"/>
  </w:num>
  <w:num w:numId="5" w16cid:durableId="1429808972">
    <w:abstractNumId w:val="0"/>
  </w:num>
  <w:num w:numId="6" w16cid:durableId="13042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B6"/>
    <w:rsid w:val="00C10B5B"/>
    <w:rsid w:val="00C31BB6"/>
    <w:rsid w:val="00C4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8C1D"/>
  <w15:chartTrackingRefBased/>
  <w15:docId w15:val="{D2D729D1-6935-584D-BE70-7BF61BBF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1BB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31B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31BB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B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1BB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1BB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1B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1BB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31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4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Siddiqui, Wali Ahmed</dc:creator>
  <cp:keywords/>
  <dc:description/>
  <cp:lastModifiedBy>Siddiqui, Wali Ahmed</cp:lastModifiedBy>
  <cp:revision>3</cp:revision>
  <dcterms:created xsi:type="dcterms:W3CDTF">2026-01-28T15:31:00Z</dcterms:created>
  <dcterms:modified xsi:type="dcterms:W3CDTF">2026-01-28T17:35:00Z</dcterms:modified>
</cp:coreProperties>
</file>