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2563EB"/>
          <w:sz w:val="20"/>
        </w:rPr>
        <w:t>DOCUMENTATION SCIENTIFIQUE &amp; FONDEMENTS QUANTITATIFS</w:t>
      </w:r>
    </w:p>
    <w:p>
      <w:pPr>
        <w:spacing w:after="160"/>
      </w:pPr>
      <w:r>
        <w:rPr>
          <w:rFonts w:ascii="Arial" w:hAnsi="Arial"/>
          <w:b/>
          <w:color w:val="0F172A"/>
          <w:sz w:val="48"/>
        </w:rPr>
        <w:t>Guide Stratégique Approfondi : Modèles Quantitatifs, IA &amp; Risk Management</w:t>
      </w:r>
    </w:p>
    <w:p>
      <w:pPr>
        <w:spacing w:after="360"/>
      </w:pPr>
      <w:r>
        <w:rPr>
          <w:rFonts w:ascii="Arial" w:hAnsi="Arial"/>
          <w:color w:val="475569"/>
          <w:sz w:val="26"/>
        </w:rPr>
        <w:t>Explication mathématique et méthodologique détaillée des algorithmes intégrés dans X-Trader</w:t>
      </w:r>
    </w:p>
    <w:p>
      <w:pPr>
        <w:spacing w:after="400"/>
        <w:pBdr>
          <w:bottom w:val="single" w:sz="18" w:space="1" w:color="2563EB"/>
        </w:pBdr>
      </w:pPr>
    </w:p>
    <w:p>
      <w:pPr>
        <w:keepNext/>
        <w:spacing w:before="360" w:after="160"/>
        <w:pBdr>
          <w:bottom w:val="single" w:sz="6" w:space="2" w:color="CBD5E1"/>
        </w:pBdr>
      </w:pPr>
      <w:r>
        <w:rPr>
          <w:rFonts w:ascii="Arial" w:hAnsi="Arial"/>
          <w:b/>
          <w:color w:val="0F172A"/>
          <w:sz w:val="32"/>
        </w:rPr>
        <w:t>1. La Philosophie du Trading Systématique Face au Bruit de Marché</w:t>
      </w:r>
    </w:p>
    <w:p>
      <w:pPr>
        <w:spacing w:after="120" w:line="276" w:lineRule="auto"/>
      </w:pPr>
      <w:r>
        <w:rPr>
          <w:rFonts w:ascii="Arial" w:hAnsi="Arial"/>
          <w:color w:val="1E293B"/>
          <w:sz w:val="21"/>
        </w:rPr>
        <w:t>Le trading discrétionnaire traditionnel repose sur l'intuition humaine, soumise à des biais cognitifs majeurs (aversion à la perte, effet de disposition, surconfiance). À l'inverse, l'approche quantitative mise en œuvre dans X-Trader repose sur trois piliers indissociables :</w:t>
      </w:r>
    </w:p>
    <w:p>
      <w:pPr>
        <w:pStyle w:val="ListBullet"/>
        <w:spacing w:after="80" w:line="276" w:lineRule="auto"/>
      </w:pPr>
      <w:r>
        <w:rPr>
          <w:rFonts w:ascii="Arial" w:hAnsi="Arial"/>
          <w:b/>
          <w:color w:val="1E293B"/>
          <w:sz w:val="21"/>
        </w:rPr>
        <w:t xml:space="preserve">1. L'Alpha Prédictif : </w:t>
      </w:r>
      <w:r>
        <w:rPr>
          <w:rFonts w:ascii="Arial" w:hAnsi="Arial"/>
          <w:color w:val="1E293B"/>
          <w:sz w:val="21"/>
        </w:rPr>
        <w:t>Remplacer le jugement subjectif par une fonction d'apprentissage statistique optimisée sur des signaux stationarisés.</w:t>
      </w:r>
    </w:p>
    <w:p>
      <w:pPr>
        <w:pStyle w:val="ListBullet"/>
        <w:spacing w:after="80" w:line="276" w:lineRule="auto"/>
      </w:pPr>
      <w:r>
        <w:rPr>
          <w:rFonts w:ascii="Arial" w:hAnsi="Arial"/>
          <w:b/>
          <w:color w:val="1E293B"/>
          <w:sz w:val="21"/>
        </w:rPr>
        <w:t xml:space="preserve">2. La Robustesse Temporelle : </w:t>
      </w:r>
      <w:r>
        <w:rPr>
          <w:rFonts w:ascii="Arial" w:hAnsi="Arial"/>
          <w:color w:val="1E293B"/>
          <w:sz w:val="21"/>
        </w:rPr>
        <w:t>Vérifier la résistance des modèles à travers le temps via des réentraînements continus simulant la vie réelle d'un fonds d'investissement.</w:t>
      </w:r>
    </w:p>
    <w:p>
      <w:pPr>
        <w:pStyle w:val="ListBullet"/>
        <w:spacing w:after="80" w:line="276" w:lineRule="auto"/>
      </w:pPr>
      <w:r>
        <w:rPr>
          <w:rFonts w:ascii="Arial" w:hAnsi="Arial"/>
          <w:b/>
          <w:color w:val="1E293B"/>
          <w:sz w:val="21"/>
        </w:rPr>
        <w:t xml:space="preserve">3. Le Dimensionnement Scientifique : </w:t>
      </w:r>
      <w:r>
        <w:rPr>
          <w:rFonts w:ascii="Arial" w:hAnsi="Arial"/>
          <w:color w:val="1E293B"/>
          <w:sz w:val="21"/>
        </w:rPr>
        <w:t>Contrôler la survie du capital grâce à des lois d'allocation optimales (Kelly) et des barrières de sortie invariantes à la volatilité (ATR).</w:t>
      </w:r>
    </w:p>
    <w:p>
      <w:pPr>
        <w:keepNext/>
        <w:spacing w:before="360" w:after="160"/>
        <w:pBdr>
          <w:bottom w:val="single" w:sz="6" w:space="2" w:color="CBD5E1"/>
        </w:pBdr>
      </w:pPr>
      <w:r>
        <w:rPr>
          <w:rFonts w:ascii="Arial" w:hAnsi="Arial"/>
          <w:b/>
          <w:color w:val="0F172A"/>
          <w:sz w:val="32"/>
        </w:rPr>
        <w:t>2. L'Architecture Machine Learning : L'Ensemble Tri-Moteur</w:t>
      </w:r>
    </w:p>
    <w:p>
      <w:pPr>
        <w:spacing w:after="120" w:line="276" w:lineRule="auto"/>
      </w:pPr>
      <w:r>
        <w:rPr>
          <w:rFonts w:ascii="Arial" w:hAnsi="Arial"/>
          <w:color w:val="1E293B"/>
          <w:sz w:val="21"/>
        </w:rPr>
        <w:t>Plutôt que de s'en remettre à un modèle unique exposé au surapprentissage ou aux lacunes d'un algorithme particulier, X-Trader intègre un méta-modèle ensembliste combinant trois architectures complémentaires :</w:t>
      </w:r>
    </w:p>
    <w:p>
      <w:pPr>
        <w:keepNext/>
        <w:spacing w:before="280" w:after="120"/>
      </w:pPr>
      <w:r>
        <w:rPr>
          <w:rFonts w:ascii="Arial" w:hAnsi="Arial"/>
          <w:b/>
          <w:color w:val="2563EB"/>
          <w:sz w:val="26"/>
        </w:rPr>
        <w:t>2.1 XGBoost (Extreme Gradient Boosting)</w:t>
      </w:r>
    </w:p>
    <w:p>
      <w:pPr>
        <w:spacing w:after="120" w:line="276" w:lineRule="auto"/>
      </w:pPr>
      <w:r>
        <w:rPr>
          <w:rFonts w:ascii="Arial" w:hAnsi="Arial"/>
          <w:color w:val="1E293B"/>
          <w:sz w:val="21"/>
        </w:rPr>
        <w:t>XGBoost est le pilier central. Il construit séquentiellement des arbres de décision en minimisant une fonction de perte régularisée de type :</w:t>
      </w:r>
    </w:p>
    <w:p>
      <w:pPr>
        <w:spacing w:after="120" w:line="276" w:lineRule="auto"/>
      </w:pPr>
      <w:r>
        <w:rPr>
          <w:rFonts w:ascii="Arial" w:hAnsi="Arial"/>
          <w:color w:val="1E293B"/>
          <w:sz w:val="21"/>
        </w:rPr>
        <w:t>Obj = Sum [ L(y_i, p_i) ] + Sum [ gamma * T + 0.5 * lambda * ||w||^2 + alpha * |w| ]</w:t>
      </w:r>
    </w:p>
    <w:p>
      <w:pPr>
        <w:spacing w:after="120" w:line="276" w:lineRule="auto"/>
      </w:pPr>
      <w:r>
        <w:rPr>
          <w:rFonts w:ascii="Arial" w:hAnsi="Arial"/>
          <w:color w:val="1E293B"/>
          <w:sz w:val="21"/>
        </w:rPr>
        <w:t>Où T représente le nombre de feuilles de l'arbre et w les poids des feuilles. La régularisation L1 (alpha) et L2 (lambda) empêche le modèle d'accorder une importance excessive à des variations bruitées de marché.</w:t>
      </w:r>
    </w:p>
    <w:p>
      <w:pPr>
        <w:keepNext/>
        <w:spacing w:before="280" w:after="120"/>
      </w:pPr>
      <w:r>
        <w:rPr>
          <w:rFonts w:ascii="Arial" w:hAnsi="Arial"/>
          <w:b/>
          <w:color w:val="2563EB"/>
          <w:sz w:val="26"/>
        </w:rPr>
        <w:t>2.2 LightGBM (Light Gradient Boosting Machine)</w:t>
      </w:r>
    </w:p>
    <w:p>
      <w:pPr>
        <w:spacing w:after="120" w:line="276" w:lineRule="auto"/>
      </w:pPr>
      <w:r>
        <w:rPr>
          <w:rFonts w:ascii="Arial" w:hAnsi="Arial"/>
          <w:color w:val="1E293B"/>
          <w:sz w:val="21"/>
        </w:rPr>
        <w:t>LightGBM utilise une croissance d'arbres par feuilles (leaf-wise) plutôt que par niveaux (level-wise). Associé à l'algorithme GOSS (Gradient-based One-Side Sampling), il filtre rapidement les gradients faibles pour concentrer l'apprentissage sur les configurations de marché les plus instructives.</w:t>
      </w:r>
    </w:p>
    <w:p>
      <w:pPr>
        <w:keepNext/>
        <w:spacing w:before="280" w:after="120"/>
      </w:pPr>
      <w:r>
        <w:rPr>
          <w:rFonts w:ascii="Arial" w:hAnsi="Arial"/>
          <w:b/>
          <w:color w:val="2563EB"/>
          <w:sz w:val="26"/>
        </w:rPr>
        <w:t>2.3 Random Forest (Forêt d'Arbres Aléatoires de Breiman)</w:t>
      </w:r>
    </w:p>
    <w:p>
      <w:pPr>
        <w:spacing w:after="120" w:line="276" w:lineRule="auto"/>
      </w:pPr>
      <w:r>
        <w:rPr>
          <w:rFonts w:ascii="Arial" w:hAnsi="Arial"/>
          <w:color w:val="1E293B"/>
          <w:sz w:val="21"/>
        </w:rPr>
        <w:t>Alors que XGBoost et LightGBM utilisent le boosting (réduction séquentielle du biais), Random Forest utilise le bagging (moyennage parallèle pour réduction de la variance). La combinaison des deux approches neutralise les risques d'instabilité.</w:t>
      </w:r>
    </w:p>
    <w:p>
      <w:pPr>
        <w:keepNext/>
        <w:spacing w:before="280" w:after="120"/>
      </w:pPr>
      <w:r>
        <w:rPr>
          <w:rFonts w:ascii="Arial" w:hAnsi="Arial"/>
          <w:b/>
          <w:color w:val="2563EB"/>
          <w:sz w:val="26"/>
        </w:rPr>
        <w:t>2.4 Mécanisme de Soft-Voting Probabiliste</w:t>
      </w:r>
    </w:p>
    <w:p>
      <w:pPr>
        <w:spacing w:after="120" w:line="276" w:lineRule="auto"/>
      </w:pPr>
      <w:r>
        <w:rPr>
          <w:rFonts w:ascii="Arial" w:hAnsi="Arial"/>
          <w:color w:val="1E293B"/>
          <w:sz w:val="21"/>
        </w:rPr>
        <w:t>Le signal final n'est pas une simple décision binaire, mais une probabilité composite calibrée :</w:t>
      </w:r>
    </w:p>
    <w:p>
      <w:pPr>
        <w:spacing w:after="120" w:line="276" w:lineRule="auto"/>
      </w:pPr>
      <w:r>
        <w:rPr>
          <w:rFonts w:ascii="Arial" w:hAnsi="Arial"/>
          <w:color w:val="1E293B"/>
          <w:sz w:val="21"/>
        </w:rPr>
        <w:t>P(Hausse) = w_XGB * P_XGB + w_LGBM * P_LGBM + w_RF * P_RF</w:t>
      </w:r>
    </w:p>
    <w:p>
      <w:pPr>
        <w:spacing w:after="120" w:line="276" w:lineRule="auto"/>
      </w:pPr>
      <w:r>
        <w:rPr>
          <w:rFonts w:ascii="Arial" w:hAnsi="Arial"/>
          <w:color w:val="1E293B"/>
          <w:sz w:val="21"/>
        </w:rPr>
        <w:t>Cette probabilité continue sert directement d'entrée au moteur de Money Management de Kelly.</w:t>
      </w:r>
    </w:p>
    <w:p>
      <w:pPr>
        <w:keepNext/>
        <w:spacing w:before="360" w:after="160"/>
        <w:pBdr>
          <w:bottom w:val="single" w:sz="6" w:space="2" w:color="CBD5E1"/>
        </w:pBdr>
      </w:pPr>
      <w:r>
        <w:rPr>
          <w:rFonts w:ascii="Arial" w:hAnsi="Arial"/>
          <w:b/>
          <w:color w:val="0F172A"/>
          <w:sz w:val="32"/>
        </w:rPr>
        <w:t>3. L'Ingénierie des Caractéristiques (Feature Engineering)</w:t>
      </w:r>
    </w:p>
    <w:p>
      <w:pPr>
        <w:spacing w:after="120" w:line="276" w:lineRule="auto"/>
      </w:pPr>
      <w:r>
        <w:rPr>
          <w:rFonts w:ascii="Arial" w:hAnsi="Arial"/>
          <w:color w:val="1E293B"/>
          <w:sz w:val="21"/>
        </w:rPr>
        <w:t>L'efficacité d'un modèle de Machine Learning dépend avant tout de la qualité des variables prédictives fournies. X-Trader extrait un ensemble de variables standardisées réparties en 4 familles :</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1E293B"/>
            <w:tcMar>
              <w:top w:w="120" w:type="dxa"/>
              <w:bottom w:w="120" w:type="dxa"/>
              <w:left w:w="120" w:type="dxa"/>
              <w:right w:w="120" w:type="dxa"/>
            </w:tcMar>
          </w:tcPr>
          <w:p>
            <w:pPr>
              <w:jc w:val="left"/>
            </w:pPr>
            <w:r>
              <w:rPr>
                <w:rFonts w:ascii="Arial" w:hAnsi="Arial"/>
                <w:b/>
                <w:color w:val="FFFFFF"/>
                <w:sz w:val="19"/>
              </w:rPr>
              <w:t>Famille</w:t>
            </w:r>
          </w:p>
        </w:tc>
        <w:tc>
          <w:tcPr>
            <w:tcW w:type="dxa" w:w="2592"/>
            <w:shd w:fill="1E293B"/>
            <w:tcMar>
              <w:top w:w="120" w:type="dxa"/>
              <w:bottom w:w="120" w:type="dxa"/>
              <w:left w:w="120" w:type="dxa"/>
              <w:right w:w="120" w:type="dxa"/>
            </w:tcMar>
          </w:tcPr>
          <w:p>
            <w:pPr>
              <w:jc w:val="left"/>
            </w:pPr>
            <w:r>
              <w:rPr>
                <w:rFonts w:ascii="Arial" w:hAnsi="Arial"/>
                <w:b/>
                <w:color w:val="FFFFFF"/>
                <w:sz w:val="19"/>
              </w:rPr>
              <w:t>Indicateurs Clés</w:t>
            </w:r>
          </w:p>
        </w:tc>
        <w:tc>
          <w:tcPr>
            <w:tcW w:type="dxa" w:w="2592"/>
            <w:shd w:fill="1E293B"/>
            <w:tcMar>
              <w:top w:w="120" w:type="dxa"/>
              <w:bottom w:w="120" w:type="dxa"/>
              <w:left w:w="120" w:type="dxa"/>
              <w:right w:w="120" w:type="dxa"/>
            </w:tcMar>
          </w:tcPr>
          <w:p>
            <w:pPr>
              <w:jc w:val="left"/>
            </w:pPr>
            <w:r>
              <w:rPr>
                <w:rFonts w:ascii="Arial" w:hAnsi="Arial"/>
                <w:b/>
                <w:color w:val="FFFFFF"/>
                <w:sz w:val="19"/>
              </w:rPr>
              <w:t>Formule / Principe</w:t>
            </w:r>
          </w:p>
        </w:tc>
        <w:tc>
          <w:tcPr>
            <w:tcW w:type="dxa" w:w="2592"/>
            <w:shd w:fill="1E293B"/>
            <w:tcMar>
              <w:top w:w="120" w:type="dxa"/>
              <w:bottom w:w="120" w:type="dxa"/>
              <w:left w:w="120" w:type="dxa"/>
              <w:right w:w="120" w:type="dxa"/>
            </w:tcMar>
          </w:tcPr>
          <w:p>
            <w:pPr>
              <w:jc w:val="left"/>
            </w:pPr>
            <w:r>
              <w:rPr>
                <w:rFonts w:ascii="Arial" w:hAnsi="Arial"/>
                <w:b/>
                <w:color w:val="FFFFFF"/>
                <w:sz w:val="19"/>
              </w:rPr>
              <w:t>Objectif Prédictif</w:t>
            </w:r>
          </w:p>
        </w:tc>
      </w:tr>
      <w:tr>
        <w:tc>
          <w:tcPr>
            <w:tcW w:type="dxa" w:w="2016"/>
            <w:shd w:fill="FFFFFF"/>
            <w:tcMar>
              <w:top w:w="90" w:type="dxa"/>
              <w:bottom w:w="90" w:type="dxa"/>
              <w:left w:w="120" w:type="dxa"/>
              <w:right w:w="120" w:type="dxa"/>
            </w:tcMar>
          </w:tcPr>
          <w:p>
            <w:pPr>
              <w:jc w:val="left"/>
            </w:pPr>
            <w:r>
              <w:rPr>
                <w:rFonts w:ascii="Arial" w:hAnsi="Arial"/>
                <w:color w:val="1E293B"/>
                <w:sz w:val="18"/>
              </w:rPr>
              <w:t>Tendance</w:t>
            </w:r>
          </w:p>
        </w:tc>
        <w:tc>
          <w:tcPr>
            <w:tcW w:type="dxa" w:w="2592"/>
            <w:shd w:fill="FFFFFF"/>
            <w:tcMar>
              <w:top w:w="90" w:type="dxa"/>
              <w:bottom w:w="90" w:type="dxa"/>
              <w:left w:w="120" w:type="dxa"/>
              <w:right w:w="120" w:type="dxa"/>
            </w:tcMar>
          </w:tcPr>
          <w:p>
            <w:pPr>
              <w:jc w:val="left"/>
            </w:pPr>
            <w:r>
              <w:rPr>
                <w:rFonts w:ascii="Arial" w:hAnsi="Arial"/>
                <w:color w:val="1E293B"/>
                <w:sz w:val="18"/>
              </w:rPr>
              <w:t>EMA(9, 21, 50, 200), ADX(14)</w:t>
            </w:r>
          </w:p>
        </w:tc>
        <w:tc>
          <w:tcPr>
            <w:tcW w:type="dxa" w:w="2592"/>
            <w:shd w:fill="FFFFFF"/>
            <w:tcMar>
              <w:top w:w="90" w:type="dxa"/>
              <w:bottom w:w="90" w:type="dxa"/>
              <w:left w:w="120" w:type="dxa"/>
              <w:right w:w="120" w:type="dxa"/>
            </w:tcMar>
          </w:tcPr>
          <w:p>
            <w:pPr>
              <w:jc w:val="left"/>
            </w:pPr>
            <w:r>
              <w:rPr>
                <w:rFonts w:ascii="Arial" w:hAnsi="Arial"/>
                <w:color w:val="1E293B"/>
                <w:sz w:val="18"/>
              </w:rPr>
              <w:t>Pente et croisement des moyennes lissées</w:t>
            </w:r>
          </w:p>
        </w:tc>
        <w:tc>
          <w:tcPr>
            <w:tcW w:type="dxa" w:w="2592"/>
            <w:shd w:fill="FFFFFF"/>
            <w:tcMar>
              <w:top w:w="90" w:type="dxa"/>
              <w:bottom w:w="90" w:type="dxa"/>
              <w:left w:w="120" w:type="dxa"/>
              <w:right w:w="120" w:type="dxa"/>
            </w:tcMar>
          </w:tcPr>
          <w:p>
            <w:pPr>
              <w:jc w:val="left"/>
            </w:pPr>
            <w:r>
              <w:rPr>
                <w:rFonts w:ascii="Arial" w:hAnsi="Arial"/>
                <w:color w:val="1E293B"/>
                <w:sz w:val="18"/>
              </w:rPr>
              <w:t>Détecter si l'actif est en phase directionnelle ou en consolidation.</w:t>
            </w:r>
          </w:p>
        </w:tc>
      </w:tr>
      <w:tr>
        <w:tc>
          <w:tcPr>
            <w:tcW w:type="dxa" w:w="2016"/>
            <w:shd w:fill="F8FAFC"/>
            <w:tcMar>
              <w:top w:w="90" w:type="dxa"/>
              <w:bottom w:w="90" w:type="dxa"/>
              <w:left w:w="120" w:type="dxa"/>
              <w:right w:w="120" w:type="dxa"/>
            </w:tcMar>
          </w:tcPr>
          <w:p>
            <w:pPr>
              <w:jc w:val="left"/>
            </w:pPr>
            <w:r>
              <w:rPr>
                <w:rFonts w:ascii="Arial" w:hAnsi="Arial"/>
                <w:color w:val="1E293B"/>
                <w:sz w:val="18"/>
              </w:rPr>
              <w:t>Volatilité</w:t>
            </w:r>
          </w:p>
        </w:tc>
        <w:tc>
          <w:tcPr>
            <w:tcW w:type="dxa" w:w="2592"/>
            <w:shd w:fill="F8FAFC"/>
            <w:tcMar>
              <w:top w:w="90" w:type="dxa"/>
              <w:bottom w:w="90" w:type="dxa"/>
              <w:left w:w="120" w:type="dxa"/>
              <w:right w:w="120" w:type="dxa"/>
            </w:tcMar>
          </w:tcPr>
          <w:p>
            <w:pPr>
              <w:jc w:val="left"/>
            </w:pPr>
            <w:r>
              <w:rPr>
                <w:rFonts w:ascii="Arial" w:hAnsi="Arial"/>
                <w:color w:val="1E293B"/>
                <w:sz w:val="18"/>
              </w:rPr>
              <w:t>BB Width, ATR(14), NATR</w:t>
            </w:r>
          </w:p>
        </w:tc>
        <w:tc>
          <w:tcPr>
            <w:tcW w:type="dxa" w:w="2592"/>
            <w:shd w:fill="F8FAFC"/>
            <w:tcMar>
              <w:top w:w="90" w:type="dxa"/>
              <w:bottom w:w="90" w:type="dxa"/>
              <w:left w:w="120" w:type="dxa"/>
              <w:right w:w="120" w:type="dxa"/>
            </w:tcMar>
          </w:tcPr>
          <w:p>
            <w:pPr>
              <w:jc w:val="left"/>
            </w:pPr>
            <w:r>
              <w:rPr>
                <w:rFonts w:ascii="Arial" w:hAnsi="Arial"/>
                <w:color w:val="1E293B"/>
                <w:sz w:val="18"/>
              </w:rPr>
              <w:t>(BB_Upper - BB_Lower) / SMA_20</w:t>
            </w:r>
          </w:p>
        </w:tc>
        <w:tc>
          <w:tcPr>
            <w:tcW w:type="dxa" w:w="2592"/>
            <w:shd w:fill="F8FAFC"/>
            <w:tcMar>
              <w:top w:w="90" w:type="dxa"/>
              <w:bottom w:w="90" w:type="dxa"/>
              <w:left w:w="120" w:type="dxa"/>
              <w:right w:w="120" w:type="dxa"/>
            </w:tcMar>
          </w:tcPr>
          <w:p>
            <w:pPr>
              <w:jc w:val="left"/>
            </w:pPr>
            <w:r>
              <w:rPr>
                <w:rFonts w:ascii="Arial" w:hAnsi="Arial"/>
                <w:color w:val="1E293B"/>
                <w:sz w:val="18"/>
              </w:rPr>
              <w:t>Identifier les squeezes (compression précédant les impulsions majeures).</w:t>
            </w:r>
          </w:p>
        </w:tc>
      </w:tr>
      <w:tr>
        <w:tc>
          <w:tcPr>
            <w:tcW w:type="dxa" w:w="2016"/>
            <w:shd w:fill="FFFFFF"/>
            <w:tcMar>
              <w:top w:w="90" w:type="dxa"/>
              <w:bottom w:w="90" w:type="dxa"/>
              <w:left w:w="120" w:type="dxa"/>
              <w:right w:w="120" w:type="dxa"/>
            </w:tcMar>
          </w:tcPr>
          <w:p>
            <w:pPr>
              <w:jc w:val="left"/>
            </w:pPr>
            <w:r>
              <w:rPr>
                <w:rFonts w:ascii="Arial" w:hAnsi="Arial"/>
                <w:color w:val="1E293B"/>
                <w:sz w:val="18"/>
              </w:rPr>
              <w:t>Momentum</w:t>
            </w:r>
          </w:p>
        </w:tc>
        <w:tc>
          <w:tcPr>
            <w:tcW w:type="dxa" w:w="2592"/>
            <w:shd w:fill="FFFFFF"/>
            <w:tcMar>
              <w:top w:w="90" w:type="dxa"/>
              <w:bottom w:w="90" w:type="dxa"/>
              <w:left w:w="120" w:type="dxa"/>
              <w:right w:w="120" w:type="dxa"/>
            </w:tcMar>
          </w:tcPr>
          <w:p>
            <w:pPr>
              <w:jc w:val="left"/>
            </w:pPr>
            <w:r>
              <w:rPr>
                <w:rFonts w:ascii="Arial" w:hAnsi="Arial"/>
                <w:color w:val="1E293B"/>
                <w:sz w:val="18"/>
              </w:rPr>
              <w:t>RSI(14), MACD, Volume Ratio</w:t>
            </w:r>
          </w:p>
        </w:tc>
        <w:tc>
          <w:tcPr>
            <w:tcW w:type="dxa" w:w="2592"/>
            <w:shd w:fill="FFFFFF"/>
            <w:tcMar>
              <w:top w:w="90" w:type="dxa"/>
              <w:bottom w:w="90" w:type="dxa"/>
              <w:left w:w="120" w:type="dxa"/>
              <w:right w:w="120" w:type="dxa"/>
            </w:tcMar>
          </w:tcPr>
          <w:p>
            <w:pPr>
              <w:jc w:val="left"/>
            </w:pPr>
            <w:r>
              <w:rPr>
                <w:rFonts w:ascii="Arial" w:hAnsi="Arial"/>
                <w:color w:val="1E293B"/>
                <w:sz w:val="18"/>
              </w:rPr>
              <w:t>Oscillateurs de vitesse et confirmation par volume</w:t>
            </w:r>
          </w:p>
        </w:tc>
        <w:tc>
          <w:tcPr>
            <w:tcW w:type="dxa" w:w="2592"/>
            <w:shd w:fill="FFFFFF"/>
            <w:tcMar>
              <w:top w:w="90" w:type="dxa"/>
              <w:bottom w:w="90" w:type="dxa"/>
              <w:left w:w="120" w:type="dxa"/>
              <w:right w:w="120" w:type="dxa"/>
            </w:tcMar>
          </w:tcPr>
          <w:p>
            <w:pPr>
              <w:jc w:val="left"/>
            </w:pPr>
            <w:r>
              <w:rPr>
                <w:rFonts w:ascii="Arial" w:hAnsi="Arial"/>
                <w:color w:val="1E293B"/>
                <w:sz w:val="18"/>
              </w:rPr>
              <w:t>Repérer les divergences et les épuisements de tendance.</w:t>
            </w:r>
          </w:p>
        </w:tc>
      </w:tr>
      <w:tr>
        <w:tc>
          <w:tcPr>
            <w:tcW w:type="dxa" w:w="2016"/>
            <w:shd w:fill="F8FAFC"/>
            <w:tcMar>
              <w:top w:w="90" w:type="dxa"/>
              <w:bottom w:w="90" w:type="dxa"/>
              <w:left w:w="120" w:type="dxa"/>
              <w:right w:w="120" w:type="dxa"/>
            </w:tcMar>
          </w:tcPr>
          <w:p>
            <w:pPr>
              <w:jc w:val="left"/>
            </w:pPr>
            <w:r>
              <w:rPr>
                <w:rFonts w:ascii="Arial" w:hAnsi="Arial"/>
                <w:color w:val="1E293B"/>
                <w:sz w:val="18"/>
              </w:rPr>
              <w:t>Macro &amp; Sentiment</w:t>
            </w:r>
          </w:p>
        </w:tc>
        <w:tc>
          <w:tcPr>
            <w:tcW w:type="dxa" w:w="2592"/>
            <w:shd w:fill="F8FAFC"/>
            <w:tcMar>
              <w:top w:w="90" w:type="dxa"/>
              <w:bottom w:w="90" w:type="dxa"/>
              <w:left w:w="120" w:type="dxa"/>
              <w:right w:w="120" w:type="dxa"/>
            </w:tcMar>
          </w:tcPr>
          <w:p>
            <w:pPr>
              <w:jc w:val="left"/>
            </w:pPr>
            <w:r>
              <w:rPr>
                <w:rFonts w:ascii="Arial" w:hAnsi="Arial"/>
                <w:color w:val="1E293B"/>
                <w:sz w:val="18"/>
              </w:rPr>
              <w:t>VIX, DXY, Taux US 10Y, FinBERT</w:t>
            </w:r>
          </w:p>
        </w:tc>
        <w:tc>
          <w:tcPr>
            <w:tcW w:type="dxa" w:w="2592"/>
            <w:shd w:fill="F8FAFC"/>
            <w:tcMar>
              <w:top w:w="90" w:type="dxa"/>
              <w:bottom w:w="90" w:type="dxa"/>
              <w:left w:w="120" w:type="dxa"/>
              <w:right w:w="120" w:type="dxa"/>
            </w:tcMar>
          </w:tcPr>
          <w:p>
            <w:pPr>
              <w:jc w:val="left"/>
            </w:pPr>
            <w:r>
              <w:rPr>
                <w:rFonts w:ascii="Arial" w:hAnsi="Arial"/>
                <w:color w:val="1E293B"/>
                <w:sz w:val="18"/>
              </w:rPr>
              <w:t>Stress de marché global et tonalité des news financières</w:t>
            </w:r>
          </w:p>
        </w:tc>
        <w:tc>
          <w:tcPr>
            <w:tcW w:type="dxa" w:w="2592"/>
            <w:shd w:fill="F8FAFC"/>
            <w:tcMar>
              <w:top w:w="90" w:type="dxa"/>
              <w:bottom w:w="90" w:type="dxa"/>
              <w:left w:w="120" w:type="dxa"/>
              <w:right w:w="120" w:type="dxa"/>
            </w:tcMar>
          </w:tcPr>
          <w:p>
            <w:pPr>
              <w:jc w:val="left"/>
            </w:pPr>
            <w:r>
              <w:rPr>
                <w:rFonts w:ascii="Arial" w:hAnsi="Arial"/>
                <w:color w:val="1E293B"/>
                <w:sz w:val="18"/>
              </w:rPr>
              <w:t>Filtrer les faux signaux techniques survenant en contexte hostile.</w:t>
            </w:r>
          </w:p>
        </w:tc>
      </w:tr>
    </w:tbl>
    <w:p>
      <w:pPr>
        <w:spacing w:after="160"/>
      </w:pPr>
    </w:p>
    <w:p>
      <w:pPr>
        <w:keepNext/>
        <w:spacing w:before="360" w:after="160"/>
        <w:pBdr>
          <w:bottom w:val="single" w:sz="6" w:space="2" w:color="CBD5E1"/>
        </w:pBdr>
      </w:pPr>
      <w:r>
        <w:rPr>
          <w:rFonts w:ascii="Arial" w:hAnsi="Arial"/>
          <w:b/>
          <w:color w:val="0F172A"/>
          <w:sz w:val="32"/>
        </w:rPr>
        <w:t>4. La Validation Temporelle : Walk-Forward Analysis (WFA)</w:t>
      </w:r>
    </w:p>
    <w:p>
      <w:pPr>
        <w:spacing w:after="120" w:line="276" w:lineRule="auto"/>
      </w:pPr>
      <w:r>
        <w:rPr>
          <w:rFonts w:ascii="Arial" w:hAnsi="Arial"/>
          <w:color w:val="1E293B"/>
          <w:sz w:val="21"/>
        </w:rPr>
        <w:t>La validation croisée standard (K-Fold CV) est formellement interdite sur les séries temporelles financières, car elle viole la causalité en entraînant le modèle sur des données futures pour prédire le passé (Lookahead Leakage).</w:t>
      </w:r>
    </w:p>
    <w:p>
      <w:pPr>
        <w:spacing w:after="120" w:line="276" w:lineRule="auto"/>
      </w:pPr>
      <w:r>
        <w:rPr>
          <w:rFonts w:ascii="Arial" w:hAnsi="Arial"/>
          <w:color w:val="1E293B"/>
          <w:sz w:val="21"/>
        </w:rPr>
        <w:t>La méthode Walk-Forward mise en œuvre dans X-Trader reproduit le fonctionnement réel d'un fonds systématique :</w:t>
      </w:r>
    </w:p>
    <w:p>
      <w:pPr>
        <w:pStyle w:val="ListBullet"/>
        <w:spacing w:after="80" w:line="276" w:lineRule="auto"/>
      </w:pPr>
      <w:r>
        <w:rPr>
          <w:rFonts w:ascii="Arial" w:hAnsi="Arial"/>
          <w:b/>
          <w:color w:val="1E293B"/>
          <w:sz w:val="21"/>
        </w:rPr>
        <w:t xml:space="preserve">1. Fenêtre d'Entraînement : </w:t>
      </w:r>
      <w:r>
        <w:rPr>
          <w:rFonts w:ascii="Arial" w:hAnsi="Arial"/>
          <w:color w:val="1E293B"/>
          <w:sz w:val="21"/>
        </w:rPr>
        <w:t>Une fenêtre d'apprentissage glissante (ex. 5 ans, soit ~1 260 jours de bourse) entraîne l'ensemble des 3 modèles.</w:t>
      </w:r>
    </w:p>
    <w:p>
      <w:pPr>
        <w:pStyle w:val="ListBullet"/>
        <w:spacing w:after="80" w:line="276" w:lineRule="auto"/>
      </w:pPr>
      <w:r>
        <w:rPr>
          <w:rFonts w:ascii="Arial" w:hAnsi="Arial"/>
          <w:b/>
          <w:color w:val="1E293B"/>
          <w:sz w:val="21"/>
        </w:rPr>
        <w:t xml:space="preserve">2. Pas de Test (Roll) : </w:t>
      </w:r>
      <w:r>
        <w:rPr>
          <w:rFonts w:ascii="Arial" w:hAnsi="Arial"/>
          <w:color w:val="1E293B"/>
          <w:sz w:val="21"/>
        </w:rPr>
        <w:t>Le modèle prédit les 6 mois suivants (~126 jours), strictement invisibles pour lui (pure performance Hors-Échantillon / OOS).</w:t>
      </w:r>
    </w:p>
    <w:p>
      <w:pPr>
        <w:pStyle w:val="ListBullet"/>
        <w:spacing w:after="80" w:line="276" w:lineRule="auto"/>
      </w:pPr>
      <w:r>
        <w:rPr>
          <w:rFonts w:ascii="Arial" w:hAnsi="Arial"/>
          <w:b/>
          <w:color w:val="1E293B"/>
          <w:sz w:val="21"/>
        </w:rPr>
        <w:t xml:space="preserve">3. Glissement Continu : </w:t>
      </w:r>
      <w:r>
        <w:rPr>
          <w:rFonts w:ascii="Arial" w:hAnsi="Arial"/>
          <w:color w:val="1E293B"/>
          <w:sz w:val="21"/>
        </w:rPr>
        <w:t>La fenêtre avance de 6 mois dans le temps, et un NOUVEAU modèle est réentraîné de zéro sur la nouvelle période de 5 ans.</w:t>
      </w:r>
    </w:p>
    <w:p>
      <w:pPr>
        <w:pStyle w:val="ListBullet"/>
        <w:spacing w:after="80" w:line="276" w:lineRule="auto"/>
      </w:pPr>
      <w:r>
        <w:rPr>
          <w:rFonts w:ascii="Arial" w:hAnsi="Arial"/>
          <w:b/>
          <w:color w:val="1E293B"/>
          <w:sz w:val="21"/>
        </w:rPr>
        <w:t xml:space="preserve">4. Concaténation OOS : </w:t>
      </w:r>
      <w:r>
        <w:rPr>
          <w:rFonts w:ascii="Arial" w:hAnsi="Arial"/>
          <w:color w:val="1E293B"/>
          <w:sz w:val="21"/>
        </w:rPr>
        <w:t>Toutes les tranches de 6 mois sont concaténées bout à bout pour former la courbe de backtest intégrale, sans aucun biais d'anticipation.</w:t>
      </w:r>
    </w:p>
    <w:tbl>
      <w:tblPr>
        <w:tblW w:type="auto" w:w="0"/>
        <w:jc w:val="center"/>
        <w:tblLayout w:type="fixed"/>
        <w:tblLook w:firstColumn="1" w:firstRow="1" w:lastColumn="0" w:lastRow="0" w:noHBand="0" w:noVBand="1" w:val="04A0"/>
      </w:tblPr>
      <w:tblGrid>
        <w:gridCol w:w="9936"/>
      </w:tblGrid>
      <w:tr>
        <w:tc>
          <w:tcPr>
            <w:tcW w:type="dxa" w:w="9792"/>
            <w:shd w:fill="F0FDF4"/>
            <w:tcMar>
              <w:top w:w="140" w:type="dxa"/>
              <w:bottom w:w="140" w:type="dxa"/>
              <w:left w:w="180" w:type="dxa"/>
              <w:right w:w="180" w:type="dxa"/>
            </w:tcMar>
            <w:tcBorders>
              <w:top w:val="none"/>
              <w:left w:val="single" w:sz="36" w:space="0" w:color="10B981"/>
              <w:bottom w:val="none"/>
              <w:right w:val="none"/>
            </w:tcBorders>
          </w:tcPr>
          <w:p>
            <w:pPr>
              <w:spacing w:after="40"/>
            </w:pPr>
            <w:r>
              <w:rPr>
                <w:rFonts w:ascii="Arial" w:hAnsi="Arial"/>
                <w:b/>
                <w:color w:val="10B981"/>
                <w:sz w:val="20"/>
              </w:rPr>
              <w:t>📌 MODÈLE ACTIF EN PRODUCTION</w:t>
              <w:br/>
            </w:r>
            <w:r>
              <w:rPr>
                <w:rFonts w:ascii="Arial" w:hAnsi="Arial"/>
                <w:color w:val="1E293B"/>
                <w:sz w:val="20"/>
              </w:rPr>
              <w:t>Le modèle final conservé pour délivrer les recommandations aujourd'hui est le DERNIER modèle réentraîné sur les 5 dernières années les plus récentes. Cela garantit une adaptation totale au régime macroéconomique contemporain (taux d'intérêt, inflation, volatilité).</w:t>
            </w:r>
          </w:p>
        </w:tc>
      </w:tr>
    </w:tbl>
    <w:p>
      <w:pPr>
        <w:spacing w:after="120"/>
      </w:pPr>
    </w:p>
    <w:p>
      <w:pPr>
        <w:keepNext/>
        <w:spacing w:before="360" w:after="160"/>
        <w:pBdr>
          <w:bottom w:val="single" w:sz="6" w:space="2" w:color="CBD5E1"/>
        </w:pBdr>
      </w:pPr>
      <w:r>
        <w:rPr>
          <w:rFonts w:ascii="Arial" w:hAnsi="Arial"/>
          <w:b/>
          <w:color w:val="0F172A"/>
          <w:sz w:val="32"/>
        </w:rPr>
        <w:t>5. Optimisation Bayésienne par Optuna (TPE)</w:t>
      </w:r>
    </w:p>
    <w:p>
      <w:pPr>
        <w:spacing w:after="120" w:line="276" w:lineRule="auto"/>
      </w:pPr>
      <w:r>
        <w:rPr>
          <w:rFonts w:ascii="Arial" w:hAnsi="Arial"/>
          <w:color w:val="1E293B"/>
          <w:sz w:val="21"/>
        </w:rPr>
        <w:t>Le réglage des hyperparamètres ne se fait pas par force brute (Grid Search trop lent, Random Search trop dispersé), mais par Optimisation Bayésienne séquentielle utilisant l'algorithme TPE (Tree-structured Parzen Estimator).</w:t>
      </w:r>
    </w:p>
    <w:p>
      <w:pPr>
        <w:spacing w:after="120" w:line="276" w:lineRule="auto"/>
      </w:pPr>
      <w:r>
        <w:rPr>
          <w:rFonts w:ascii="Arial" w:hAnsi="Arial"/>
          <w:color w:val="1E293B"/>
          <w:sz w:val="21"/>
        </w:rPr>
        <w:t>Optuna modélise la fonction de distribution de probabilité conditionnelle P(Hyperparamètres | Performance). À chaque itération, il concentre la recherche dans les sous-espaces mathématiques les plus prometteurs pour optimiser :</w:t>
      </w:r>
    </w:p>
    <w:p>
      <w:pPr>
        <w:pStyle w:val="ListBullet"/>
        <w:spacing w:after="80" w:line="276" w:lineRule="auto"/>
      </w:pPr>
      <w:r>
        <w:rPr>
          <w:rFonts w:ascii="Arial" w:hAnsi="Arial"/>
          <w:b/>
          <w:color w:val="1E293B"/>
          <w:sz w:val="21"/>
        </w:rPr>
        <w:t xml:space="preserve">• max_depth : </w:t>
      </w:r>
      <w:r>
        <w:rPr>
          <w:rFonts w:ascii="Arial" w:hAnsi="Arial"/>
          <w:color w:val="1E293B"/>
          <w:sz w:val="21"/>
        </w:rPr>
        <w:t>Profondeur maximale des arbres (entre 3 et 8) pour juguler le surajustement.</w:t>
      </w:r>
    </w:p>
    <w:p>
      <w:pPr>
        <w:pStyle w:val="ListBullet"/>
        <w:spacing w:after="80" w:line="276" w:lineRule="auto"/>
      </w:pPr>
      <w:r>
        <w:rPr>
          <w:rFonts w:ascii="Arial" w:hAnsi="Arial"/>
          <w:b/>
          <w:color w:val="1E293B"/>
          <w:sz w:val="21"/>
        </w:rPr>
        <w:t xml:space="preserve">• learning_rate : </w:t>
      </w:r>
      <w:r>
        <w:rPr>
          <w:rFonts w:ascii="Arial" w:hAnsi="Arial"/>
          <w:color w:val="1E293B"/>
          <w:sz w:val="21"/>
        </w:rPr>
        <w:t>Vitesse de convergence (entre 0.01 et 0.15) pour un apprentissage régulier.</w:t>
      </w:r>
    </w:p>
    <w:p>
      <w:pPr>
        <w:pStyle w:val="ListBullet"/>
        <w:spacing w:after="80" w:line="276" w:lineRule="auto"/>
      </w:pPr>
      <w:r>
        <w:rPr>
          <w:rFonts w:ascii="Arial" w:hAnsi="Arial"/>
          <w:b/>
          <w:color w:val="1E293B"/>
          <w:sz w:val="21"/>
        </w:rPr>
        <w:t xml:space="preserve">• n_estimators : </w:t>
      </w:r>
      <w:r>
        <w:rPr>
          <w:rFonts w:ascii="Arial" w:hAnsi="Arial"/>
          <w:color w:val="1E293B"/>
          <w:sz w:val="21"/>
        </w:rPr>
        <w:t>Nombre d'estimateurs boostés (entre 100 et 500).</w:t>
      </w:r>
    </w:p>
    <w:p>
      <w:pPr>
        <w:pStyle w:val="ListBullet"/>
        <w:spacing w:after="80" w:line="276" w:lineRule="auto"/>
      </w:pPr>
      <w:r>
        <w:rPr>
          <w:rFonts w:ascii="Arial" w:hAnsi="Arial"/>
          <w:b/>
          <w:color w:val="1E293B"/>
          <w:sz w:val="21"/>
        </w:rPr>
        <w:t xml:space="preserve">• subsample &amp; colsample : </w:t>
      </w:r>
      <w:r>
        <w:rPr>
          <w:rFonts w:ascii="Arial" w:hAnsi="Arial"/>
          <w:color w:val="1E293B"/>
          <w:sz w:val="21"/>
        </w:rPr>
        <w:t>Fraction aléatoire des données et des colonnes sélectionnée par arbre (0.6 à 0.95) pour injecter de la diversité stochastique.</w:t>
      </w:r>
    </w:p>
    <w:p>
      <w:pPr>
        <w:keepNext/>
        <w:spacing w:before="360" w:after="160"/>
        <w:pBdr>
          <w:bottom w:val="single" w:sz="6" w:space="2" w:color="CBD5E1"/>
        </w:pBdr>
      </w:pPr>
      <w:r>
        <w:rPr>
          <w:rFonts w:ascii="Arial" w:hAnsi="Arial"/>
          <w:b/>
          <w:color w:val="0F172A"/>
          <w:sz w:val="32"/>
        </w:rPr>
        <w:t>6. Moteur de Money Management &amp; Sorties Dynamiques</w:t>
      </w:r>
    </w:p>
    <w:p>
      <w:pPr>
        <w:spacing w:after="120" w:line="276" w:lineRule="auto"/>
      </w:pPr>
      <w:r>
        <w:rPr>
          <w:rFonts w:ascii="Arial" w:hAnsi="Arial"/>
          <w:color w:val="1E293B"/>
          <w:sz w:val="21"/>
        </w:rPr>
        <w:t>Avoir un bon modèle prédictif est inutile si le dimensionnement des positions est mal maîtrisé. X-Trader intègre les mathématiques de Kelly pour optimiser la trajectoire de croissance géométrique du capital.</w:t>
      </w:r>
    </w:p>
    <w:p>
      <w:pPr>
        <w:keepNext/>
        <w:spacing w:before="280" w:after="120"/>
      </w:pPr>
      <w:r>
        <w:rPr>
          <w:rFonts w:ascii="Arial" w:hAnsi="Arial"/>
          <w:b/>
          <w:color w:val="2563EB"/>
          <w:sz w:val="26"/>
        </w:rPr>
        <w:t>6.1 La Formule de Kelly et le Half-Kelly</w:t>
      </w:r>
    </w:p>
    <w:p>
      <w:pPr>
        <w:spacing w:after="120" w:line="276" w:lineRule="auto"/>
      </w:pPr>
      <w:r>
        <w:rPr>
          <w:rFonts w:ascii="Arial" w:hAnsi="Arial"/>
          <w:color w:val="1E293B"/>
          <w:sz w:val="21"/>
        </w:rPr>
        <w:t>La fraction optimale théorique f* du capital à engager sur un trade est donnée par :</w:t>
      </w:r>
    </w:p>
    <w:p>
      <w:pPr>
        <w:spacing w:after="120" w:line="276" w:lineRule="auto"/>
      </w:pPr>
      <w:r>
        <w:rPr>
          <w:rFonts w:ascii="Arial" w:hAnsi="Arial"/>
          <w:color w:val="1E293B"/>
          <w:sz w:val="21"/>
        </w:rPr>
        <w:t>f* = ( p * b - q ) / b</w:t>
      </w:r>
    </w:p>
    <w:p>
      <w:pPr>
        <w:spacing w:after="120" w:line="276" w:lineRule="auto"/>
      </w:pPr>
      <w:r>
        <w:rPr>
          <w:rFonts w:ascii="Arial" w:hAnsi="Arial"/>
          <w:color w:val="1E293B"/>
          <w:sz w:val="21"/>
        </w:rPr>
        <w:t>Où p est la probabilité de gain (issue de la confiance IA), q = 1 - p la probabilité de perte, et b le ratio moyen gain/perte (b = 3.0 ATR / 1.5 ATR = 2.0).</w:t>
      </w:r>
    </w:p>
    <w:p>
      <w:pPr>
        <w:spacing w:after="120" w:line="276" w:lineRule="auto"/>
      </w:pPr>
      <w:r>
        <w:rPr>
          <w:rFonts w:ascii="Arial" w:hAnsi="Arial"/>
          <w:color w:val="1E293B"/>
          <w:sz w:val="21"/>
        </w:rPr>
        <w:t>Le Full Kelly maximise la vitesse de croissance logarithmique du capital, mais au prix d'une volatilité et de drawdowns psychologiquement insupportables. X-Trader applique donc la norme institutionnelle du Half-Kelly (f* / 2), qui procure 75% du taux de croissance théorique maximal tout en divisant la variance du portefeuille par deux.</w:t>
      </w:r>
    </w:p>
    <w:p>
      <w:pPr>
        <w:keepNext/>
        <w:spacing w:before="280" w:after="120"/>
      </w:pPr>
      <w:r>
        <w:rPr>
          <w:rFonts w:ascii="Arial" w:hAnsi="Arial"/>
          <w:b/>
          <w:color w:val="2563EB"/>
          <w:sz w:val="26"/>
        </w:rPr>
        <w:t>6.2 Barrières de Sortie ATR et Règle de Breakeven</w:t>
      </w:r>
    </w:p>
    <w:p>
      <w:pPr>
        <w:pStyle w:val="ListBullet"/>
        <w:spacing w:after="80" w:line="276" w:lineRule="auto"/>
      </w:pPr>
      <w:r>
        <w:rPr>
          <w:rFonts w:ascii="Arial" w:hAnsi="Arial"/>
          <w:b/>
          <w:color w:val="1E293B"/>
          <w:sz w:val="21"/>
        </w:rPr>
        <w:t xml:space="preserve">• Stop-Loss (1.5 ATR) : </w:t>
      </w:r>
      <w:r>
        <w:rPr>
          <w:rFonts w:ascii="Arial" w:hAnsi="Arial"/>
          <w:color w:val="1E293B"/>
          <w:sz w:val="21"/>
        </w:rPr>
        <w:t>Fixé à Entrée - 1.5 * ATR. S'adapte instantanément à la volatilité de l'action. Une action calme aura un stop serré en dollars, une action explosive aura un stop élargi.</w:t>
      </w:r>
    </w:p>
    <w:p>
      <w:pPr>
        <w:pStyle w:val="ListBullet"/>
        <w:spacing w:after="80" w:line="276" w:lineRule="auto"/>
      </w:pPr>
      <w:r>
        <w:rPr>
          <w:rFonts w:ascii="Arial" w:hAnsi="Arial"/>
          <w:b/>
          <w:color w:val="1E293B"/>
          <w:sz w:val="21"/>
        </w:rPr>
        <w:t xml:space="preserve">• Take-Profit (3.0 ATR) : </w:t>
      </w:r>
      <w:r>
        <w:rPr>
          <w:rFonts w:ascii="Arial" w:hAnsi="Arial"/>
          <w:color w:val="1E293B"/>
          <w:sz w:val="21"/>
        </w:rPr>
        <w:t>Fixé à Entrée + 3.0 * ATR. Assure un ratio risque/rendement structurellement fixé à 2.0.</w:t>
      </w:r>
    </w:p>
    <w:p>
      <w:pPr>
        <w:pStyle w:val="ListBullet"/>
        <w:spacing w:after="80" w:line="276" w:lineRule="auto"/>
      </w:pPr>
      <w:r>
        <w:rPr>
          <w:rFonts w:ascii="Arial" w:hAnsi="Arial"/>
          <w:b/>
          <w:color w:val="1E293B"/>
          <w:sz w:val="21"/>
        </w:rPr>
        <w:t xml:space="preserve">• Déclencheur Breakeven : </w:t>
      </w:r>
      <w:r>
        <w:rPr>
          <w:rFonts w:ascii="Arial" w:hAnsi="Arial"/>
          <w:color w:val="1E293B"/>
          <w:sz w:val="21"/>
        </w:rPr>
        <w:t>Dès que le cours progresse de +1.5 ATR (soit 1R de gain), le Stop-Loss initial est automatiquement remonté au prix d'achat initial. Le trade devient alors totalement gratuit (risque zéro).</w:t>
      </w:r>
    </w:p>
    <w:p>
      <w:pPr>
        <w:keepNext/>
        <w:spacing w:before="360" w:after="160"/>
        <w:pBdr>
          <w:bottom w:val="single" w:sz="6" w:space="2" w:color="CBD5E1"/>
        </w:pBdr>
      </w:pPr>
      <w:r>
        <w:rPr>
          <w:rFonts w:ascii="Arial" w:hAnsi="Arial"/>
          <w:b/>
          <w:color w:val="0F172A"/>
          <w:sz w:val="32"/>
        </w:rPr>
        <w:t>7. Métriques Quantitatives du Tearsheet (Gestion du Risque Extrême)</w:t>
      </w:r>
    </w:p>
    <w:p>
      <w:pPr>
        <w:spacing w:after="120" w:line="276" w:lineRule="auto"/>
      </w:pPr>
      <w:r>
        <w:rPr>
          <w:rFonts w:ascii="Arial" w:hAnsi="Arial"/>
          <w:color w:val="1E293B"/>
          <w:sz w:val="21"/>
        </w:rPr>
        <w:t>L'onglet des métriques évalue la performance selon les critères d'évaluation des hedge funds :</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E293B"/>
            <w:tcMar>
              <w:top w:w="120" w:type="dxa"/>
              <w:bottom w:w="120" w:type="dxa"/>
              <w:left w:w="120" w:type="dxa"/>
              <w:right w:w="120" w:type="dxa"/>
            </w:tcMar>
          </w:tcPr>
          <w:p>
            <w:pPr>
              <w:jc w:val="left"/>
            </w:pPr>
            <w:r>
              <w:rPr>
                <w:rFonts w:ascii="Arial" w:hAnsi="Arial"/>
                <w:b/>
                <w:color w:val="FFFFFF"/>
                <w:sz w:val="19"/>
              </w:rPr>
              <w:t>Métrique</w:t>
            </w:r>
          </w:p>
        </w:tc>
        <w:tc>
          <w:tcPr>
            <w:tcW w:type="dxa" w:w="2592"/>
            <w:shd w:fill="1E293B"/>
            <w:tcMar>
              <w:top w:w="120" w:type="dxa"/>
              <w:bottom w:w="120" w:type="dxa"/>
              <w:left w:w="120" w:type="dxa"/>
              <w:right w:w="120" w:type="dxa"/>
            </w:tcMar>
          </w:tcPr>
          <w:p>
            <w:pPr>
              <w:jc w:val="left"/>
            </w:pPr>
            <w:r>
              <w:rPr>
                <w:rFonts w:ascii="Arial" w:hAnsi="Arial"/>
                <w:b/>
                <w:color w:val="FFFFFF"/>
                <w:sz w:val="19"/>
              </w:rPr>
              <w:t>Formule / Définition</w:t>
            </w:r>
          </w:p>
        </w:tc>
        <w:tc>
          <w:tcPr>
            <w:tcW w:type="dxa" w:w="2160"/>
            <w:shd w:fill="1E293B"/>
            <w:tcMar>
              <w:top w:w="120" w:type="dxa"/>
              <w:bottom w:w="120" w:type="dxa"/>
              <w:left w:w="120" w:type="dxa"/>
              <w:right w:w="120" w:type="dxa"/>
            </w:tcMar>
          </w:tcPr>
          <w:p>
            <w:pPr>
              <w:jc w:val="left"/>
            </w:pPr>
            <w:r>
              <w:rPr>
                <w:rFonts w:ascii="Arial" w:hAnsi="Arial"/>
                <w:b/>
                <w:color w:val="FFFFFF"/>
                <w:sz w:val="19"/>
              </w:rPr>
              <w:t>Seuil Recommandé</w:t>
            </w:r>
          </w:p>
        </w:tc>
        <w:tc>
          <w:tcPr>
            <w:tcW w:type="dxa" w:w="2880"/>
            <w:shd w:fill="1E293B"/>
            <w:tcMar>
              <w:top w:w="120" w:type="dxa"/>
              <w:bottom w:w="120" w:type="dxa"/>
              <w:left w:w="120" w:type="dxa"/>
              <w:right w:w="120" w:type="dxa"/>
            </w:tcMar>
          </w:tcPr>
          <w:p>
            <w:pPr>
              <w:jc w:val="left"/>
            </w:pPr>
            <w:r>
              <w:rPr>
                <w:rFonts w:ascii="Arial" w:hAnsi="Arial"/>
                <w:b/>
                <w:color w:val="FFFFFF"/>
                <w:sz w:val="19"/>
              </w:rPr>
              <w:t>Utilité Décisionnelle</w:t>
            </w:r>
          </w:p>
        </w:tc>
      </w:tr>
      <w:tr>
        <w:tc>
          <w:tcPr>
            <w:tcW w:type="dxa" w:w="2160"/>
            <w:shd w:fill="FFFFFF"/>
            <w:tcMar>
              <w:top w:w="90" w:type="dxa"/>
              <w:bottom w:w="90" w:type="dxa"/>
              <w:left w:w="120" w:type="dxa"/>
              <w:right w:w="120" w:type="dxa"/>
            </w:tcMar>
          </w:tcPr>
          <w:p>
            <w:pPr>
              <w:jc w:val="left"/>
            </w:pPr>
            <w:r>
              <w:rPr>
                <w:rFonts w:ascii="Arial" w:hAnsi="Arial"/>
                <w:color w:val="1E293B"/>
                <w:sz w:val="18"/>
              </w:rPr>
              <w:t>Ratio de Sharpe</w:t>
            </w:r>
          </w:p>
        </w:tc>
        <w:tc>
          <w:tcPr>
            <w:tcW w:type="dxa" w:w="2592"/>
            <w:shd w:fill="FFFFFF"/>
            <w:tcMar>
              <w:top w:w="90" w:type="dxa"/>
              <w:bottom w:w="90" w:type="dxa"/>
              <w:left w:w="120" w:type="dxa"/>
              <w:right w:w="120" w:type="dxa"/>
            </w:tcMar>
          </w:tcPr>
          <w:p>
            <w:pPr>
              <w:jc w:val="left"/>
            </w:pPr>
            <w:r>
              <w:rPr>
                <w:rFonts w:ascii="Arial" w:hAnsi="Arial"/>
                <w:color w:val="1E293B"/>
                <w:sz w:val="18"/>
              </w:rPr>
              <w:t>(R_p - R_f) / Volatilité</w:t>
            </w:r>
          </w:p>
        </w:tc>
        <w:tc>
          <w:tcPr>
            <w:tcW w:type="dxa" w:w="2160"/>
            <w:shd w:fill="FFFFFF"/>
            <w:tcMar>
              <w:top w:w="90" w:type="dxa"/>
              <w:bottom w:w="90" w:type="dxa"/>
              <w:left w:w="120" w:type="dxa"/>
              <w:right w:w="120" w:type="dxa"/>
            </w:tcMar>
          </w:tcPr>
          <w:p>
            <w:pPr>
              <w:jc w:val="left"/>
            </w:pPr>
            <w:r>
              <w:rPr>
                <w:rFonts w:ascii="Arial" w:hAnsi="Arial"/>
                <w:color w:val="1E293B"/>
                <w:sz w:val="18"/>
              </w:rPr>
              <w:t>&gt; 1.0 (Annuel)</w:t>
            </w:r>
          </w:p>
        </w:tc>
        <w:tc>
          <w:tcPr>
            <w:tcW w:type="dxa" w:w="2880"/>
            <w:shd w:fill="FFFFFF"/>
            <w:tcMar>
              <w:top w:w="90" w:type="dxa"/>
              <w:bottom w:w="90" w:type="dxa"/>
              <w:left w:w="120" w:type="dxa"/>
              <w:right w:w="120" w:type="dxa"/>
            </w:tcMar>
          </w:tcPr>
          <w:p>
            <w:pPr>
              <w:jc w:val="left"/>
            </w:pPr>
            <w:r>
              <w:rPr>
                <w:rFonts w:ascii="Arial" w:hAnsi="Arial"/>
                <w:color w:val="1E293B"/>
                <w:sz w:val="18"/>
              </w:rPr>
              <w:t>Rendement excédentaire généré par unité de risque total.</w:t>
            </w:r>
          </w:p>
        </w:tc>
      </w:tr>
      <w:tr>
        <w:tc>
          <w:tcPr>
            <w:tcW w:type="dxa" w:w="2160"/>
            <w:shd w:fill="F8FAFC"/>
            <w:tcMar>
              <w:top w:w="90" w:type="dxa"/>
              <w:bottom w:w="90" w:type="dxa"/>
              <w:left w:w="120" w:type="dxa"/>
              <w:right w:w="120" w:type="dxa"/>
            </w:tcMar>
          </w:tcPr>
          <w:p>
            <w:pPr>
              <w:jc w:val="left"/>
            </w:pPr>
            <w:r>
              <w:rPr>
                <w:rFonts w:ascii="Arial" w:hAnsi="Arial"/>
                <w:color w:val="1E293B"/>
                <w:sz w:val="18"/>
              </w:rPr>
              <w:t>Max Drawdown</w:t>
            </w:r>
          </w:p>
        </w:tc>
        <w:tc>
          <w:tcPr>
            <w:tcW w:type="dxa" w:w="2592"/>
            <w:shd w:fill="F8FAFC"/>
            <w:tcMar>
              <w:top w:w="90" w:type="dxa"/>
              <w:bottom w:w="90" w:type="dxa"/>
              <w:left w:w="120" w:type="dxa"/>
              <w:right w:w="120" w:type="dxa"/>
            </w:tcMar>
          </w:tcPr>
          <w:p>
            <w:pPr>
              <w:jc w:val="left"/>
            </w:pPr>
            <w:r>
              <w:rPr>
                <w:rFonts w:ascii="Arial" w:hAnsi="Arial"/>
                <w:color w:val="1E293B"/>
                <w:sz w:val="18"/>
              </w:rPr>
              <w:t>Perte maximale depuis le sommet</w:t>
            </w:r>
          </w:p>
        </w:tc>
        <w:tc>
          <w:tcPr>
            <w:tcW w:type="dxa" w:w="2160"/>
            <w:shd w:fill="F8FAFC"/>
            <w:tcMar>
              <w:top w:w="90" w:type="dxa"/>
              <w:bottom w:w="90" w:type="dxa"/>
              <w:left w:w="120" w:type="dxa"/>
              <w:right w:w="120" w:type="dxa"/>
            </w:tcMar>
          </w:tcPr>
          <w:p>
            <w:pPr>
              <w:jc w:val="left"/>
            </w:pPr>
            <w:r>
              <w:rPr>
                <w:rFonts w:ascii="Arial" w:hAnsi="Arial"/>
                <w:color w:val="1E293B"/>
                <w:sz w:val="18"/>
              </w:rPr>
              <w:t>&lt; 20% à 25%</w:t>
            </w:r>
          </w:p>
        </w:tc>
        <w:tc>
          <w:tcPr>
            <w:tcW w:type="dxa" w:w="2880"/>
            <w:shd w:fill="F8FAFC"/>
            <w:tcMar>
              <w:top w:w="90" w:type="dxa"/>
              <w:bottom w:w="90" w:type="dxa"/>
              <w:left w:w="120" w:type="dxa"/>
              <w:right w:w="120" w:type="dxa"/>
            </w:tcMar>
          </w:tcPr>
          <w:p>
            <w:pPr>
              <w:jc w:val="left"/>
            </w:pPr>
            <w:r>
              <w:rPr>
                <w:rFonts w:ascii="Arial" w:hAnsi="Arial"/>
                <w:color w:val="1E293B"/>
                <w:sz w:val="18"/>
              </w:rPr>
              <w:t>Mesure de la douleur financière et psychologique maximale.</w:t>
            </w:r>
          </w:p>
        </w:tc>
      </w:tr>
      <w:tr>
        <w:tc>
          <w:tcPr>
            <w:tcW w:type="dxa" w:w="2160"/>
            <w:shd w:fill="FFFFFF"/>
            <w:tcMar>
              <w:top w:w="90" w:type="dxa"/>
              <w:bottom w:w="90" w:type="dxa"/>
              <w:left w:w="120" w:type="dxa"/>
              <w:right w:w="120" w:type="dxa"/>
            </w:tcMar>
          </w:tcPr>
          <w:p>
            <w:pPr>
              <w:jc w:val="left"/>
            </w:pPr>
            <w:r>
              <w:rPr>
                <w:rFonts w:ascii="Arial" w:hAnsi="Arial"/>
                <w:color w:val="1E293B"/>
                <w:sz w:val="18"/>
              </w:rPr>
              <w:t>Win Rate</w:t>
            </w:r>
          </w:p>
        </w:tc>
        <w:tc>
          <w:tcPr>
            <w:tcW w:type="dxa" w:w="2592"/>
            <w:shd w:fill="FFFFFF"/>
            <w:tcMar>
              <w:top w:w="90" w:type="dxa"/>
              <w:bottom w:w="90" w:type="dxa"/>
              <w:left w:w="120" w:type="dxa"/>
              <w:right w:w="120" w:type="dxa"/>
            </w:tcMar>
          </w:tcPr>
          <w:p>
            <w:pPr>
              <w:jc w:val="left"/>
            </w:pPr>
            <w:r>
              <w:rPr>
                <w:rFonts w:ascii="Arial" w:hAnsi="Arial"/>
                <w:color w:val="1E293B"/>
                <w:sz w:val="18"/>
              </w:rPr>
              <w:t>Trades gagnants / Total trades</w:t>
            </w:r>
          </w:p>
        </w:tc>
        <w:tc>
          <w:tcPr>
            <w:tcW w:type="dxa" w:w="2160"/>
            <w:shd w:fill="FFFFFF"/>
            <w:tcMar>
              <w:top w:w="90" w:type="dxa"/>
              <w:bottom w:w="90" w:type="dxa"/>
              <w:left w:w="120" w:type="dxa"/>
              <w:right w:w="120" w:type="dxa"/>
            </w:tcMar>
          </w:tcPr>
          <w:p>
            <w:pPr>
              <w:jc w:val="left"/>
            </w:pPr>
            <w:r>
              <w:rPr>
                <w:rFonts w:ascii="Arial" w:hAnsi="Arial"/>
                <w:color w:val="1E293B"/>
                <w:sz w:val="18"/>
              </w:rPr>
              <w:t>&gt; 40% (avec R:R=2)</w:t>
            </w:r>
          </w:p>
        </w:tc>
        <w:tc>
          <w:tcPr>
            <w:tcW w:type="dxa" w:w="2880"/>
            <w:shd w:fill="FFFFFF"/>
            <w:tcMar>
              <w:top w:w="90" w:type="dxa"/>
              <w:bottom w:w="90" w:type="dxa"/>
              <w:left w:w="120" w:type="dxa"/>
              <w:right w:w="120" w:type="dxa"/>
            </w:tcMar>
          </w:tcPr>
          <w:p>
            <w:pPr>
              <w:jc w:val="left"/>
            </w:pPr>
            <w:r>
              <w:rPr>
                <w:rFonts w:ascii="Arial" w:hAnsi="Arial"/>
                <w:color w:val="1E293B"/>
                <w:sz w:val="18"/>
              </w:rPr>
              <w:t>Taux de réussite réel compte tenu des stops et take-profits.</w:t>
            </w:r>
          </w:p>
        </w:tc>
      </w:tr>
      <w:tr>
        <w:tc>
          <w:tcPr>
            <w:tcW w:type="dxa" w:w="2160"/>
            <w:shd w:fill="F8FAFC"/>
            <w:tcMar>
              <w:top w:w="90" w:type="dxa"/>
              <w:bottom w:w="90" w:type="dxa"/>
              <w:left w:w="120" w:type="dxa"/>
              <w:right w:w="120" w:type="dxa"/>
            </w:tcMar>
          </w:tcPr>
          <w:p>
            <w:pPr>
              <w:jc w:val="left"/>
            </w:pPr>
            <w:r>
              <w:rPr>
                <w:rFonts w:ascii="Arial" w:hAnsi="Arial"/>
                <w:color w:val="1E293B"/>
                <w:sz w:val="18"/>
              </w:rPr>
              <w:t>VaR Historique (95%)</w:t>
            </w:r>
          </w:p>
        </w:tc>
        <w:tc>
          <w:tcPr>
            <w:tcW w:type="dxa" w:w="2592"/>
            <w:shd w:fill="F8FAFC"/>
            <w:tcMar>
              <w:top w:w="90" w:type="dxa"/>
              <w:bottom w:w="90" w:type="dxa"/>
              <w:left w:w="120" w:type="dxa"/>
              <w:right w:w="120" w:type="dxa"/>
            </w:tcMar>
          </w:tcPr>
          <w:p>
            <w:pPr>
              <w:jc w:val="left"/>
            </w:pPr>
            <w:r>
              <w:rPr>
                <w:rFonts w:ascii="Arial" w:hAnsi="Arial"/>
                <w:color w:val="1E293B"/>
                <w:sz w:val="18"/>
              </w:rPr>
              <w:t>Percentile 5% des rendements journaliers</w:t>
            </w:r>
          </w:p>
        </w:tc>
        <w:tc>
          <w:tcPr>
            <w:tcW w:type="dxa" w:w="2160"/>
            <w:shd w:fill="F8FAFC"/>
            <w:tcMar>
              <w:top w:w="90" w:type="dxa"/>
              <w:bottom w:w="90" w:type="dxa"/>
              <w:left w:w="120" w:type="dxa"/>
              <w:right w:w="120" w:type="dxa"/>
            </w:tcMar>
          </w:tcPr>
          <w:p>
            <w:pPr>
              <w:jc w:val="left"/>
            </w:pPr>
            <w:r>
              <w:rPr>
                <w:rFonts w:ascii="Arial" w:hAnsi="Arial"/>
                <w:color w:val="1E293B"/>
                <w:sz w:val="18"/>
              </w:rPr>
              <w:t>&gt; -2.5% / jour</w:t>
            </w:r>
          </w:p>
        </w:tc>
        <w:tc>
          <w:tcPr>
            <w:tcW w:type="dxa" w:w="2880"/>
            <w:shd w:fill="F8FAFC"/>
            <w:tcMar>
              <w:top w:w="90" w:type="dxa"/>
              <w:bottom w:w="90" w:type="dxa"/>
              <w:left w:w="120" w:type="dxa"/>
              <w:right w:w="120" w:type="dxa"/>
            </w:tcMar>
          </w:tcPr>
          <w:p>
            <w:pPr>
              <w:jc w:val="left"/>
            </w:pPr>
            <w:r>
              <w:rPr>
                <w:rFonts w:ascii="Arial" w:hAnsi="Arial"/>
                <w:color w:val="1E293B"/>
                <w:sz w:val="18"/>
              </w:rPr>
              <w:t>Perte quotidienne maximale attendue dans 95% des séances.</w:t>
            </w:r>
          </w:p>
        </w:tc>
      </w:tr>
      <w:tr>
        <w:tc>
          <w:tcPr>
            <w:tcW w:type="dxa" w:w="2160"/>
            <w:shd w:fill="FFFFFF"/>
            <w:tcMar>
              <w:top w:w="90" w:type="dxa"/>
              <w:bottom w:w="90" w:type="dxa"/>
              <w:left w:w="120" w:type="dxa"/>
              <w:right w:w="120" w:type="dxa"/>
            </w:tcMar>
          </w:tcPr>
          <w:p>
            <w:pPr>
              <w:jc w:val="left"/>
            </w:pPr>
            <w:r>
              <w:rPr>
                <w:rFonts w:ascii="Arial" w:hAnsi="Arial"/>
                <w:color w:val="1E293B"/>
                <w:sz w:val="18"/>
              </w:rPr>
              <w:t>CVaR (Expected Shortfall)</w:t>
            </w:r>
          </w:p>
        </w:tc>
        <w:tc>
          <w:tcPr>
            <w:tcW w:type="dxa" w:w="2592"/>
            <w:shd w:fill="FFFFFF"/>
            <w:tcMar>
              <w:top w:w="90" w:type="dxa"/>
              <w:bottom w:w="90" w:type="dxa"/>
              <w:left w:w="120" w:type="dxa"/>
              <w:right w:w="120" w:type="dxa"/>
            </w:tcMar>
          </w:tcPr>
          <w:p>
            <w:pPr>
              <w:jc w:val="left"/>
            </w:pPr>
            <w:r>
              <w:rPr>
                <w:rFonts w:ascii="Arial" w:hAnsi="Arial"/>
                <w:color w:val="1E293B"/>
                <w:sz w:val="18"/>
              </w:rPr>
              <w:t>Moyenne des pertes au-delà de la VaR</w:t>
            </w:r>
          </w:p>
        </w:tc>
        <w:tc>
          <w:tcPr>
            <w:tcW w:type="dxa" w:w="2160"/>
            <w:shd w:fill="FFFFFF"/>
            <w:tcMar>
              <w:top w:w="90" w:type="dxa"/>
              <w:bottom w:w="90" w:type="dxa"/>
              <w:left w:w="120" w:type="dxa"/>
              <w:right w:w="120" w:type="dxa"/>
            </w:tcMar>
          </w:tcPr>
          <w:p>
            <w:pPr>
              <w:jc w:val="left"/>
            </w:pPr>
            <w:r>
              <w:rPr>
                <w:rFonts w:ascii="Arial" w:hAnsi="Arial"/>
                <w:color w:val="1E293B"/>
                <w:sz w:val="18"/>
              </w:rPr>
              <w:t>&gt; -4.0% / jour</w:t>
            </w:r>
          </w:p>
        </w:tc>
        <w:tc>
          <w:tcPr>
            <w:tcW w:type="dxa" w:w="2880"/>
            <w:shd w:fill="FFFFFF"/>
            <w:tcMar>
              <w:top w:w="90" w:type="dxa"/>
              <w:bottom w:w="90" w:type="dxa"/>
              <w:left w:w="120" w:type="dxa"/>
              <w:right w:w="120" w:type="dxa"/>
            </w:tcMar>
          </w:tcPr>
          <w:p>
            <w:pPr>
              <w:jc w:val="left"/>
            </w:pPr>
            <w:r>
              <w:rPr>
                <w:rFonts w:ascii="Arial" w:hAnsi="Arial"/>
                <w:color w:val="1E293B"/>
                <w:sz w:val="18"/>
              </w:rPr>
              <w:t>Mesure du risque en cas de krach sévère (queue épaisse).</w:t>
            </w:r>
          </w:p>
        </w:tc>
      </w:tr>
      <w:tr>
        <w:tc>
          <w:tcPr>
            <w:tcW w:type="dxa" w:w="2160"/>
            <w:shd w:fill="F8FAFC"/>
            <w:tcMar>
              <w:top w:w="90" w:type="dxa"/>
              <w:bottom w:w="90" w:type="dxa"/>
              <w:left w:w="120" w:type="dxa"/>
              <w:right w:w="120" w:type="dxa"/>
            </w:tcMar>
          </w:tcPr>
          <w:p>
            <w:pPr>
              <w:jc w:val="left"/>
            </w:pPr>
            <w:r>
              <w:rPr>
                <w:rFonts w:ascii="Arial" w:hAnsi="Arial"/>
                <w:color w:val="1E293B"/>
                <w:sz w:val="18"/>
              </w:rPr>
              <w:t>Probabilité de Ruine</w:t>
            </w:r>
          </w:p>
        </w:tc>
        <w:tc>
          <w:tcPr>
            <w:tcW w:type="dxa" w:w="2592"/>
            <w:shd w:fill="F8FAFC"/>
            <w:tcMar>
              <w:top w:w="90" w:type="dxa"/>
              <w:bottom w:w="90" w:type="dxa"/>
              <w:left w:w="120" w:type="dxa"/>
              <w:right w:w="120" w:type="dxa"/>
            </w:tcMar>
          </w:tcPr>
          <w:p>
            <w:pPr>
              <w:jc w:val="left"/>
            </w:pPr>
            <w:r>
              <w:rPr>
                <w:rFonts w:ascii="Arial" w:hAnsi="Arial"/>
                <w:color w:val="1E293B"/>
                <w:sz w:val="18"/>
              </w:rPr>
              <w:t>Simulations Monte Carlo (1 000 itérations)</w:t>
            </w:r>
          </w:p>
        </w:tc>
        <w:tc>
          <w:tcPr>
            <w:tcW w:type="dxa" w:w="2160"/>
            <w:shd w:fill="F8FAFC"/>
            <w:tcMar>
              <w:top w:w="90" w:type="dxa"/>
              <w:bottom w:w="90" w:type="dxa"/>
              <w:left w:w="120" w:type="dxa"/>
              <w:right w:w="120" w:type="dxa"/>
            </w:tcMar>
          </w:tcPr>
          <w:p>
            <w:pPr>
              <w:jc w:val="left"/>
            </w:pPr>
            <w:r>
              <w:rPr>
                <w:rFonts w:ascii="Arial" w:hAnsi="Arial"/>
                <w:color w:val="1E293B"/>
                <w:sz w:val="18"/>
              </w:rPr>
              <w:t>&lt; 5%</w:t>
            </w:r>
          </w:p>
        </w:tc>
        <w:tc>
          <w:tcPr>
            <w:tcW w:type="dxa" w:w="2880"/>
            <w:shd w:fill="F8FAFC"/>
            <w:tcMar>
              <w:top w:w="90" w:type="dxa"/>
              <w:bottom w:w="90" w:type="dxa"/>
              <w:left w:w="120" w:type="dxa"/>
              <w:right w:w="120" w:type="dxa"/>
            </w:tcMar>
          </w:tcPr>
          <w:p>
            <w:pPr>
              <w:jc w:val="left"/>
            </w:pPr>
            <w:r>
              <w:rPr>
                <w:rFonts w:ascii="Arial" w:hAnsi="Arial"/>
                <w:color w:val="1E293B"/>
                <w:sz w:val="18"/>
              </w:rPr>
              <w:t>Risque de faillite du portefeuille sur un horizon de 500 trades.</w:t>
            </w:r>
          </w:p>
        </w:tc>
      </w:tr>
    </w:tbl>
    <w:p>
      <w:pPr>
        <w:spacing w:after="160"/>
      </w:pPr>
    </w:p>
    <w:p>
      <w:pPr>
        <w:keepNext/>
        <w:spacing w:before="360" w:after="160"/>
        <w:pBdr>
          <w:bottom w:val="single" w:sz="6" w:space="2" w:color="CBD5E1"/>
        </w:pBdr>
      </w:pPr>
      <w:r>
        <w:rPr>
          <w:rFonts w:ascii="Arial" w:hAnsi="Arial"/>
          <w:b/>
          <w:color w:val="0F172A"/>
          <w:sz w:val="32"/>
        </w:rPr>
        <w:t>8. Résumé du Cycle de Décision Algorithmique</w:t>
      </w:r>
    </w:p>
    <w:p>
      <w:pPr>
        <w:spacing w:after="120" w:line="276" w:lineRule="auto"/>
      </w:pPr>
      <w:r>
        <w:rPr>
          <w:rFonts w:ascii="Arial" w:hAnsi="Arial"/>
          <w:color w:val="1E293B"/>
          <w:sz w:val="21"/>
        </w:rPr>
        <w:t>En synthèse, chaque recommandation produite par X-Trader résulte d'un entonnoir strict en 5 niveaux successifs :</w:t>
      </w:r>
    </w:p>
    <w:p>
      <w:pPr>
        <w:pStyle w:val="ListBullet"/>
        <w:spacing w:after="80" w:line="276" w:lineRule="auto"/>
      </w:pPr>
      <w:r>
        <w:rPr>
          <w:rFonts w:ascii="Arial" w:hAnsi="Arial"/>
          <w:b/>
          <w:color w:val="1E293B"/>
          <w:sz w:val="21"/>
        </w:rPr>
        <w:t xml:space="preserve">Niveau 1 : Ingestion &amp; Stationnarité - </w:t>
      </w:r>
      <w:r>
        <w:rPr>
          <w:rFonts w:ascii="Arial" w:hAnsi="Arial"/>
          <w:color w:val="1E293B"/>
          <w:sz w:val="21"/>
        </w:rPr>
        <w:t>Téléchargement sans biais des cours, ajustement des splits et dividendes, calcul de 20+ variables techniques et macro.</w:t>
      </w:r>
    </w:p>
    <w:p>
      <w:pPr>
        <w:pStyle w:val="ListBullet"/>
        <w:spacing w:after="80" w:line="276" w:lineRule="auto"/>
      </w:pPr>
      <w:r>
        <w:rPr>
          <w:rFonts w:ascii="Arial" w:hAnsi="Arial"/>
          <w:b/>
          <w:color w:val="1E293B"/>
          <w:sz w:val="21"/>
        </w:rPr>
        <w:t xml:space="preserve">Niveau 2 : Prédiction IA Ensembliste - </w:t>
      </w:r>
      <w:r>
        <w:rPr>
          <w:rFonts w:ascii="Arial" w:hAnsi="Arial"/>
          <w:color w:val="1E293B"/>
          <w:sz w:val="21"/>
        </w:rPr>
        <w:t>Prédiction continue issue du soft-voting de XGBoost, LightGBM et Random Forest.</w:t>
      </w:r>
    </w:p>
    <w:p>
      <w:pPr>
        <w:pStyle w:val="ListBullet"/>
        <w:spacing w:after="80" w:line="276" w:lineRule="auto"/>
      </w:pPr>
      <w:r>
        <w:rPr>
          <w:rFonts w:ascii="Arial" w:hAnsi="Arial"/>
          <w:b/>
          <w:color w:val="1E293B"/>
          <w:sz w:val="21"/>
        </w:rPr>
        <w:t xml:space="preserve">Niveau 3 : Cockpit Multi-Triggers - </w:t>
      </w:r>
      <w:r>
        <w:rPr>
          <w:rFonts w:ascii="Arial" w:hAnsi="Arial"/>
          <w:color w:val="1E293B"/>
          <w:sz w:val="21"/>
        </w:rPr>
        <w:t>Contrôle du régime de marché (SMA 200), surachat/survente (RSI), squeeze de volatilité et sentiment d'actualité (FinBERT).</w:t>
      </w:r>
    </w:p>
    <w:p>
      <w:pPr>
        <w:pStyle w:val="ListBullet"/>
        <w:spacing w:after="80" w:line="276" w:lineRule="auto"/>
      </w:pPr>
      <w:r>
        <w:rPr>
          <w:rFonts w:ascii="Arial" w:hAnsi="Arial"/>
          <w:b/>
          <w:color w:val="1E293B"/>
          <w:sz w:val="21"/>
        </w:rPr>
        <w:t xml:space="preserve">Niveau 4 : Money Management &amp; Sorties - </w:t>
      </w:r>
      <w:r>
        <w:rPr>
          <w:rFonts w:ascii="Arial" w:hAnsi="Arial"/>
          <w:color w:val="1E293B"/>
          <w:sz w:val="21"/>
        </w:rPr>
        <w:t>Calcul de la taille de position par le Half-Kelly, fixation des bornes 1.5 ATR (SL) et 3.0 ATR (TP).</w:t>
      </w:r>
    </w:p>
    <w:p>
      <w:pPr>
        <w:pStyle w:val="ListBullet"/>
        <w:spacing w:after="80" w:line="276" w:lineRule="auto"/>
      </w:pPr>
      <w:r>
        <w:rPr>
          <w:rFonts w:ascii="Arial" w:hAnsi="Arial"/>
          <w:b/>
          <w:color w:val="1E293B"/>
          <w:sz w:val="21"/>
        </w:rPr>
        <w:t xml:space="preserve">Niveau 5 : Exécution &amp; Couverture - </w:t>
      </w:r>
      <w:r>
        <w:rPr>
          <w:rFonts w:ascii="Arial" w:hAnsi="Arial"/>
          <w:color w:val="1E293B"/>
          <w:sz w:val="21"/>
        </w:rPr>
        <w:t>Génération de l'ordre spot et calcul de la stratégie dérivée optionnelle (Call/Put).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