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2563EB"/>
          <w:sz w:val="20"/>
        </w:rPr>
        <w:t>DOCUMENTATION UTILISATEUR &amp; GUIDE OPÉRATIONNEL</w:t>
      </w:r>
    </w:p>
    <w:p>
      <w:pPr>
        <w:spacing w:after="160"/>
      </w:pPr>
      <w:r>
        <w:rPr>
          <w:rFonts w:ascii="Arial" w:hAnsi="Arial"/>
          <w:b/>
          <w:color w:val="0F172A"/>
          <w:sz w:val="48"/>
        </w:rPr>
        <w:t>Manuel d'Utilisation Officiel : XGBoost Stock Predictor Pro</w:t>
      </w:r>
    </w:p>
    <w:p>
      <w:pPr>
        <w:spacing w:after="360"/>
      </w:pPr>
      <w:r>
        <w:rPr>
          <w:rFonts w:ascii="Arial" w:hAnsi="Arial"/>
          <w:color w:val="475569"/>
          <w:sz w:val="26"/>
        </w:rPr>
        <w:t>Guide opérationnel complet pour la plateforme de Trading Quantitatif &amp; Intelligence Artificielle (X-Trader)</w:t>
      </w:r>
    </w:p>
    <w:p>
      <w:pPr>
        <w:spacing w:after="400"/>
        <w:pBdr>
          <w:bottom w:val="single" w:sz="18" w:space="1" w:color="2563EB"/>
        </w:pBdr>
      </w:pPr>
    </w:p>
    <w:p>
      <w:pPr>
        <w:keepNext/>
        <w:spacing w:before="360" w:after="1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32"/>
        </w:rPr>
        <w:t>1. Introduction et Présentation Générale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L'application XGBoost Stock Predictor Pro (accessible à l'adresse https://xtrader-xgsboost.vpsaaconsulting.tech/) est une station de travail quantitative institutionnelle conçue pour concevoir, tester, optimiser et exécuter des stratégies de trading systématiques sur actions, ETF, cryptomonnaies et options.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La plateforme réunit les technologies les plus avancées du Machine Learning appliqué à la finance : un ensemble tri-moteur (XGBoost, LightGBM, Random Forest), l'optimisation bayésienne des hyperparamètres (Optuna), l'analyse par fenêtres glissantes sans biais temporel (Walk-Forward Analysis), le traitement du langage naturel financier (FinBERT NLP), ainsi qu'un moteur de Money Management probabiliste basé sur le critère de Kelly.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20"/>
              </w:rPr>
              <w:t>📌 PHILOSOPHIE DE CONCEPTION</w:t>
              <w:br/>
            </w:r>
            <w:r>
              <w:rPr>
                <w:rFonts w:ascii="Arial" w:hAnsi="Arial"/>
                <w:color w:val="1E293B"/>
                <w:sz w:val="20"/>
              </w:rPr>
              <w:t>L'application a été conçue selon une stricte éthique quantitative : interdiction formelle du biais de regard vers le futur (lookahead bias), prise en compte réaliste des frictions de marché (0.10% de slippage et 0.05% de frais de courtage) et dimensionnement dynamique des risques.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32"/>
        </w:rPr>
        <w:t>2. Prise en Main et Navigation dans l'Interface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L'écran principal est articulé autour d'une barre latérale (Sidebar) de configuration globale à gauche, et d'un espace d'analyse dynamique à onglets au centre.</w:t>
      </w: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26"/>
        </w:rPr>
        <w:t>2.1 La Barre Latérale (Sidebar) : Paramètres de Base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Sélecteur d'Actif : </w:t>
      </w:r>
      <w:r>
        <w:rPr>
          <w:rFonts w:ascii="Arial" w:hAnsi="Arial"/>
          <w:color w:val="1E293B"/>
          <w:sz w:val="21"/>
        </w:rPr>
        <w:t>Permet de choisir un actif parmi les univers US (S&amp;P 500, Nasdaq), CAC 40, DAX, Indices ou Cryptos majeures (BTC, ETH, SOL). Vous pouvez également saisir n'importe quel ticker universel Yahoo Finance.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Période d'Historique : </w:t>
      </w:r>
      <w:r>
        <w:rPr>
          <w:rFonts w:ascii="Arial" w:hAnsi="Arial"/>
          <w:color w:val="1E293B"/>
          <w:sz w:val="21"/>
        </w:rPr>
        <w:t>Définit l'échantillon de données téléchargé (1y, 2y, 5y, 10y, max). Règle d'or : Pour utiliser la méthode Walk-Forward, choisissez impérativement 10y ou max.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Intervalle Temporel : </w:t>
      </w:r>
      <w:r>
        <w:rPr>
          <w:rFonts w:ascii="Arial" w:hAnsi="Arial"/>
          <w:color w:val="1E293B"/>
          <w:sz w:val="21"/>
        </w:rPr>
        <w:t>Définit l'horizon de temps des barres (1d pour le swing trading journalier, 1h ou 15m pour l'intraday).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Capital Initial Total : </w:t>
      </w:r>
      <w:r>
        <w:rPr>
          <w:rFonts w:ascii="Arial" w:hAnsi="Arial"/>
          <w:color w:val="1E293B"/>
          <w:sz w:val="21"/>
        </w:rPr>
        <w:t>Montant de base utilisé pour simuler l'évolution du portefeuille de backtest et calibrer le Money Management (par défaut 10 000 $).</w:t>
      </w: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26"/>
        </w:rPr>
        <w:t>2.2 Les Modes d'Apprentissage Machine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Mode d'Entraînement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Paramètres à Cocher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Temps de Calcul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Usage Recommandé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Mode Standard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Auto-Opt: OFF | WFA: OFF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 à 4 secondes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Exploration rapide, premier coup d'œil technique.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Auto-Optimisation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Auto-Opt: ON | WFA: OFF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15 à 30 secondes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Trouver la meilleure combinaison d'hyperparamètres via Optuna.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Walk-Forward Analysis (WFA)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Auto-Opt: OFF | WFA: ON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15 à 25 secondes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Recommandé en production : validation sans aucun surapprentissage.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WFA + Optuna Combiné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Auto-Opt: ON | WFA: ON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 à 3 minutes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Recherche institutionnelle approfondie le week-end.</w:t>
            </w:r>
          </w:p>
        </w:tc>
      </w:tr>
    </w:tbl>
    <w:p>
      <w:pPr>
        <w:spacing w:after="160"/>
      </w:pPr>
    </w:p>
    <w:p>
      <w:pPr>
        <w:keepNext/>
        <w:spacing w:before="360" w:after="1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32"/>
        </w:rPr>
        <w:t>3. Guide Opérationnel Étape par Étape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Pour exécuter une analyse prédictive et un backtest complet sur une action (exemple : Apple Inc. AAPL) 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Étape 1 : </w:t>
      </w:r>
      <w:r>
        <w:rPr>
          <w:rFonts w:ascii="Arial" w:hAnsi="Arial"/>
          <w:color w:val="1E293B"/>
          <w:sz w:val="21"/>
        </w:rPr>
        <w:t>Dans la barre latérale, sélectionnez ou tapez 'Apple Inc. (US)' (AAPL).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Étape 2 : </w:t>
      </w:r>
      <w:r>
        <w:rPr>
          <w:rFonts w:ascii="Arial" w:hAnsi="Arial"/>
          <w:color w:val="1E293B"/>
          <w:sz w:val="21"/>
        </w:rPr>
        <w:t>Réglez la période sur '10y' et l'intervalle sur '1d'.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Étape 3 : </w:t>
      </w:r>
      <w:r>
        <w:rPr>
          <w:rFonts w:ascii="Arial" w:hAnsi="Arial"/>
          <w:color w:val="1E293B"/>
          <w:sz w:val="21"/>
        </w:rPr>
        <w:t>Dans la section 'Logique Walk-Forward (WFA)', cochez la case 'Activer Walk-Forward Analysis (WFA)'. Réglez la fenêtre d'entraînement sur 5Y et le pas d'avancement sur 6M.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Étape 4 : </w:t>
      </w:r>
      <w:r>
        <w:rPr>
          <w:rFonts w:ascii="Arial" w:hAnsi="Arial"/>
          <w:color w:val="1E293B"/>
          <w:sz w:val="21"/>
        </w:rPr>
        <w:t>Sur la page centrale, cliquez sur le bouton '🧠 Entraîner l'IA sur cette action'.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Étape 5 : </w:t>
      </w:r>
      <w:r>
        <w:rPr>
          <w:rFonts w:ascii="Arial" w:hAnsi="Arial"/>
          <w:color w:val="1E293B"/>
          <w:sz w:val="21"/>
        </w:rPr>
        <w:t>Attendez la fin du calcul (~15-20 secondes). Lorsque le message vert 'Modèle entraîné !' apparaît, tous les cockpits et graphiques sont actualisés avec les données les plus récentes.</w:t>
      </w:r>
    </w:p>
    <w:p>
      <w:pPr>
        <w:keepNext/>
        <w:spacing w:before="360" w:after="1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32"/>
        </w:rPr>
        <w:t>4. Décryptage des Résultats et Cockpits Décisionnels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Une fois l'entraînement terminé, la page affiche les composants suivants :</w:t>
      </w: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26"/>
        </w:rPr>
        <w:t>4.1 Le Plan de Trading du Jour (Money Management)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Signal Actif : </w:t>
      </w:r>
      <w:r>
        <w:rPr>
          <w:rFonts w:ascii="Arial" w:hAnsi="Arial"/>
          <w:color w:val="1E293B"/>
          <w:sz w:val="21"/>
        </w:rPr>
        <w:t>Classification nette générée par le modèle (ACHAT FORT, ACHAT, NEUTRE, VENTE, VENTE FORTE).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Confiance IA : </w:t>
      </w:r>
      <w:r>
        <w:rPr>
          <w:rFonts w:ascii="Arial" w:hAnsi="Arial"/>
          <w:color w:val="1E293B"/>
          <w:sz w:val="21"/>
        </w:rPr>
        <w:t>Pourcentage de certitude de l'ensemble d'arbres. Un signal fort nécessite généralement une confiance &gt; 60%.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Sentiment News : </w:t>
      </w:r>
      <w:r>
        <w:rPr>
          <w:rFonts w:ascii="Arial" w:hAnsi="Arial"/>
          <w:color w:val="1E293B"/>
          <w:sz w:val="21"/>
        </w:rPr>
        <w:t>Score FinBERT de -1.00 (panique/pessimisme) à +1.00 (euphorie/catalyseur positif) analysant les dépêches financières récentes.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Gestion du Risque (Kelly) : </w:t>
      </w:r>
      <w:r>
        <w:rPr>
          <w:rFonts w:ascii="Arial" w:hAnsi="Arial"/>
          <w:color w:val="1E293B"/>
          <w:sz w:val="21"/>
        </w:rPr>
        <w:t>Fraction du capital allouée calculée par la formule de Kelly sécurisée (Half-Kelly). Précise le nombre exact d'actions à acheter et la valeur monétaire.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Niveaux d'Exécution : </w:t>
      </w:r>
      <w:r>
        <w:rPr>
          <w:rFonts w:ascii="Arial" w:hAnsi="Arial"/>
          <w:color w:val="1E293B"/>
          <w:sz w:val="21"/>
        </w:rPr>
        <w:t>Stop-Loss fixé à 1.5 ATR sous le prix d'entrée, Take-Profit fixé à 3.0 ATR (ratio risque/gain structurel de 1:2). Dès que le cours atteint +1.5 ATR, la règle de Breakeven remonte le stop au cours d'entrée pour un risque nul.</w:t>
      </w: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26"/>
        </w:rPr>
        <w:t>4.2 Le Cockpit des Déclencheurs Institutionnels (Multi-Triggers)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Ce cockpit affiche 4 voyants de sécurité qui valident ou invalident les ordres de trading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Déclencheur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Indicateur Clé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État Optimal</w:t>
            </w:r>
          </w:p>
        </w:tc>
        <w:tc>
          <w:tcPr>
            <w:tcW w:type="dxa" w:w="302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Interprétation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Régime Macro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Prix vs SMA 200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Au-dessus de SMA 200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Marché haussier sain : achats autorisés à pleine taille.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Bouclier RSI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RSI (14)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Entre 40 et 60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 de surchauffe (RSI&gt;70) ni de panique baissière (RSI&lt;30).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Flux de Volume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Volume / SMA(Volume, 20)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&gt; 1.0x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Activité institutionnelle suffisante assurant une bonne liquidité.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Volatilité / Squeeze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Largeur Bandes Bollinger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BB Width compressée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Squeeze actif : compression de volatilité précurseur d'un grand mouvement.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26"/>
        </w:rPr>
        <w:t>4.3 Les 3 Onglets Centraux d'Analyse Approfondie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1. Graphique Technique : </w:t>
      </w:r>
      <w:r>
        <w:rPr>
          <w:rFonts w:ascii="Arial" w:hAnsi="Arial"/>
          <w:color w:val="1E293B"/>
          <w:sz w:val="21"/>
        </w:rPr>
        <w:t>Affiche le graphique en chandeliers japonais avec moyennes mobiles (SMA 20, SMA 50), bandes de Bollinger et oscillateur RSI.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2. Métriques de Backtest : </w:t>
      </w:r>
      <w:r>
        <w:rPr>
          <w:rFonts w:ascii="Arial" w:hAnsi="Arial"/>
          <w:color w:val="1E293B"/>
          <w:sz w:val="21"/>
        </w:rPr>
        <w:t>Trace l'évolution du portefeuille de trading face au Buy &amp; Hold sur les données hors-échantillon réelles, accompagnée du Tearsheet de 8 métriques quantitatives (Sharpe, Drawdown, VaR 95%, CVaR, Probabilité de Ruine Monte Carlo).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3. Importance des Variables : </w:t>
      </w:r>
      <w:r>
        <w:rPr>
          <w:rFonts w:ascii="Arial" w:hAnsi="Arial"/>
          <w:color w:val="1E293B"/>
          <w:sz w:val="21"/>
        </w:rPr>
        <w:t>Fournit l'explicabilité SHAP complète. Montre exactement quelles variables (BB_Width, ADX, VIX, Returns) ont poussé la décision du jour à la hausse ou à la baisse.</w:t>
      </w:r>
    </w:p>
    <w:p>
      <w:pPr>
        <w:keepNext/>
        <w:spacing w:before="360" w:after="1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32"/>
        </w:rPr>
        <w:t>5. Module Options Pricing et Couverture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En complément de l'achat d'actions au comptant, le module d'options calcule instantanément le pricing théorique Black-Scholes-Merton et propose 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Recommandation Dérivée : </w:t>
      </w:r>
      <w:r>
        <w:rPr>
          <w:rFonts w:ascii="Arial" w:hAnsi="Arial"/>
          <w:color w:val="1E293B"/>
          <w:sz w:val="21"/>
        </w:rPr>
        <w:t>Un contrat Call (achat haussier à effet de levier) lorsque le signal IA est ACHAT ou ACHAT FORT.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Caractéristiques du Contrat : </w:t>
      </w:r>
      <w:r>
        <w:rPr>
          <w:rFonts w:ascii="Arial" w:hAnsi="Arial"/>
          <w:color w:val="1E293B"/>
          <w:sz w:val="21"/>
        </w:rPr>
        <w:t>Calcul automatique de la Prime théorique, du Levier estimé (souvent 10x à 15x), et du Coût total du contrat (lot de 100 actions selon la législation américaine).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Paper Trading Dérivés : </w:t>
      </w:r>
      <w:r>
        <w:rPr>
          <w:rFonts w:ascii="Arial" w:hAnsi="Arial"/>
          <w:color w:val="1E293B"/>
          <w:sz w:val="21"/>
        </w:rPr>
        <w:t>Un bouton 'Acheter Contrats CALL (Paper Trading Options)' permet de consigner la position dans le portefeuille virtuel dédié sans risquer de capital réel.</w:t>
      </w:r>
    </w:p>
    <w:p>
      <w:pPr>
        <w:keepNext/>
        <w:spacing w:before="360" w:after="1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32"/>
        </w:rPr>
        <w:t>6. Bonnes Pratiques et Réponses aux Questions Fréquentes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Que faire si le signal est NEUTRE ? </w:t>
      </w:r>
      <w:r>
        <w:rPr>
          <w:rFonts w:ascii="Arial" w:hAnsi="Arial"/>
          <w:color w:val="1E293B"/>
          <w:sz w:val="21"/>
        </w:rPr>
        <w:t>Cela signifie que les probabilités de hausse et de baisse sont équilibrées (autour de 50%). Le Money Management Kelly bloque intelligemment l'ordre et indique 0 action à risquer. Ne forcez jamais un trade en zone neutre.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Pourquoi la précision est de 50.4% en mode WFA ? </w:t>
      </w:r>
      <w:r>
        <w:rPr>
          <w:rFonts w:ascii="Arial" w:hAnsi="Arial"/>
          <w:color w:val="1E293B"/>
          <w:sz w:val="21"/>
        </w:rPr>
        <w:t>Une précision OOS de 50-54% est la norme institutionnelle en trading systématique sans surapprentissage. Le profit ne vient pas d'une précision de 90%, mais du ratio gain/perte asymétrique (TP à 3 ATR vs SL à 1.5 ATR) et du dimensionnement Kelly.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1"/>
        </w:rPr>
        <w:t xml:space="preserve">• Comment conserver son modèle entraîné ? </w:t>
      </w:r>
      <w:r>
        <w:rPr>
          <w:rFonts w:ascii="Arial" w:hAnsi="Arial"/>
          <w:color w:val="1E293B"/>
          <w:sz w:val="21"/>
        </w:rPr>
        <w:t>Utilisez les boutons '💾 Sauvegarder' et '📂 Charger' situés sous le titre pour exporter le modèle au format joblib et le réutiliser instantanément sans recalculer.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